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400E0" w14:textId="77777777" w:rsidR="00DF0240" w:rsidRPr="00125B23" w:rsidRDefault="00DF0240" w:rsidP="00DF0240">
      <w:pPr>
        <w:pStyle w:val="MDPI31text"/>
        <w:ind w:firstLine="0"/>
        <w:jc w:val="center"/>
        <w:rPr>
          <w:rFonts w:ascii="Times New Roman" w:hAnsi="Times New Roman"/>
          <w:b/>
          <w:color w:val="auto"/>
          <w:sz w:val="24"/>
          <w:szCs w:val="24"/>
        </w:rPr>
      </w:pPr>
      <w:r w:rsidRPr="00125B23">
        <w:rPr>
          <w:rFonts w:ascii="Times New Roman" w:hAnsi="Times New Roman"/>
          <w:b/>
          <w:color w:val="auto"/>
          <w:sz w:val="24"/>
          <w:szCs w:val="24"/>
        </w:rPr>
        <w:t xml:space="preserve">Potential current and future distribution for </w:t>
      </w:r>
      <w:r w:rsidRPr="00125B23">
        <w:rPr>
          <w:rFonts w:ascii="Times New Roman" w:hAnsi="Times New Roman"/>
          <w:b/>
          <w:i/>
          <w:iCs/>
          <w:color w:val="auto"/>
          <w:sz w:val="24"/>
          <w:szCs w:val="24"/>
        </w:rPr>
        <w:t>Aedes aegypti</w:t>
      </w:r>
      <w:r w:rsidRPr="00125B23">
        <w:rPr>
          <w:rFonts w:ascii="Times New Roman" w:hAnsi="Times New Roman"/>
          <w:b/>
          <w:color w:val="auto"/>
          <w:sz w:val="24"/>
          <w:szCs w:val="24"/>
        </w:rPr>
        <w:t xml:space="preserve"> and </w:t>
      </w:r>
      <w:r w:rsidRPr="00125B23">
        <w:rPr>
          <w:rFonts w:ascii="Times New Roman" w:hAnsi="Times New Roman"/>
          <w:b/>
          <w:i/>
          <w:iCs/>
          <w:color w:val="auto"/>
          <w:sz w:val="24"/>
          <w:szCs w:val="24"/>
        </w:rPr>
        <w:t>Aedes albopictus</w:t>
      </w:r>
      <w:r w:rsidRPr="00125B23">
        <w:rPr>
          <w:rFonts w:ascii="Times New Roman" w:hAnsi="Times New Roman"/>
          <w:b/>
          <w:color w:val="auto"/>
          <w:sz w:val="24"/>
          <w:szCs w:val="24"/>
        </w:rPr>
        <w:t xml:space="preserve"> in Colombia: important disease vectors</w:t>
      </w:r>
    </w:p>
    <w:p w14:paraId="66508D79" w14:textId="30F2F1E0" w:rsidR="00DF0240" w:rsidRPr="00DF0240" w:rsidRDefault="009915E8" w:rsidP="009915E8">
      <w:pPr>
        <w:pStyle w:val="Default"/>
        <w:spacing w:before="240" w:after="240" w:line="480" w:lineRule="auto"/>
        <w:rPr>
          <w:rFonts w:ascii="Times New Roman" w:hAnsi="Times New Roman" w:cs="Times New Roman"/>
          <w:b/>
          <w:bCs/>
          <w:color w:val="auto"/>
          <w:lang w:val="en-US"/>
        </w:rPr>
      </w:pPr>
      <w:r>
        <w:rPr>
          <w:rFonts w:ascii="Times New Roman" w:hAnsi="Times New Roman" w:cs="Times New Roman"/>
          <w:b/>
          <w:bCs/>
          <w:color w:val="auto"/>
          <w:lang w:val="en-US"/>
        </w:rPr>
        <w:t xml:space="preserve">Journal </w:t>
      </w:r>
      <w:r w:rsidR="00DF0240" w:rsidRPr="00DF0240">
        <w:rPr>
          <w:rFonts w:ascii="Times New Roman" w:hAnsi="Times New Roman" w:cs="Times New Roman"/>
          <w:b/>
          <w:bCs/>
          <w:color w:val="auto"/>
          <w:lang w:val="en-US"/>
        </w:rPr>
        <w:t>Biological Invasions</w:t>
      </w:r>
    </w:p>
    <w:p w14:paraId="521276C1" w14:textId="650AB1B6" w:rsidR="00DF0240" w:rsidRPr="00125B23" w:rsidRDefault="00DF0240" w:rsidP="00DF0240">
      <w:pPr>
        <w:pStyle w:val="Default"/>
        <w:spacing w:before="240" w:after="240" w:line="480" w:lineRule="auto"/>
        <w:jc w:val="both"/>
        <w:rPr>
          <w:rFonts w:ascii="Times New Roman" w:hAnsi="Times New Roman" w:cs="Times New Roman"/>
          <w:b/>
          <w:bCs/>
          <w:color w:val="auto"/>
          <w:lang w:val="en-US"/>
        </w:rPr>
      </w:pPr>
      <w:r w:rsidRPr="00125B23">
        <w:rPr>
          <w:rFonts w:ascii="Times New Roman" w:hAnsi="Times New Roman" w:cs="Times New Roman"/>
          <w:color w:val="auto"/>
          <w:lang w:val="en-US"/>
        </w:rPr>
        <w:t>Estefanía Mejía-Jurado</w:t>
      </w:r>
      <w:r w:rsidRPr="00125B23">
        <w:rPr>
          <w:rFonts w:ascii="Times New Roman" w:hAnsi="Times New Roman" w:cs="Times New Roman"/>
          <w:color w:val="auto"/>
          <w:vertAlign w:val="superscript"/>
          <w:lang w:val="en-US"/>
        </w:rPr>
        <w:t>1,2</w:t>
      </w:r>
      <w:r w:rsidRPr="00125B23">
        <w:rPr>
          <w:rFonts w:ascii="Times New Roman" w:hAnsi="Times New Roman" w:cs="Times New Roman"/>
          <w:color w:val="auto"/>
          <w:lang w:val="en-US"/>
        </w:rPr>
        <w:t>, Emmanuel Echeverry-Cárdenas</w:t>
      </w:r>
      <w:r w:rsidRPr="00125B23">
        <w:rPr>
          <w:rFonts w:ascii="Times New Roman" w:hAnsi="Times New Roman" w:cs="Times New Roman"/>
          <w:color w:val="auto"/>
          <w:vertAlign w:val="superscript"/>
          <w:lang w:val="en-US"/>
        </w:rPr>
        <w:t>1</w:t>
      </w:r>
      <w:r w:rsidRPr="00125B23">
        <w:rPr>
          <w:rFonts w:ascii="Times New Roman" w:hAnsi="Times New Roman" w:cs="Times New Roman"/>
          <w:color w:val="auto"/>
          <w:lang w:val="en-US"/>
        </w:rPr>
        <w:t>, Oscar Alexander Aguirre-Obando</w:t>
      </w:r>
      <w:r w:rsidRPr="00125B23">
        <w:rPr>
          <w:rFonts w:ascii="Times New Roman" w:hAnsi="Times New Roman" w:cs="Times New Roman"/>
          <w:color w:val="auto"/>
          <w:vertAlign w:val="superscript"/>
          <w:lang w:val="en-US"/>
        </w:rPr>
        <w:t>1,2 *</w:t>
      </w:r>
    </w:p>
    <w:p w14:paraId="2962A634" w14:textId="77777777" w:rsidR="00DF0240" w:rsidRPr="00125B23" w:rsidRDefault="00DF0240" w:rsidP="00DF0240">
      <w:pPr>
        <w:pStyle w:val="Default"/>
        <w:spacing w:after="240" w:line="480" w:lineRule="auto"/>
        <w:jc w:val="both"/>
        <w:rPr>
          <w:rFonts w:ascii="Times New Roman" w:hAnsi="Times New Roman" w:cs="Times New Roman"/>
          <w:color w:val="auto"/>
          <w:lang w:val="en-US"/>
        </w:rPr>
      </w:pPr>
      <w:r w:rsidRPr="00125B23">
        <w:rPr>
          <w:rFonts w:ascii="Times New Roman" w:hAnsi="Times New Roman" w:cs="Times New Roman"/>
          <w:color w:val="auto"/>
          <w:vertAlign w:val="superscript"/>
          <w:lang w:val="en-US"/>
        </w:rPr>
        <w:t>1</w:t>
      </w:r>
      <w:r w:rsidRPr="00125B23">
        <w:rPr>
          <w:rFonts w:ascii="Times New Roman" w:hAnsi="Times New Roman" w:cs="Times New Roman"/>
          <w:color w:val="auto"/>
          <w:lang w:val="en-US"/>
        </w:rPr>
        <w:t xml:space="preserve">Escuela de </w:t>
      </w:r>
      <w:proofErr w:type="spellStart"/>
      <w:r w:rsidRPr="00125B23">
        <w:rPr>
          <w:rFonts w:ascii="Times New Roman" w:hAnsi="Times New Roman" w:cs="Times New Roman"/>
          <w:color w:val="auto"/>
          <w:lang w:val="en-US"/>
        </w:rPr>
        <w:t>Investigación</w:t>
      </w:r>
      <w:proofErr w:type="spellEnd"/>
      <w:r w:rsidRPr="00125B23">
        <w:rPr>
          <w:rFonts w:ascii="Times New Roman" w:hAnsi="Times New Roman" w:cs="Times New Roman"/>
          <w:color w:val="auto"/>
          <w:lang w:val="en-US"/>
        </w:rPr>
        <w:t xml:space="preserve"> </w:t>
      </w:r>
      <w:proofErr w:type="spellStart"/>
      <w:r w:rsidRPr="00125B23">
        <w:rPr>
          <w:rFonts w:ascii="Times New Roman" w:hAnsi="Times New Roman" w:cs="Times New Roman"/>
          <w:color w:val="auto"/>
          <w:lang w:val="en-US"/>
        </w:rPr>
        <w:t>en</w:t>
      </w:r>
      <w:proofErr w:type="spellEnd"/>
      <w:r w:rsidRPr="00125B23">
        <w:rPr>
          <w:rFonts w:ascii="Times New Roman" w:hAnsi="Times New Roman" w:cs="Times New Roman"/>
          <w:color w:val="auto"/>
          <w:lang w:val="en-US"/>
        </w:rPr>
        <w:t xml:space="preserve"> </w:t>
      </w:r>
      <w:proofErr w:type="spellStart"/>
      <w:r w:rsidRPr="00125B23">
        <w:rPr>
          <w:rFonts w:ascii="Times New Roman" w:hAnsi="Times New Roman" w:cs="Times New Roman"/>
          <w:color w:val="auto"/>
          <w:lang w:val="en-US"/>
        </w:rPr>
        <w:t>Biomatemática</w:t>
      </w:r>
      <w:proofErr w:type="spellEnd"/>
      <w:r w:rsidRPr="00125B23">
        <w:rPr>
          <w:rFonts w:ascii="Times New Roman" w:hAnsi="Times New Roman" w:cs="Times New Roman"/>
          <w:color w:val="auto"/>
          <w:lang w:val="en-US"/>
        </w:rPr>
        <w:t xml:space="preserve">, </w:t>
      </w:r>
      <w:proofErr w:type="spellStart"/>
      <w:r w:rsidRPr="00125B23">
        <w:rPr>
          <w:rFonts w:ascii="Times New Roman" w:hAnsi="Times New Roman" w:cs="Times New Roman"/>
          <w:color w:val="auto"/>
          <w:lang w:val="en-US"/>
        </w:rPr>
        <w:t>Facultad</w:t>
      </w:r>
      <w:proofErr w:type="spellEnd"/>
      <w:r w:rsidRPr="00125B23">
        <w:rPr>
          <w:rFonts w:ascii="Times New Roman" w:hAnsi="Times New Roman" w:cs="Times New Roman"/>
          <w:color w:val="auto"/>
          <w:lang w:val="en-US"/>
        </w:rPr>
        <w:t xml:space="preserve"> de </w:t>
      </w:r>
      <w:proofErr w:type="spellStart"/>
      <w:r w:rsidRPr="00125B23">
        <w:rPr>
          <w:rFonts w:ascii="Times New Roman" w:hAnsi="Times New Roman" w:cs="Times New Roman"/>
          <w:color w:val="auto"/>
          <w:lang w:val="en-US"/>
        </w:rPr>
        <w:t>Ciencias</w:t>
      </w:r>
      <w:proofErr w:type="spellEnd"/>
      <w:r w:rsidRPr="00125B23">
        <w:rPr>
          <w:rFonts w:ascii="Times New Roman" w:hAnsi="Times New Roman" w:cs="Times New Roman"/>
          <w:color w:val="auto"/>
          <w:lang w:val="en-US"/>
        </w:rPr>
        <w:t xml:space="preserve"> </w:t>
      </w:r>
      <w:proofErr w:type="spellStart"/>
      <w:r w:rsidRPr="00125B23">
        <w:rPr>
          <w:rFonts w:ascii="Times New Roman" w:hAnsi="Times New Roman" w:cs="Times New Roman"/>
          <w:color w:val="auto"/>
          <w:lang w:val="en-US"/>
        </w:rPr>
        <w:t>Básicas</w:t>
      </w:r>
      <w:proofErr w:type="spellEnd"/>
      <w:r w:rsidRPr="00125B23">
        <w:rPr>
          <w:rFonts w:ascii="Times New Roman" w:hAnsi="Times New Roman" w:cs="Times New Roman"/>
          <w:color w:val="auto"/>
          <w:lang w:val="en-US"/>
        </w:rPr>
        <w:t xml:space="preserve"> y </w:t>
      </w:r>
      <w:proofErr w:type="spellStart"/>
      <w:r w:rsidRPr="00125B23">
        <w:rPr>
          <w:rFonts w:ascii="Times New Roman" w:hAnsi="Times New Roman" w:cs="Times New Roman"/>
          <w:color w:val="auto"/>
          <w:lang w:val="en-US"/>
        </w:rPr>
        <w:t>Tecnologías</w:t>
      </w:r>
      <w:proofErr w:type="spellEnd"/>
      <w:r w:rsidRPr="00125B23">
        <w:rPr>
          <w:rFonts w:ascii="Times New Roman" w:hAnsi="Times New Roman" w:cs="Times New Roman"/>
          <w:color w:val="auto"/>
          <w:lang w:val="en-US"/>
        </w:rPr>
        <w:t>, Universidad del Quindío. Carrera 15 Calle 12 Norte, Armenia, Quindío, Colombia. ORCID: 0000-0003-3105-5998; 0000-0001-9827-2626; 0000-0003-2480-7004.</w:t>
      </w:r>
    </w:p>
    <w:p w14:paraId="488ED56F" w14:textId="77777777" w:rsidR="00DF0240" w:rsidRPr="00125B23" w:rsidRDefault="00DF0240" w:rsidP="00DF0240">
      <w:pPr>
        <w:pStyle w:val="Default"/>
        <w:spacing w:after="240" w:line="480" w:lineRule="auto"/>
        <w:jc w:val="both"/>
        <w:rPr>
          <w:rFonts w:ascii="Times New Roman" w:hAnsi="Times New Roman" w:cs="Times New Roman"/>
          <w:color w:val="auto"/>
          <w:lang w:val="en-US"/>
        </w:rPr>
      </w:pPr>
      <w:r w:rsidRPr="00125B23">
        <w:rPr>
          <w:rFonts w:ascii="Times New Roman" w:hAnsi="Times New Roman" w:cs="Times New Roman"/>
          <w:color w:val="auto"/>
          <w:vertAlign w:val="superscript"/>
          <w:lang w:val="en-US"/>
        </w:rPr>
        <w:t>2</w:t>
      </w:r>
      <w:r w:rsidRPr="00125B23">
        <w:rPr>
          <w:rFonts w:ascii="Times New Roman" w:hAnsi="Times New Roman" w:cs="Times New Roman"/>
          <w:color w:val="auto"/>
          <w:lang w:val="en-US"/>
        </w:rPr>
        <w:t xml:space="preserve">Programa de </w:t>
      </w:r>
      <w:proofErr w:type="spellStart"/>
      <w:r w:rsidRPr="00125B23">
        <w:rPr>
          <w:rFonts w:ascii="Times New Roman" w:hAnsi="Times New Roman" w:cs="Times New Roman"/>
          <w:color w:val="auto"/>
          <w:lang w:val="en-US"/>
        </w:rPr>
        <w:t>Biología</w:t>
      </w:r>
      <w:proofErr w:type="spellEnd"/>
      <w:r w:rsidRPr="00125B23">
        <w:rPr>
          <w:rFonts w:ascii="Times New Roman" w:hAnsi="Times New Roman" w:cs="Times New Roman"/>
          <w:color w:val="auto"/>
          <w:lang w:val="en-US"/>
        </w:rPr>
        <w:t>, Universidad del Quindío. Carrera 15 Calle 12 Norte, Armenia, Quindío, Colombia.</w:t>
      </w:r>
    </w:p>
    <w:p w14:paraId="3EB757C0" w14:textId="2A9ED42C" w:rsidR="00DF0240" w:rsidRDefault="00DF0240" w:rsidP="00DF0240">
      <w:pPr>
        <w:jc w:val="both"/>
        <w:rPr>
          <w:rFonts w:ascii="Times New Roman" w:hAnsi="Times New Roman" w:cs="Times New Roman"/>
          <w:b/>
          <w:bCs/>
          <w:sz w:val="24"/>
          <w:szCs w:val="24"/>
          <w:lang w:val="es-MX"/>
        </w:rPr>
      </w:pPr>
      <w:r w:rsidRPr="00125B23">
        <w:rPr>
          <w:rFonts w:ascii="Times New Roman" w:hAnsi="Times New Roman" w:cs="Times New Roman"/>
          <w:lang w:val="en-US"/>
        </w:rPr>
        <w:t xml:space="preserve">*Correspondence author: </w:t>
      </w:r>
      <w:hyperlink r:id="rId5" w:history="1">
        <w:r w:rsidRPr="00125B23">
          <w:rPr>
            <w:rStyle w:val="Hipervnculo"/>
            <w:rFonts w:ascii="Times New Roman" w:hAnsi="Times New Roman" w:cs="Times New Roman"/>
            <w:lang w:val="en-US"/>
          </w:rPr>
          <w:t>oscaraguirre@uniquindio.edu.co</w:t>
        </w:r>
      </w:hyperlink>
    </w:p>
    <w:p w14:paraId="12957ECA" w14:textId="77777777" w:rsidR="00DF0240" w:rsidRDefault="00DF0240" w:rsidP="00DC6866">
      <w:pPr>
        <w:jc w:val="both"/>
        <w:rPr>
          <w:rFonts w:ascii="Times New Roman" w:hAnsi="Times New Roman" w:cs="Times New Roman"/>
          <w:b/>
          <w:bCs/>
          <w:sz w:val="24"/>
          <w:szCs w:val="24"/>
          <w:lang w:val="es-MX"/>
        </w:rPr>
      </w:pPr>
    </w:p>
    <w:p w14:paraId="6B7A42AB" w14:textId="3B504C8D" w:rsidR="00050F52" w:rsidRPr="00DC6866" w:rsidRDefault="00DC6866" w:rsidP="00DC6866">
      <w:pPr>
        <w:jc w:val="both"/>
        <w:rPr>
          <w:rFonts w:ascii="Times New Roman" w:hAnsi="Times New Roman" w:cs="Times New Roman"/>
          <w:sz w:val="24"/>
          <w:szCs w:val="24"/>
          <w:lang w:val="es-MX"/>
        </w:rPr>
      </w:pPr>
      <w:proofErr w:type="spellStart"/>
      <w:r w:rsidRPr="00DC6866">
        <w:rPr>
          <w:rFonts w:ascii="Times New Roman" w:hAnsi="Times New Roman" w:cs="Times New Roman"/>
          <w:b/>
          <w:bCs/>
          <w:sz w:val="24"/>
          <w:szCs w:val="24"/>
          <w:lang w:val="es-MX"/>
        </w:rPr>
        <w:t>Supplementary</w:t>
      </w:r>
      <w:proofErr w:type="spellEnd"/>
      <w:r w:rsidRPr="00DC6866">
        <w:rPr>
          <w:rFonts w:ascii="Times New Roman" w:hAnsi="Times New Roman" w:cs="Times New Roman"/>
          <w:b/>
          <w:bCs/>
          <w:sz w:val="24"/>
          <w:szCs w:val="24"/>
          <w:lang w:val="es-MX"/>
        </w:rPr>
        <w:t xml:space="preserve"> material 1</w:t>
      </w:r>
      <w:r w:rsidRPr="00DC6866">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Records</w:t>
      </w:r>
      <w:proofErr w:type="spellEnd"/>
      <w:r w:rsidR="00DD6193" w:rsidRPr="00DD6193">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of</w:t>
      </w:r>
      <w:proofErr w:type="spellEnd"/>
      <w:r w:rsidR="00DD6193" w:rsidRPr="00DD6193">
        <w:rPr>
          <w:rFonts w:ascii="Times New Roman" w:hAnsi="Times New Roman" w:cs="Times New Roman"/>
          <w:sz w:val="24"/>
          <w:szCs w:val="24"/>
          <w:lang w:val="es-MX"/>
        </w:rPr>
        <w:t xml:space="preserve"> </w:t>
      </w:r>
      <w:r w:rsidR="00DD6193" w:rsidRPr="00DD6193">
        <w:rPr>
          <w:rFonts w:ascii="Times New Roman" w:hAnsi="Times New Roman" w:cs="Times New Roman"/>
          <w:i/>
          <w:iCs/>
          <w:sz w:val="24"/>
          <w:szCs w:val="24"/>
          <w:lang w:val="es-MX"/>
        </w:rPr>
        <w:t xml:space="preserve">A. </w:t>
      </w:r>
      <w:proofErr w:type="spellStart"/>
      <w:r w:rsidR="00DD6193" w:rsidRPr="00DD6193">
        <w:rPr>
          <w:rFonts w:ascii="Times New Roman" w:hAnsi="Times New Roman" w:cs="Times New Roman"/>
          <w:i/>
          <w:iCs/>
          <w:sz w:val="24"/>
          <w:szCs w:val="24"/>
          <w:lang w:val="es-MX"/>
        </w:rPr>
        <w:t>aegypti</w:t>
      </w:r>
      <w:proofErr w:type="spellEnd"/>
      <w:r w:rsidR="00DD6193" w:rsidRPr="00DD6193">
        <w:rPr>
          <w:rFonts w:ascii="Times New Roman" w:hAnsi="Times New Roman" w:cs="Times New Roman"/>
          <w:sz w:val="24"/>
          <w:szCs w:val="24"/>
          <w:lang w:val="es-MX"/>
        </w:rPr>
        <w:t xml:space="preserve"> and </w:t>
      </w:r>
      <w:r w:rsidR="00DD6193" w:rsidRPr="00594ED1">
        <w:rPr>
          <w:rFonts w:ascii="Times New Roman" w:hAnsi="Times New Roman" w:cs="Times New Roman"/>
          <w:i/>
          <w:iCs/>
          <w:sz w:val="24"/>
          <w:szCs w:val="24"/>
          <w:lang w:val="es-MX"/>
        </w:rPr>
        <w:t xml:space="preserve">A. </w:t>
      </w:r>
      <w:proofErr w:type="spellStart"/>
      <w:r w:rsidR="00DD6193" w:rsidRPr="00594ED1">
        <w:rPr>
          <w:rFonts w:ascii="Times New Roman" w:hAnsi="Times New Roman" w:cs="Times New Roman"/>
          <w:i/>
          <w:iCs/>
          <w:sz w:val="24"/>
          <w:szCs w:val="24"/>
          <w:lang w:val="es-MX"/>
        </w:rPr>
        <w:t>albopictus</w:t>
      </w:r>
      <w:proofErr w:type="spellEnd"/>
      <w:r w:rsidR="00DD6193" w:rsidRPr="00DD6193">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obtained</w:t>
      </w:r>
      <w:proofErr w:type="spellEnd"/>
      <w:r w:rsidR="00DD6193" w:rsidRPr="00DD6193">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for</w:t>
      </w:r>
      <w:proofErr w:type="spellEnd"/>
      <w:r w:rsidR="00DD6193" w:rsidRPr="00DD6193">
        <w:rPr>
          <w:rFonts w:ascii="Times New Roman" w:hAnsi="Times New Roman" w:cs="Times New Roman"/>
          <w:sz w:val="24"/>
          <w:szCs w:val="24"/>
          <w:lang w:val="es-MX"/>
        </w:rPr>
        <w:t xml:space="preserve"> Colombia </w:t>
      </w:r>
      <w:proofErr w:type="spellStart"/>
      <w:r w:rsidR="00DD6193" w:rsidRPr="00DD6193">
        <w:rPr>
          <w:rFonts w:ascii="Times New Roman" w:hAnsi="Times New Roman" w:cs="Times New Roman"/>
          <w:sz w:val="24"/>
          <w:szCs w:val="24"/>
          <w:lang w:val="es-MX"/>
        </w:rPr>
        <w:t>through</w:t>
      </w:r>
      <w:proofErr w:type="spellEnd"/>
      <w:r w:rsidR="00DD6193" w:rsidRPr="00DD6193">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bibliographic</w:t>
      </w:r>
      <w:proofErr w:type="spellEnd"/>
      <w:r w:rsidR="00DD6193" w:rsidRPr="00DD6193">
        <w:rPr>
          <w:rFonts w:ascii="Times New Roman" w:hAnsi="Times New Roman" w:cs="Times New Roman"/>
          <w:sz w:val="24"/>
          <w:szCs w:val="24"/>
          <w:lang w:val="es-MX"/>
        </w:rPr>
        <w:t xml:space="preserve"> </w:t>
      </w:r>
      <w:proofErr w:type="spellStart"/>
      <w:r w:rsidR="00DD6193" w:rsidRPr="00DD6193">
        <w:rPr>
          <w:rFonts w:ascii="Times New Roman" w:hAnsi="Times New Roman" w:cs="Times New Roman"/>
          <w:sz w:val="24"/>
          <w:szCs w:val="24"/>
          <w:lang w:val="es-MX"/>
        </w:rPr>
        <w:t>review</w:t>
      </w:r>
      <w:proofErr w:type="spellEnd"/>
      <w:r w:rsidRPr="00DC6866">
        <w:rPr>
          <w:rFonts w:ascii="Times New Roman" w:hAnsi="Times New Roman" w:cs="Times New Roman"/>
          <w:sz w:val="24"/>
          <w:szCs w:val="24"/>
          <w:lang w:val="es-MX"/>
        </w:rPr>
        <w:t>.</w:t>
      </w:r>
    </w:p>
    <w:tbl>
      <w:tblPr>
        <w:tblW w:w="9498" w:type="dxa"/>
        <w:jc w:val="center"/>
        <w:tblCellMar>
          <w:left w:w="70" w:type="dxa"/>
          <w:right w:w="70" w:type="dxa"/>
        </w:tblCellMar>
        <w:tblLook w:val="04A0" w:firstRow="1" w:lastRow="0" w:firstColumn="1" w:lastColumn="0" w:noHBand="0" w:noVBand="1"/>
      </w:tblPr>
      <w:tblGrid>
        <w:gridCol w:w="1298"/>
        <w:gridCol w:w="1581"/>
        <w:gridCol w:w="1540"/>
        <w:gridCol w:w="544"/>
        <w:gridCol w:w="1405"/>
        <w:gridCol w:w="656"/>
        <w:gridCol w:w="2474"/>
      </w:tblGrid>
      <w:tr w:rsidR="00DC6866" w:rsidRPr="00DC6866" w14:paraId="6FE2DDA7" w14:textId="77777777" w:rsidTr="00A80FE7">
        <w:trPr>
          <w:trHeight w:val="600"/>
          <w:jc w:val="center"/>
        </w:trPr>
        <w:tc>
          <w:tcPr>
            <w:tcW w:w="1298" w:type="dxa"/>
            <w:tcBorders>
              <w:top w:val="single" w:sz="4" w:space="0" w:color="auto"/>
              <w:left w:val="nil"/>
              <w:bottom w:val="single" w:sz="4" w:space="0" w:color="auto"/>
              <w:right w:val="nil"/>
            </w:tcBorders>
            <w:shd w:val="clear" w:color="auto" w:fill="auto"/>
            <w:vAlign w:val="center"/>
            <w:hideMark/>
          </w:tcPr>
          <w:p w14:paraId="60D024C0"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r w:rsidRPr="00DC6866">
              <w:rPr>
                <w:rFonts w:ascii="Times New Roman" w:eastAsia="Times New Roman" w:hAnsi="Times New Roman" w:cs="Times New Roman"/>
                <w:b/>
                <w:bCs/>
                <w:color w:val="000000"/>
                <w:kern w:val="0"/>
                <w:sz w:val="24"/>
                <w:szCs w:val="24"/>
                <w:lang w:eastAsia="es-CO"/>
                <w14:ligatures w14:val="none"/>
              </w:rPr>
              <w:t xml:space="preserve">Natural </w:t>
            </w:r>
            <w:proofErr w:type="spellStart"/>
            <w:r w:rsidRPr="00DC6866">
              <w:rPr>
                <w:rFonts w:ascii="Times New Roman" w:eastAsia="Times New Roman" w:hAnsi="Times New Roman" w:cs="Times New Roman"/>
                <w:b/>
                <w:bCs/>
                <w:color w:val="000000"/>
                <w:kern w:val="0"/>
                <w:sz w:val="24"/>
                <w:szCs w:val="24"/>
                <w:lang w:eastAsia="es-CO"/>
                <w14:ligatures w14:val="none"/>
              </w:rPr>
              <w:t>region</w:t>
            </w:r>
            <w:proofErr w:type="spellEnd"/>
          </w:p>
        </w:tc>
        <w:tc>
          <w:tcPr>
            <w:tcW w:w="1581" w:type="dxa"/>
            <w:tcBorders>
              <w:top w:val="single" w:sz="4" w:space="0" w:color="auto"/>
              <w:left w:val="nil"/>
              <w:bottom w:val="single" w:sz="4" w:space="0" w:color="auto"/>
              <w:right w:val="nil"/>
            </w:tcBorders>
            <w:shd w:val="clear" w:color="auto" w:fill="auto"/>
            <w:vAlign w:val="center"/>
            <w:hideMark/>
          </w:tcPr>
          <w:p w14:paraId="2C1ED156"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proofErr w:type="spellStart"/>
            <w:r w:rsidRPr="00DC6866">
              <w:rPr>
                <w:rFonts w:ascii="Times New Roman" w:eastAsia="Times New Roman" w:hAnsi="Times New Roman" w:cs="Times New Roman"/>
                <w:b/>
                <w:bCs/>
                <w:color w:val="000000"/>
                <w:kern w:val="0"/>
                <w:sz w:val="24"/>
                <w:szCs w:val="24"/>
                <w:lang w:eastAsia="es-CO"/>
                <w14:ligatures w14:val="none"/>
              </w:rPr>
              <w:t>Specie</w:t>
            </w:r>
            <w:proofErr w:type="spellEnd"/>
          </w:p>
        </w:tc>
        <w:tc>
          <w:tcPr>
            <w:tcW w:w="1540" w:type="dxa"/>
            <w:tcBorders>
              <w:top w:val="single" w:sz="4" w:space="0" w:color="auto"/>
              <w:left w:val="nil"/>
              <w:bottom w:val="single" w:sz="4" w:space="0" w:color="auto"/>
              <w:right w:val="nil"/>
            </w:tcBorders>
            <w:shd w:val="clear" w:color="auto" w:fill="auto"/>
            <w:vAlign w:val="center"/>
            <w:hideMark/>
          </w:tcPr>
          <w:p w14:paraId="3551A630"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proofErr w:type="spellStart"/>
            <w:r w:rsidRPr="00DC6866">
              <w:rPr>
                <w:rFonts w:ascii="Times New Roman" w:eastAsia="Times New Roman" w:hAnsi="Times New Roman" w:cs="Times New Roman"/>
                <w:b/>
                <w:bCs/>
                <w:color w:val="000000"/>
                <w:kern w:val="0"/>
                <w:sz w:val="24"/>
                <w:szCs w:val="24"/>
                <w:lang w:eastAsia="es-CO"/>
                <w14:ligatures w14:val="none"/>
              </w:rPr>
              <w:t>Department</w:t>
            </w:r>
            <w:proofErr w:type="spellEnd"/>
          </w:p>
        </w:tc>
        <w:tc>
          <w:tcPr>
            <w:tcW w:w="544" w:type="dxa"/>
            <w:tcBorders>
              <w:top w:val="single" w:sz="4" w:space="0" w:color="auto"/>
              <w:left w:val="nil"/>
              <w:bottom w:val="single" w:sz="4" w:space="0" w:color="auto"/>
              <w:right w:val="nil"/>
            </w:tcBorders>
            <w:shd w:val="clear" w:color="auto" w:fill="auto"/>
            <w:vAlign w:val="center"/>
            <w:hideMark/>
          </w:tcPr>
          <w:p w14:paraId="18614007"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r w:rsidRPr="00DC6866">
              <w:rPr>
                <w:rFonts w:ascii="Times New Roman" w:eastAsia="Times New Roman" w:hAnsi="Times New Roman" w:cs="Times New Roman"/>
                <w:b/>
                <w:bCs/>
                <w:color w:val="000000"/>
                <w:kern w:val="0"/>
                <w:sz w:val="24"/>
                <w:szCs w:val="24"/>
                <w:lang w:eastAsia="es-CO"/>
                <w14:ligatures w14:val="none"/>
              </w:rPr>
              <w:t>n</w:t>
            </w:r>
          </w:p>
        </w:tc>
        <w:tc>
          <w:tcPr>
            <w:tcW w:w="1405" w:type="dxa"/>
            <w:tcBorders>
              <w:top w:val="single" w:sz="4" w:space="0" w:color="auto"/>
              <w:left w:val="nil"/>
              <w:bottom w:val="single" w:sz="4" w:space="0" w:color="auto"/>
              <w:right w:val="nil"/>
            </w:tcBorders>
            <w:shd w:val="clear" w:color="auto" w:fill="auto"/>
            <w:vAlign w:val="center"/>
            <w:hideMark/>
          </w:tcPr>
          <w:p w14:paraId="65E2160C"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proofErr w:type="spellStart"/>
            <w:r w:rsidRPr="00DC6866">
              <w:rPr>
                <w:rFonts w:ascii="Times New Roman" w:eastAsia="Times New Roman" w:hAnsi="Times New Roman" w:cs="Times New Roman"/>
                <w:b/>
                <w:bCs/>
                <w:color w:val="000000"/>
                <w:kern w:val="0"/>
                <w:sz w:val="24"/>
                <w:szCs w:val="24"/>
                <w:lang w:eastAsia="es-CO"/>
                <w14:ligatures w14:val="none"/>
              </w:rPr>
              <w:t>Year</w:t>
            </w:r>
            <w:proofErr w:type="spellEnd"/>
            <w:r w:rsidRPr="00DC6866">
              <w:rPr>
                <w:rFonts w:ascii="Times New Roman" w:eastAsia="Times New Roman" w:hAnsi="Times New Roman" w:cs="Times New Roman"/>
                <w:b/>
                <w:bCs/>
                <w:color w:val="000000"/>
                <w:kern w:val="0"/>
                <w:sz w:val="24"/>
                <w:szCs w:val="24"/>
                <w:lang w:eastAsia="es-CO"/>
                <w14:ligatures w14:val="none"/>
              </w:rPr>
              <w:t xml:space="preserve"> </w:t>
            </w:r>
            <w:proofErr w:type="spellStart"/>
            <w:r w:rsidRPr="00DC6866">
              <w:rPr>
                <w:rFonts w:ascii="Times New Roman" w:eastAsia="Times New Roman" w:hAnsi="Times New Roman" w:cs="Times New Roman"/>
                <w:b/>
                <w:bCs/>
                <w:color w:val="000000"/>
                <w:kern w:val="0"/>
                <w:sz w:val="24"/>
                <w:szCs w:val="24"/>
                <w:lang w:eastAsia="es-CO"/>
                <w14:ligatures w14:val="none"/>
              </w:rPr>
              <w:t>of</w:t>
            </w:r>
            <w:proofErr w:type="spellEnd"/>
            <w:r w:rsidRPr="00DC6866">
              <w:rPr>
                <w:rFonts w:ascii="Times New Roman" w:eastAsia="Times New Roman" w:hAnsi="Times New Roman" w:cs="Times New Roman"/>
                <w:b/>
                <w:bCs/>
                <w:color w:val="000000"/>
                <w:kern w:val="0"/>
                <w:sz w:val="24"/>
                <w:szCs w:val="24"/>
                <w:lang w:eastAsia="es-CO"/>
                <w14:ligatures w14:val="none"/>
              </w:rPr>
              <w:t xml:space="preserve"> </w:t>
            </w:r>
            <w:proofErr w:type="spellStart"/>
            <w:r w:rsidRPr="00DC6866">
              <w:rPr>
                <w:rFonts w:ascii="Times New Roman" w:eastAsia="Times New Roman" w:hAnsi="Times New Roman" w:cs="Times New Roman"/>
                <w:b/>
                <w:bCs/>
                <w:color w:val="000000"/>
                <w:kern w:val="0"/>
                <w:sz w:val="24"/>
                <w:szCs w:val="24"/>
                <w:lang w:eastAsia="es-CO"/>
                <w14:ligatures w14:val="none"/>
              </w:rPr>
              <w:t>record</w:t>
            </w:r>
            <w:proofErr w:type="spellEnd"/>
          </w:p>
        </w:tc>
        <w:tc>
          <w:tcPr>
            <w:tcW w:w="3130" w:type="dxa"/>
            <w:gridSpan w:val="2"/>
            <w:tcBorders>
              <w:top w:val="single" w:sz="4" w:space="0" w:color="auto"/>
              <w:left w:val="nil"/>
              <w:bottom w:val="single" w:sz="4" w:space="0" w:color="auto"/>
              <w:right w:val="nil"/>
            </w:tcBorders>
            <w:shd w:val="clear" w:color="auto" w:fill="auto"/>
            <w:vAlign w:val="center"/>
            <w:hideMark/>
          </w:tcPr>
          <w:p w14:paraId="2D74AB78" w14:textId="77777777" w:rsidR="00DC6866" w:rsidRPr="00DC6866" w:rsidRDefault="00DC6866" w:rsidP="00DC6866">
            <w:pPr>
              <w:spacing w:after="0" w:line="240" w:lineRule="auto"/>
              <w:jc w:val="center"/>
              <w:rPr>
                <w:rFonts w:ascii="Times New Roman" w:eastAsia="Times New Roman" w:hAnsi="Times New Roman" w:cs="Times New Roman"/>
                <w:b/>
                <w:bCs/>
                <w:color w:val="000000"/>
                <w:kern w:val="0"/>
                <w:sz w:val="24"/>
                <w:szCs w:val="24"/>
                <w:lang w:eastAsia="es-CO"/>
                <w14:ligatures w14:val="none"/>
              </w:rPr>
            </w:pPr>
            <w:r w:rsidRPr="00DC6866">
              <w:rPr>
                <w:rFonts w:ascii="Times New Roman" w:eastAsia="Times New Roman" w:hAnsi="Times New Roman" w:cs="Times New Roman"/>
                <w:b/>
                <w:bCs/>
                <w:color w:val="000000"/>
                <w:kern w:val="0"/>
                <w:sz w:val="24"/>
                <w:szCs w:val="24"/>
                <w:lang w:eastAsia="es-CO"/>
                <w14:ligatures w14:val="none"/>
              </w:rPr>
              <w:t>Reference</w:t>
            </w:r>
          </w:p>
        </w:tc>
      </w:tr>
      <w:tr w:rsidR="00DC6866" w:rsidRPr="00DC6866" w14:paraId="044F6005" w14:textId="77777777" w:rsidTr="00A80FE7">
        <w:trPr>
          <w:trHeight w:val="1200"/>
          <w:jc w:val="center"/>
        </w:trPr>
        <w:tc>
          <w:tcPr>
            <w:tcW w:w="1298" w:type="dxa"/>
            <w:vMerge w:val="restart"/>
            <w:tcBorders>
              <w:top w:val="nil"/>
              <w:left w:val="nil"/>
              <w:bottom w:val="single" w:sz="4" w:space="0" w:color="000000"/>
              <w:right w:val="nil"/>
            </w:tcBorders>
            <w:shd w:val="clear" w:color="auto" w:fill="auto"/>
            <w:noWrap/>
            <w:vAlign w:val="center"/>
            <w:hideMark/>
          </w:tcPr>
          <w:p w14:paraId="6D5E3F4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proofErr w:type="spellStart"/>
            <w:r w:rsidRPr="00DC6866">
              <w:rPr>
                <w:rFonts w:ascii="Times New Roman" w:eastAsia="Times New Roman" w:hAnsi="Times New Roman" w:cs="Times New Roman"/>
                <w:color w:val="000000"/>
                <w:kern w:val="0"/>
                <w:sz w:val="24"/>
                <w:szCs w:val="24"/>
                <w:lang w:eastAsia="es-CO"/>
                <w14:ligatures w14:val="none"/>
              </w:rPr>
              <w:t>Caribbean</w:t>
            </w:r>
            <w:proofErr w:type="spellEnd"/>
          </w:p>
        </w:tc>
        <w:tc>
          <w:tcPr>
            <w:tcW w:w="1581" w:type="dxa"/>
            <w:tcBorders>
              <w:top w:val="nil"/>
              <w:left w:val="nil"/>
              <w:bottom w:val="nil"/>
              <w:right w:val="nil"/>
            </w:tcBorders>
            <w:shd w:val="clear" w:color="auto" w:fill="auto"/>
            <w:noWrap/>
            <w:vAlign w:val="center"/>
            <w:hideMark/>
          </w:tcPr>
          <w:p w14:paraId="53AFAC6A" w14:textId="7828FE92"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vAlign w:val="center"/>
            <w:hideMark/>
          </w:tcPr>
          <w:p w14:paraId="15763BF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Atlántico, Cesar, La guajira, Sucre, Magdalena, Córdoba, Bolívar</w:t>
            </w:r>
          </w:p>
        </w:tc>
        <w:tc>
          <w:tcPr>
            <w:tcW w:w="544" w:type="dxa"/>
            <w:tcBorders>
              <w:top w:val="nil"/>
              <w:left w:val="nil"/>
              <w:bottom w:val="nil"/>
              <w:right w:val="nil"/>
            </w:tcBorders>
            <w:shd w:val="clear" w:color="auto" w:fill="auto"/>
            <w:noWrap/>
            <w:vAlign w:val="center"/>
            <w:hideMark/>
          </w:tcPr>
          <w:p w14:paraId="73E679CB"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9</w:t>
            </w:r>
          </w:p>
        </w:tc>
        <w:tc>
          <w:tcPr>
            <w:tcW w:w="1405" w:type="dxa"/>
            <w:tcBorders>
              <w:top w:val="nil"/>
              <w:left w:val="nil"/>
              <w:bottom w:val="nil"/>
              <w:right w:val="nil"/>
            </w:tcBorders>
            <w:shd w:val="clear" w:color="auto" w:fill="auto"/>
            <w:noWrap/>
            <w:vAlign w:val="center"/>
            <w:hideMark/>
          </w:tcPr>
          <w:p w14:paraId="6BDB5A8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2014</w:t>
            </w:r>
          </w:p>
        </w:tc>
        <w:tc>
          <w:tcPr>
            <w:tcW w:w="3130" w:type="dxa"/>
            <w:gridSpan w:val="2"/>
            <w:tcBorders>
              <w:top w:val="nil"/>
              <w:left w:val="nil"/>
              <w:bottom w:val="nil"/>
              <w:right w:val="nil"/>
            </w:tcBorders>
            <w:shd w:val="clear" w:color="auto" w:fill="auto"/>
            <w:noWrap/>
            <w:vAlign w:val="center"/>
            <w:hideMark/>
          </w:tcPr>
          <w:p w14:paraId="592BE725" w14:textId="7803ECCE"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{"citationItems":[{"id":"ITEM-1","itemData":{"DOI":"10.1016/j.pestbp.2014.09.014","ISSN":"10959939","PMID":"25454522","abstract":"We determined the susceptibility to insecticides and the biochemical and molecular mechanisms involved in resistance in nine populations of Aedes aegypti (L.) of the Colombian Caribbean region. Bioassays were performed on larvae for susceptibility to temephos and on adults to the insecticides malathion, fenitrothion, pirimiphos-methyl, permethrin, deltamethrin, λ-cyhalothrin and cyfluthrin. The resistance ratio (RR) for each insecticide in the populations was determined, using the susceptible Rockefeller strain as a susceptible control. Additionally, we evaluated the response of the populations to the diagnostic dose (DD) of the organochlorine pesticide DDT. The following biochemical mechanisms associated with resistance were studied: α-esterases, β-esterases, mixed-function oxidases (MFO), glutathione s-transferases (GST) and insensitive acetylcholinesterase (iAChE) as well as the presence of kdr I1,016 mutation and its frequency. All populations studied showed susceptibility to the organophosphates evaluated (RR &lt; 5-fold), except for the Puerto Colombia and Soledad populations which showed high resistance (RR 15-fold) and moderate resistance (RR 5-fold) to temephos, respectively, and Sincelejo (Sucre) with moderate resistance to pirimiphos-methyl (RR 5-fold). All populations evaluated with DD of DDT were found to be resistant with 2-28% of mortality. Variability was observed in the resistance to pyrethroids: permethrin (RR 1.2- to 30.8-fold), deltamethrin RR 0.9- to 37.8-fold), λ-cyalothrin (RR 3.4- to 83-fold) and cyfluthrin (RR 0.3- to 33.8-fold). Incipiently α-esterases and MFO levels were found in the Valledupar population; MFO showed the same profile in Cienaga and GST in the Sincelejo population, all other populations showed unaltered profiles of the enzymes evaluated. The kdr I1,016 mutation was found in all populations evaluated with variability in its allelic and genotypic frequencies.","author":[{"dropping-particle":"","family":"Maestre-Serrano","given":"Ronald","non-dropping-particle":"","parse-names":false,"suffix":""},{"dropping-particle":"","family":"Gomez-Camargo","given":"Doris","non-dropping-particle":"","parse-names":false,"suffix":""},{"dropping-particle":"","family":"Ponce-Garcia","given":"Gustavo","non-dropping-particle":"","parse-names":false,"suffix":""},{"dropping-particle":"","family":"Flores","given":"Adriana E.","non-dropping-particle":"","parse-names":false,"suffix":""}],"container-title":"Pesticide Biochemistry and Physiology","id":"ITEM-1","issued":{"date-parts":[["2014"]]},"page":"63-73","publisher":"Elsevier Inc.","title":"Susceptibility to insecticides and resistance mechanisms in Aedes aegypti from the Colombian Caribbean Region","type":"article-journal","volume":"116"},"uris":["http://www.mendeley.com/documents/?uuid=e059b62f-f59f-4ce6-8929-e46bd07e984e"]}],"mendeley":{"formattedCitation":"(Maestre-Serrano et al. 2014)","plainTextFormattedCitation":"(Maestre-Serrano et al. 2014)","previouslyFormattedCitation":"(Maestre-Serrano et al. 2014)"},"properties":{"noteIndex":0},"schema":"https://github.com/citation-style-language/schema/raw/master/csl-citation.json"}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(Maestre-Serrano et al. 2014)</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73B78C67" w14:textId="77777777" w:rsidTr="00A80FE7">
        <w:trPr>
          <w:trHeight w:val="300"/>
          <w:jc w:val="center"/>
        </w:trPr>
        <w:tc>
          <w:tcPr>
            <w:tcW w:w="1298" w:type="dxa"/>
            <w:vMerge/>
            <w:tcBorders>
              <w:top w:val="nil"/>
              <w:left w:val="nil"/>
              <w:bottom w:val="single" w:sz="4" w:space="0" w:color="000000"/>
              <w:right w:val="nil"/>
            </w:tcBorders>
            <w:vAlign w:val="center"/>
            <w:hideMark/>
          </w:tcPr>
          <w:p w14:paraId="742350AB"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09DA9A73" w14:textId="57BB3241"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2263D7A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Sucre</w:t>
            </w:r>
          </w:p>
        </w:tc>
        <w:tc>
          <w:tcPr>
            <w:tcW w:w="544" w:type="dxa"/>
            <w:tcBorders>
              <w:top w:val="nil"/>
              <w:left w:val="nil"/>
              <w:bottom w:val="nil"/>
              <w:right w:val="nil"/>
            </w:tcBorders>
            <w:shd w:val="clear" w:color="auto" w:fill="auto"/>
            <w:noWrap/>
            <w:vAlign w:val="center"/>
            <w:hideMark/>
          </w:tcPr>
          <w:p w14:paraId="6B555CD6"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nil"/>
              <w:left w:val="nil"/>
              <w:bottom w:val="nil"/>
              <w:right w:val="nil"/>
            </w:tcBorders>
            <w:shd w:val="clear" w:color="auto" w:fill="auto"/>
            <w:noWrap/>
            <w:vAlign w:val="center"/>
            <w:hideMark/>
          </w:tcPr>
          <w:p w14:paraId="44D773E7"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2009</w:t>
            </w:r>
          </w:p>
        </w:tc>
        <w:tc>
          <w:tcPr>
            <w:tcW w:w="3130" w:type="dxa"/>
            <w:gridSpan w:val="2"/>
            <w:tcBorders>
              <w:top w:val="nil"/>
              <w:left w:val="nil"/>
              <w:bottom w:val="nil"/>
              <w:right w:val="nil"/>
            </w:tcBorders>
            <w:shd w:val="clear" w:color="auto" w:fill="auto"/>
            <w:noWrap/>
            <w:vAlign w:val="center"/>
            <w:hideMark/>
          </w:tcPr>
          <w:p w14:paraId="18864FFE" w14:textId="37F3C44E"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{"citationItems":[{"id":"ITEM-1","itemData":{"DOI":"10.7705/biomedica.v33i0.1573","ISSN":"01204157","PMID":"24652253","abstract":"Introduction: Aedes aegypti is the principal vector of dengue in urban areas. Despite its epidemiological importance, the genetic variability of Colombian populations of this species is unknown. Objetive: To determine the genetic variability of mitocondrial gene ND4, which codes for subunit 4 of the enzyme NADH deshydrogenase, between populations of Ae. aegypti from municipalities of Sincelejo and Guaranda. The incidences of dengue reported from these two localities are high and low, respectively. Materials and methods: Genetic material extracted from 36 females of Ae. aegypti was used to determine the partial sequence of the mitocondrial gene ND4 as well as to estimate the parameters of nucleotidic and haplotypic diversities, genetic structure and gene flow between the Sincelejo and Guaranda populations. The molecular variance was also analysed and a haplotypic network constructed. Results: In all 36 nucleotide sequences of 282pb were obtained. These presented 12 polymorphic sites and could grouped into 10 haplotypes, two of them present in both populations, three exclusive to the Sincelejo population and five to that of Guaranda. The estimators of genetic structure (FST = 0.15) and gene flow (Nm = 1.40) are both indicative of genetic differentiation and a limited exchange of genes between the populations. Conclusions: The Sincelejo and Guaranda populations of Ae. aegypti are genetically divergent.","author":[{"dropping-particle":"","family":"Caldera","given":"Sandy Milena","non-dropping-particle":"","parse-names":false,"suffix":""},{"dropping-particle":"","family":"Jaramillo","given":"María Cristina","non-dropping-particle":"","parse-names":false,"suffix":""},{"dropping-particle":"","family":"Cochero","given":"Suljey","non-dropping-particle":"","parse-names":false,"suffix":""},{"dropping-particle":"","family":"Pérez-Doria","given":"Alveiro","non-dropping-particle":"","parse-names":false,"suffix":""},{"dropping-particle":"","family":"Bejarano","given":"Eduar Elías","non-dropping-particle":"","parse-names":false,"suffix":""}],"container-title":"Biomedica","id":"ITEM-1","issue":"Supl.1","issued":{"date-parts":[["2013"]]},"page":"89-98","title":"Diferencias genéticas entre poblaciones de Aedes aegypti de municipios del norte de Colombia, con baja y alta incidencia de dengue","type":"article-journal","volume":"33"},"uris":["http://www.mendeley.com/documents/?uuid=2ddfb427-4b29-4505-a9d2-2c4151a69424"]}],"mendeley":{"formattedCitation":"(Caldera et al. 2013)","plainTextFormattedCitation":"(Caldera et al. 2013)","previouslyFormattedCitation":"(Caldera et al. 2013)"},"properties":{"noteIndex":0},"schema":"https://github.com/citation-style-language/schema/raw/master/csl-citation.json"}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(Caldera et al. 2013)</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21534552" w14:textId="77777777" w:rsidTr="00A80FE7">
        <w:trPr>
          <w:trHeight w:val="300"/>
          <w:jc w:val="center"/>
        </w:trPr>
        <w:tc>
          <w:tcPr>
            <w:tcW w:w="1298" w:type="dxa"/>
            <w:vMerge/>
            <w:tcBorders>
              <w:top w:val="nil"/>
              <w:left w:val="nil"/>
              <w:bottom w:val="single" w:sz="4" w:space="0" w:color="000000"/>
              <w:right w:val="nil"/>
            </w:tcBorders>
            <w:vAlign w:val="center"/>
            <w:hideMark/>
          </w:tcPr>
          <w:p w14:paraId="6392300B"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7A4A1419" w14:textId="4383D456"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06F1F7D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Sucre</w:t>
            </w:r>
          </w:p>
        </w:tc>
        <w:tc>
          <w:tcPr>
            <w:tcW w:w="544" w:type="dxa"/>
            <w:tcBorders>
              <w:top w:val="nil"/>
              <w:left w:val="nil"/>
              <w:bottom w:val="nil"/>
              <w:right w:val="nil"/>
            </w:tcBorders>
            <w:shd w:val="clear" w:color="auto" w:fill="auto"/>
            <w:noWrap/>
            <w:vAlign w:val="center"/>
            <w:hideMark/>
          </w:tcPr>
          <w:p w14:paraId="0BBD0D2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15</w:t>
            </w:r>
          </w:p>
        </w:tc>
        <w:tc>
          <w:tcPr>
            <w:tcW w:w="1405" w:type="dxa"/>
            <w:tcBorders>
              <w:top w:val="nil"/>
              <w:left w:val="nil"/>
              <w:bottom w:val="nil"/>
              <w:right w:val="nil"/>
            </w:tcBorders>
            <w:shd w:val="clear" w:color="auto" w:fill="auto"/>
            <w:noWrap/>
            <w:vAlign w:val="center"/>
            <w:hideMark/>
          </w:tcPr>
          <w:p w14:paraId="6EAD7CA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2011-2013</w:t>
            </w:r>
          </w:p>
        </w:tc>
        <w:tc>
          <w:tcPr>
            <w:tcW w:w="3130" w:type="dxa"/>
            <w:gridSpan w:val="2"/>
            <w:tcBorders>
              <w:top w:val="nil"/>
              <w:left w:val="nil"/>
              <w:bottom w:val="nil"/>
              <w:right w:val="nil"/>
            </w:tcBorders>
            <w:shd w:val="clear" w:color="auto" w:fill="auto"/>
            <w:noWrap/>
            <w:vAlign w:val="center"/>
            <w:hideMark/>
          </w:tcPr>
          <w:p w14:paraId="109438CA" w14:textId="7816A7A9"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{"citationItems":[{"id":"ITEM-1","itemData":{"DOI":"10.7705/biomedica.v38i0.3728","ISSN":"0120-4157","abstract":"Introducción. Aedes aegypti es la especie de mosquito de mayor relevancia en América por transmitir los virus del dengue, del Zika, del chikungunya y de la fiebre amarilla. Tanto factores ecológicos como el control químico, pueden influir en la composición genética de las poblaciones de Ae. aegypti, por lo cual es necesaria su caracterización.Objetivo. Determinar la variabilidad genética de las poblaciones de Ae. aegypti en cuatro municipios del departamento de Sucre, Colombia.Materiales y métodos. Larvas de Ae. aegypti, recolectadas en los municipios de Sincelejo, Sampués, Corozal y Guaranda del departamento de Sucre, fueron criadas en laboratorio hasta el estado adulto. Como marcador genético, se utilizó un segmento del gen mitocondrial ND4, que codifica para la subunidad 4 de la enzima NADH-deshidrogenasa. El análisis genético incluyó la estimación de parámetros de diversidad de nucleótidos, haplotipos, de estructura genética y de flujo de genes.Resultados. Se obtuvieron 108 secuencias parciales de 357 nucleótidos y cuatro haplotipos de nucleótidos del gen ND4 de Ae. aegypti. Se encontró una diferenciación genética significativamente alta entre las poblaciones de Sampués y Guaranda mediante el índice de fijación (FST=0,59467), las de Sincelejo y Sampués (FST= 0,25637), y las de Corozal y Guaranda (FST= 0,22237). Se evidenció un gran flujo de genes (Nm=infinito) entre las poblaciones de Sincelejo y Corozal.Conclusión. Existen diferencias genéticas entre las poblaciones del mosquito Ae. aegypti de los municipios del departamento de Sucre. Se registra la presencia de un nuevo haplotipo del gen mitocondrial ND4 de Ae. aegypti en Colombia, el cual fue detectado en el municipio de Sincelejo.","author":[{"dropping-particle":"","family":"Atencia","given":"Maria Claudia","non-dropping-particle":"","parse-names":false,"suffix":""},{"dropping-particle":"","family":"Pérez","given":"María De Jesús","non-dropping-particle":"","parse-names":false,"suffix":""},{"dropping-particle":"","family":"Caldera","given":"Sandy Milena","non-dropping-particle":"","parse-names":false,"suffix":""},{"dropping-particle":"","family":"Jaramillo","given":"María Cristina","non-dropping-particle":"","parse-names":false,"suffix":""},{"dropping-particle":"","family":"Bejarano","given":"Eduar Elias","non-dropping-particle":"","parse-names":false,"suffix":""}],"container-title":"Biomédica","id":"ITEM-1","issue":"2","issued":{"date-parts":[["2018"]]},"page":"267-276","title":"Variabilidad genética de Aedes aegypti en el departamento de Sucre, Colombia, mediante el análisis de la secuencia de nucleótidos del gen mitocondrial ND4","type":"article-journal","volume":"38"},"uris":["http://www.mendeley.com/documents/?uuid=42626ead-b201-4ebd-ad92-08860c81a501"]}],"mendeley":{"formattedCitation":"(Atencia et al. 2018)","plainTextFormattedCitation":"(Atencia et al. 2018)","previouslyFormattedCitation":"(Atencia et al. 2018)"},"properties":{"noteIndex":0},"schema":"https://github.com/citation-style-language/schema/raw/master/csl-citation.json"}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(Atencia et al. 2018)</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4E4BAD4B" w14:textId="77777777" w:rsidTr="00A80FE7">
        <w:trPr>
          <w:trHeight w:val="300"/>
          <w:jc w:val="center"/>
        </w:trPr>
        <w:tc>
          <w:tcPr>
            <w:tcW w:w="1298" w:type="dxa"/>
            <w:vMerge w:val="restart"/>
            <w:tcBorders>
              <w:top w:val="nil"/>
              <w:left w:val="nil"/>
              <w:bottom w:val="single" w:sz="4" w:space="0" w:color="000000"/>
              <w:right w:val="nil"/>
            </w:tcBorders>
            <w:shd w:val="clear" w:color="auto" w:fill="auto"/>
            <w:noWrap/>
            <w:vAlign w:val="center"/>
            <w:hideMark/>
          </w:tcPr>
          <w:p w14:paraId="12972D8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proofErr w:type="spellStart"/>
            <w:r w:rsidRPr="00DC6866">
              <w:rPr>
                <w:rFonts w:ascii="Times New Roman" w:eastAsia="Times New Roman" w:hAnsi="Times New Roman" w:cs="Times New Roman"/>
                <w:color w:val="000000"/>
                <w:kern w:val="0"/>
                <w:sz w:val="24"/>
                <w:szCs w:val="24"/>
                <w:lang w:eastAsia="es-CO"/>
                <w14:ligatures w14:val="none"/>
              </w:rPr>
              <w:t>Pacific</w:t>
            </w:r>
            <w:proofErr w:type="spellEnd"/>
          </w:p>
        </w:tc>
        <w:tc>
          <w:tcPr>
            <w:tcW w:w="1581" w:type="dxa"/>
            <w:tcBorders>
              <w:top w:val="single" w:sz="4" w:space="0" w:color="auto"/>
              <w:left w:val="nil"/>
              <w:bottom w:val="nil"/>
              <w:right w:val="nil"/>
            </w:tcBorders>
            <w:shd w:val="clear" w:color="auto" w:fill="auto"/>
            <w:noWrap/>
            <w:vAlign w:val="center"/>
            <w:hideMark/>
          </w:tcPr>
          <w:p w14:paraId="4CB9C272" w14:textId="55E919D1"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single" w:sz="4" w:space="0" w:color="auto"/>
              <w:left w:val="nil"/>
              <w:bottom w:val="nil"/>
              <w:right w:val="nil"/>
            </w:tcBorders>
            <w:shd w:val="clear" w:color="auto" w:fill="auto"/>
            <w:noWrap/>
            <w:vAlign w:val="center"/>
            <w:hideMark/>
          </w:tcPr>
          <w:p w14:paraId="0D6570AD"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Chocó</w:t>
            </w:r>
          </w:p>
        </w:tc>
        <w:tc>
          <w:tcPr>
            <w:tcW w:w="544" w:type="dxa"/>
            <w:tcBorders>
              <w:top w:val="single" w:sz="4" w:space="0" w:color="auto"/>
              <w:left w:val="nil"/>
              <w:bottom w:val="nil"/>
              <w:right w:val="nil"/>
            </w:tcBorders>
            <w:shd w:val="clear" w:color="auto" w:fill="auto"/>
            <w:noWrap/>
            <w:vAlign w:val="center"/>
            <w:hideMark/>
          </w:tcPr>
          <w:p w14:paraId="07A0477C"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single" w:sz="4" w:space="0" w:color="auto"/>
              <w:left w:val="nil"/>
              <w:bottom w:val="nil"/>
              <w:right w:val="nil"/>
            </w:tcBorders>
            <w:shd w:val="clear" w:color="auto" w:fill="auto"/>
            <w:noWrap/>
            <w:vAlign w:val="center"/>
            <w:hideMark/>
          </w:tcPr>
          <w:p w14:paraId="2AE32116"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2015</w:t>
            </w:r>
          </w:p>
        </w:tc>
        <w:tc>
          <w:tcPr>
            <w:tcW w:w="3130" w:type="dxa"/>
            <w:gridSpan w:val="2"/>
            <w:tcBorders>
              <w:top w:val="single" w:sz="4" w:space="0" w:color="auto"/>
              <w:left w:val="nil"/>
              <w:bottom w:val="nil"/>
              <w:right w:val="nil"/>
            </w:tcBorders>
            <w:shd w:val="clear" w:color="auto" w:fill="auto"/>
            <w:noWrap/>
            <w:vAlign w:val="center"/>
            <w:hideMark/>
          </w:tcPr>
          <w:p w14:paraId="667915F1" w14:textId="2662BFA5"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{"citationItems":[{"id":"ITEM-1","itemData":{"ISSN":"0120-4157","author":[{"dropping-particle":"","family":"Carvajal","given":"José Joaquín","non-dropping-particle":"","parse-names":false,"suffix":""},{"dropping-particle":"","family":"Honorio","given":"Nildimar Alves","non-dropping-particle":"","parse-names":false,"suffix":""},{"dropping-particle":"","family":"Díaz","given":"Silvia Patricia","non-dropping-particle":"","parse-names":false,"suffix":""},{"dropping-particle":"","family":"Ruiz","given":"Edinso Rafael","non-dropping-particle":"","parse-names":false,"suffix":""},{"dropping-particle":"","family":"Asprilla","given":"Jimmy","non-dropping-particle":"","parse-names":false,"suffix":""},{"dropping-particle":"","family":"Ardila","given":"Susanne","non-dropping-particle":"","parse-names":false,"suffix":""},{"dropping-particle":"","family":"Parra-Henao","given":"Gabriel","non-dropping-particle":"","parse-names":false,"suffix":""}],"container-title":"Biomedica","id":"ITEM-1","issued":{"date-parts":[["2016"]]},"page":"438-446","title":"Detección de Aedes albopictus (Skuse) (Diptera: Culicidae) en el municipio de Istmina, Chocó, Colombia","type":"article-journal","volume":"36"},"uris":["http://www.mendeley.com/documents/?uuid=cd8e2877-52db-4a84-a82f-96dbf446fdaf"]}],"mendeley":{"formattedCitation":"(Carvajal et al. 2016)","plainTextFormattedCitation":"(Carvajal et al. 2016)","previouslyFormattedCitation":"(Carvajal et al. 2016)"},"properties":{"noteIndex":0},"schema":"https://github.com/citation-style-language/schema/raw/master/csl-citation.json"}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(Carvajal et al. 2016)</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218C4F5C" w14:textId="77777777" w:rsidTr="00A80FE7">
        <w:trPr>
          <w:trHeight w:val="300"/>
          <w:jc w:val="center"/>
        </w:trPr>
        <w:tc>
          <w:tcPr>
            <w:tcW w:w="1298" w:type="dxa"/>
            <w:vMerge/>
            <w:tcBorders>
              <w:top w:val="nil"/>
              <w:left w:val="nil"/>
              <w:bottom w:val="single" w:sz="4" w:space="0" w:color="000000"/>
              <w:right w:val="nil"/>
            </w:tcBorders>
            <w:vAlign w:val="center"/>
            <w:hideMark/>
          </w:tcPr>
          <w:p w14:paraId="484401EB"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740A6EE2" w14:textId="6A90537F"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4F4CBE2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Valle del Cauca</w:t>
            </w:r>
          </w:p>
        </w:tc>
        <w:tc>
          <w:tcPr>
            <w:tcW w:w="544" w:type="dxa"/>
            <w:tcBorders>
              <w:top w:val="nil"/>
              <w:left w:val="nil"/>
              <w:bottom w:val="nil"/>
              <w:right w:val="nil"/>
            </w:tcBorders>
            <w:shd w:val="clear" w:color="auto" w:fill="auto"/>
            <w:noWrap/>
            <w:vAlign w:val="center"/>
            <w:hideMark/>
          </w:tcPr>
          <w:p w14:paraId="4E26AC5D"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5</w:t>
            </w:r>
          </w:p>
        </w:tc>
        <w:tc>
          <w:tcPr>
            <w:tcW w:w="1405" w:type="dxa"/>
            <w:tcBorders>
              <w:top w:val="nil"/>
              <w:left w:val="nil"/>
              <w:bottom w:val="nil"/>
              <w:right w:val="nil"/>
            </w:tcBorders>
            <w:shd w:val="clear" w:color="auto" w:fill="auto"/>
            <w:noWrap/>
            <w:vAlign w:val="center"/>
            <w:hideMark/>
          </w:tcPr>
          <w:p w14:paraId="3CAF445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2001</w:t>
            </w:r>
          </w:p>
        </w:tc>
        <w:tc>
          <w:tcPr>
            <w:tcW w:w="3130" w:type="dxa"/>
            <w:gridSpan w:val="2"/>
            <w:tcBorders>
              <w:top w:val="nil"/>
              <w:left w:val="nil"/>
              <w:bottom w:val="nil"/>
              <w:right w:val="nil"/>
            </w:tcBorders>
            <w:shd w:val="clear" w:color="auto" w:fill="auto"/>
            <w:noWrap/>
            <w:vAlign w:val="center"/>
            <w:hideMark/>
          </w:tcPr>
          <w:p w14:paraId="2ADDFEFF" w14:textId="3655CD76"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{"citationItems":[{"id":"ITEM-1","itemData":{"author":[{"dropping-particle":"","family":"Suárez","given":"M","non-dropping-particle":"","parse-names":false,"suffix":""}],"container-title":"Informe Quincenal Epidemiológico Nacional","id":"ITEM-1","issue":"15","issued":{"date-parts":[["2001"]]},"page":"221-236","title":"Aedes albopictus (Skuse) (Diptera, Culicidae) en Buenaventura, Colombia","type":"article-journal","volume":"6"},"uris":["http://www.mendeley.com/documents/?uuid=cbfdc6aa-ae5b-4b48-8a0d-6b37165f772b"]}],"mendeley":{"formattedCitation":"(Suárez 2001)","plainTextFormattedCitation":"(Suárez 2001)","previouslyFormattedCitation":"(Suárez 2001)"},"properties":{"noteIndex":0},"schema":"https://github.com/citation-style-language/schema/raw/master/csl-citation.json"}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(Suárez 2001)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551CB2F" w14:textId="77777777" w:rsidTr="00A80FE7">
        <w:trPr>
          <w:trHeight w:val="300"/>
          <w:jc w:val="center"/>
        </w:trPr>
        <w:tc>
          <w:tcPr>
            <w:tcW w:w="1298" w:type="dxa"/>
            <w:vMerge/>
            <w:tcBorders>
              <w:top w:val="nil"/>
              <w:left w:val="nil"/>
              <w:bottom w:val="single" w:sz="4" w:space="0" w:color="000000"/>
              <w:right w:val="nil"/>
            </w:tcBorders>
            <w:vAlign w:val="center"/>
            <w:hideMark/>
          </w:tcPr>
          <w:p w14:paraId="1ECD4448"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single" w:sz="4" w:space="0" w:color="auto"/>
              <w:right w:val="nil"/>
            </w:tcBorders>
            <w:shd w:val="clear" w:color="auto" w:fill="auto"/>
            <w:noWrap/>
            <w:vAlign w:val="center"/>
            <w:hideMark/>
          </w:tcPr>
          <w:p w14:paraId="43C1390D" w14:textId="3DE0108B"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single" w:sz="4" w:space="0" w:color="auto"/>
              <w:right w:val="nil"/>
            </w:tcBorders>
            <w:shd w:val="clear" w:color="auto" w:fill="auto"/>
            <w:noWrap/>
            <w:vAlign w:val="center"/>
            <w:hideMark/>
          </w:tcPr>
          <w:p w14:paraId="66B678B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Valle del Cauca</w:t>
            </w:r>
          </w:p>
        </w:tc>
        <w:tc>
          <w:tcPr>
            <w:tcW w:w="544" w:type="dxa"/>
            <w:tcBorders>
              <w:top w:val="nil"/>
              <w:left w:val="nil"/>
              <w:bottom w:val="single" w:sz="4" w:space="0" w:color="auto"/>
              <w:right w:val="nil"/>
            </w:tcBorders>
            <w:shd w:val="clear" w:color="auto" w:fill="auto"/>
            <w:noWrap/>
            <w:vAlign w:val="center"/>
            <w:hideMark/>
          </w:tcPr>
          <w:p w14:paraId="0142124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6</w:t>
            </w:r>
          </w:p>
        </w:tc>
        <w:tc>
          <w:tcPr>
            <w:tcW w:w="1405" w:type="dxa"/>
            <w:tcBorders>
              <w:top w:val="nil"/>
              <w:left w:val="nil"/>
              <w:bottom w:val="single" w:sz="4" w:space="0" w:color="auto"/>
              <w:right w:val="nil"/>
            </w:tcBorders>
            <w:shd w:val="clear" w:color="auto" w:fill="auto"/>
            <w:noWrap/>
            <w:vAlign w:val="center"/>
            <w:hideMark/>
          </w:tcPr>
          <w:p w14:paraId="5EC2C7D6"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2006</w:t>
            </w:r>
          </w:p>
        </w:tc>
        <w:tc>
          <w:tcPr>
            <w:tcW w:w="3130" w:type="dxa"/>
            <w:gridSpan w:val="2"/>
            <w:tcBorders>
              <w:top w:val="nil"/>
              <w:left w:val="nil"/>
              <w:bottom w:val="single" w:sz="4" w:space="0" w:color="auto"/>
              <w:right w:val="nil"/>
            </w:tcBorders>
            <w:shd w:val="clear" w:color="auto" w:fill="auto"/>
            <w:noWrap/>
            <w:vAlign w:val="center"/>
            <w:hideMark/>
          </w:tcPr>
          <w:p w14:paraId="71794B7C" w14:textId="19334D43"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{"citationItems":[{"id":"ITEM-1","itemData":{"DOI":"10.7705/biomedica.v27i2.224","ISSN":"01204157","PMID":"17713638","abstract":"Introduction. Aedes albopictus is the second most important dengue virus vector in the Asian southeast after Aedes aegypti. Its entrance into the Americas occurred in 1985, and laboratory studies performed show its potential as a vector in this continent as well. In Colombia, this specie has been reported in Leticia (Amazonas) in 1998 and Buenaventura (Valle del Cauca) in 2001, The latest discoveries show that this mosquito continues to advance toward the country's interior. Objective. To inform the presence of A. albopictus is documented in the city of Cali, Valle del Cauca, Colombia. Materials and Methods. Since 2002, weekly sampling has been performed using larval traps located at seventeen stations. The identification of the A. albopictus species, was carried out in the Unidad de Entomología, Laboratorio de Salud Pública Departamental. These identifications were confirmed in the Entomology Laboratory at Universidad del Valle and the National Institute of Health in Bogotá. Results. From April to June of 2006, larvae of A. albopictus were found in six sampling stations located between northwest and northeast of Cali, one of them in the suburban area of the Yumbo city. Conclusion. The control of A. aegypti and A. albopictus must be integrated into a single program. The surveillance in the cities and nearest departments must be intensified with the objective of limiting the advancement of A. albopictus.","author":[{"dropping-particle":"","family":"Cuéllar-Jiménez","given":"María Elena","non-dropping-particle":"","parse-names":false,"suffix":""},{"dropping-particle":"","family":"Velásquez-Escobar","given":"Olga Lucía","non-dropping-particle":"","parse-names":false,"suffix":""},{"dropping-particle":"","family":"González-Obando","given":"Ranulfo","non-dropping-particle":"","parse-names":false,"suffix":""},{"dropping-particle":"","family":"Morales-Reichmann","given":"Carlos Andrés","non-dropping-particle":"","parse-names":false,"suffix":""}],"container-title":"Biomedica","id":"ITEM-1","issue":"2","issued":{"date-parts":[["2007"]]},"page":"273-279","title":"Detección de Aedes albopictus (Skuse) (Diptera: Culicidae) en la ciudad de Cali, Valle del Cauca, Colombia","type":"article-journal","volume":"27"},"uris":["http://www.mendeley.com/documents/?uuid=b0c20c6b-014b-496e-a137-5fd38512c838"]}],"mendeley":{"formattedCitation":"(Cuéllar-Jiménez et al. 2007)","plainTextFormattedCitation":"(Cuéllar-Jiménez et al. 2007)","previouslyFormattedCitation":"(Cuéllar-Jiménez et al. 2007)"},"properties":{"noteIndex":0},"schema":"https://github.com/citation-style-language/schema/raw/master/csl-citation.json"}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(Cuéllar-Jiménez et al. 2007)</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75E71B44" w14:textId="77777777" w:rsidTr="00A80FE7">
        <w:trPr>
          <w:trHeight w:val="300"/>
          <w:jc w:val="center"/>
        </w:trPr>
        <w:tc>
          <w:tcPr>
            <w:tcW w:w="1298" w:type="dxa"/>
            <w:vMerge w:val="restart"/>
            <w:tcBorders>
              <w:top w:val="nil"/>
              <w:left w:val="nil"/>
              <w:bottom w:val="single" w:sz="4" w:space="0" w:color="000000"/>
              <w:right w:val="nil"/>
            </w:tcBorders>
            <w:shd w:val="clear" w:color="auto" w:fill="auto"/>
            <w:noWrap/>
            <w:vAlign w:val="center"/>
            <w:hideMark/>
          </w:tcPr>
          <w:p w14:paraId="3DEC9CB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proofErr w:type="spellStart"/>
            <w:r w:rsidRPr="00DC6866">
              <w:rPr>
                <w:rFonts w:ascii="Times New Roman" w:eastAsia="Times New Roman" w:hAnsi="Times New Roman" w:cs="Times New Roman"/>
                <w:color w:val="000000"/>
                <w:kern w:val="0"/>
                <w:sz w:val="24"/>
                <w:szCs w:val="24"/>
                <w:lang w:eastAsia="es-CO"/>
                <w14:ligatures w14:val="none"/>
              </w:rPr>
              <w:t>Andean</w:t>
            </w:r>
            <w:proofErr w:type="spellEnd"/>
          </w:p>
        </w:tc>
        <w:tc>
          <w:tcPr>
            <w:tcW w:w="1581" w:type="dxa"/>
            <w:tcBorders>
              <w:top w:val="nil"/>
              <w:left w:val="nil"/>
              <w:bottom w:val="nil"/>
              <w:right w:val="nil"/>
            </w:tcBorders>
            <w:shd w:val="clear" w:color="auto" w:fill="auto"/>
            <w:noWrap/>
            <w:vAlign w:val="center"/>
            <w:hideMark/>
          </w:tcPr>
          <w:p w14:paraId="39452618" w14:textId="57E7836E"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2CD34C19"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411B2BB5"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10</w:t>
            </w:r>
          </w:p>
        </w:tc>
        <w:tc>
          <w:tcPr>
            <w:tcW w:w="1405" w:type="dxa"/>
            <w:tcBorders>
              <w:top w:val="nil"/>
              <w:left w:val="nil"/>
              <w:bottom w:val="nil"/>
              <w:right w:val="nil"/>
            </w:tcBorders>
            <w:shd w:val="clear" w:color="auto" w:fill="auto"/>
            <w:noWrap/>
            <w:vAlign w:val="center"/>
            <w:hideMark/>
          </w:tcPr>
          <w:p w14:paraId="4A68835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2011</w:t>
            </w:r>
          </w:p>
        </w:tc>
        <w:tc>
          <w:tcPr>
            <w:tcW w:w="3130" w:type="dxa"/>
            <w:gridSpan w:val="2"/>
            <w:tcBorders>
              <w:top w:val="nil"/>
              <w:left w:val="nil"/>
              <w:bottom w:val="nil"/>
              <w:right w:val="nil"/>
            </w:tcBorders>
            <w:shd w:val="clear" w:color="auto" w:fill="auto"/>
            <w:noWrap/>
            <w:vAlign w:val="center"/>
            <w:hideMark/>
          </w:tcPr>
          <w:p w14:paraId="2682759F" w14:textId="27C88AC5"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{"citationItems":[{"id":"ITEM-1","itemData":{"abstract":"Se detecta por primera vez Aedes (Stegomyia) albopictus (Skuse, 1894) en Medellín, ciudad a más de 1400 m.s.n.m y la más poblada del país en donde el dengue es endémico por la transmisión de Ae. aegypti (Linnaeus, 1762). Aedes albopictus que es vector del dengue, fiebre amarilla y otros arbovirus en el sudeste asiático, fue detectado en Medellín mediante el empleo de ovitrampas y larvitrampas colo - cadas en diferentes sitios de la ciudad como terminales de transporte, plazas de mercadeo, zonas forestales y áreas de alta transmisión de dengue. Las especies recolectadas, además de Ae. aegypti, correspondieron a ejemplares de Ae. albopictus, de los cuales se realizaron se - ries de mosquitos para identificarlos en dife - rentes estados de vida. Aedes albopictus, ade - más de ser antropofílico, se ha indicado que también se alimenta de sangre de diferentes especies de animales (aves, conejos, perros y ardillas, entre otros) y que oviposita tanto en criaderos naturales (cavidades de árboles, to - cones de bambú) como artificiales (tanques, neumáticos y otros recipientes empleados por el hombre en el intra y peridomicilio). La flexi - bilidad ecológica de Ae. albopictus evidencia la capacidad de adaptación de esta especie y el riesgo potencial en la transmisión de dengue. Aunque su papel como vector en las Américas se ha demostrado muy poco, diferente a lo re - gistrado en Asia, es probable que en un futuro cercano llegue a ser un vector eficiente de den - gue en nuestra región, razón por la cual la de - tección de este mosquito en la ciudad plantea nuevos retos para el control, en donde la co - munidad debe tener una mayor participación. La eliminación de los sitios de cría (naturales o artificiales), y colaborar con las actividades de prevención que realiza la Secretaria de Salud de Medellín son acciones fundamentales que debe realizar la comunidad como correspon - sable para el control del dengue en Medellín","author":[{"dropping-particle":"","family":"Rúa-Uribe","given":"Guillermo.","non-dropping-particle":"","parse-names":false,"suffix":""},{"dropping-particle":"","family":"Suárez Acosta","given":"Carolina","non-dropping-particle":"","parse-names":false,"suffix":""},{"dropping-particle":"","family":"Londoño","given":"Viviana.","non-dropping-particle":"","parse-names":false,"suffix":""},{"dropping-particle":"","family":"Sanchez","given":"James.","non-dropping-particle":"","parse-names":false,"suffix":""},{"dropping-particle":"","family":"Rojo","given":"Raúl","non-dropping-particle":"","parse-names":false,"suffix":""},{"dropping-particle":"","family":"Novoa","given":"Betsy","non-dropping-particle":"","parse-names":false,"suffix":""}],"container-title":"Revista Salud Pública de Medellín","id":"ITEM-1","issue":"62","issued":{"date-parts":[["2011"]]},"page":"89-98","title":"Primera evidencia de Aedes albopictus (Skuse) (Diptera: Culicidae) en la ciudad de Medellín, Antioquia - Colombia","type":"article-journal","volume":"5"},"uris":["http://www.mendeley.com/documents/?uuid=28a1cffa-8a8b-4aba-b799-801b964c23ef"]}],"mendeley":{"formattedCitation":"(Rúa-Uribe et al. 2011)","plainTextFormattedCitation":"(Rúa-Uribe et al. 2011)","previouslyFormattedCitation":"(Rúa-Uribe et al. 2011)"},"properties":{"noteIndex":0},"schema":"https://github.com/citation-style-language/schema/raw/master/csl-citation.json"}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(Rúa-Uribe et al. 2011)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2E7C3FE1" w14:textId="77777777" w:rsidTr="00A80FE7">
        <w:trPr>
          <w:trHeight w:val="300"/>
          <w:jc w:val="center"/>
        </w:trPr>
        <w:tc>
          <w:tcPr>
            <w:tcW w:w="1298" w:type="dxa"/>
            <w:vMerge/>
            <w:tcBorders>
              <w:top w:val="nil"/>
              <w:left w:val="nil"/>
              <w:bottom w:val="single" w:sz="4" w:space="0" w:color="000000"/>
              <w:right w:val="nil"/>
            </w:tcBorders>
            <w:vAlign w:val="center"/>
            <w:hideMark/>
          </w:tcPr>
          <w:p w14:paraId="3E0DFCFC"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39AF1DFF" w14:textId="67A9F21E"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0E1EA04C"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47F84339"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nil"/>
              <w:left w:val="nil"/>
              <w:bottom w:val="nil"/>
              <w:right w:val="nil"/>
            </w:tcBorders>
            <w:shd w:val="clear" w:color="auto" w:fill="auto"/>
            <w:noWrap/>
            <w:vAlign w:val="center"/>
            <w:hideMark/>
          </w:tcPr>
          <w:p w14:paraId="1A37C3B7"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2010</w:t>
            </w:r>
          </w:p>
        </w:tc>
        <w:tc>
          <w:tcPr>
            <w:tcW w:w="3130" w:type="dxa"/>
            <w:gridSpan w:val="2"/>
            <w:tcBorders>
              <w:top w:val="nil"/>
              <w:left w:val="nil"/>
              <w:bottom w:val="nil"/>
              <w:right w:val="nil"/>
            </w:tcBorders>
            <w:shd w:val="clear" w:color="auto" w:fill="auto"/>
            <w:noWrap/>
            <w:vAlign w:val="center"/>
            <w:hideMark/>
          </w:tcPr>
          <w:p w14:paraId="685C0D6F" w14:textId="5F31AF49"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{"citationItems":[{"id":"ITEM-1","itemData":{"DOI":"10.7705/biomedica.v34i3.2134","ISSN":"01204157","PMID":"25504128","abstract":"Introduction: Aedes (Stegomyia) aegypti is the main vector of dengue. Chemical insecticides have been used to control the mosquito and it has developed resistance. It is necessary to evaluate alternative strategies that are efficient, economical and easy to apply, such as ovitraps with Bacillus thuringiesis israeliensis. Objective: To evaluate the impact of ovitraps loaded with B. t. israeliensis on traditional indexes, as strategies for surveillance and control of A. aegypti. Materials and methods: We selected eight neighborhoods from the municipalities of Apartadó and Carepa. Two neighborhoods in each municipality were chosen for intervention and two for control. The intervention consisted in the installation of ovitraps with B. t. israeliensis in every house. The traps were visited each month between September, 2009, and March, 2010. Traditional indexes were obtained and compared among the neighborhoods. Ovitrap positivity index and egg density index were calculated and we generated density maps. Results: Five hundred and nineteen ovitraps were placed monthly; 3,114 samples were obtained, from which 76.4% were positive. We collected 501,425 eggs. In Apartadó, statistically significant differences were observed in the house, container and Breteau indexes. The ovitrap positivity index showed high risk of A. aegypti infestation and traditional indexes showed medium and low risk levels. Conclusions: Ovitraps had an impact on traditional indexes and proved to be useful strategies for surveillance and control of A. aegypti in Urabá, Antioquia.","author":[{"dropping-particle":"","family":"Alarcón","given":"Érika Patricia","non-dropping-particle":"","parse-names":false,"suffix":""},{"dropping-particle":"","family":"Segura","given":"Ángela María","non-dropping-particle":"","parse-names":false,"suffix":""},{"dropping-particle":"","family":"Rúa-Uribe","given":"Guillermo","non-dropping-particle":"","parse-names":false,"suffix":""},{"dropping-particle":"","family":"Parra-Henao","given":"Gabriel","non-dropping-particle":"","parse-names":false,"suffix":""}],"container-title":"Biomedica","id":"ITEM-1","issue":"3","issued":{"date-parts":[["2014"]]},"page":"409-424","title":"Evaluación de ovitrampas para vigilancia y control de Aedes aegypti en dos centros urbanos del Urabá antioqueño","type":"article-journal","volume":"34"},"uris":["http://www.mendeley.com/documents/?uuid=7a03698c-c405-4489-9549-a0ee73cb02d8"]}],"mendeley":{"formattedCitation":"(Alarcón et al. 2014)","plainTextFormattedCitation":"(Alarcón et al. 2014)","previouslyFormattedCitation":"(Alarcón et al. 2014)"},"properties":{"noteIndex":0},"schema":"https://github.com/citation-style-language/schema/raw/master/csl-citation.json"}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(Alarcón et al. 2014)</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3B4CF7BA" w14:textId="77777777" w:rsidTr="00A80FE7">
        <w:trPr>
          <w:trHeight w:val="300"/>
          <w:jc w:val="center"/>
        </w:trPr>
        <w:tc>
          <w:tcPr>
            <w:tcW w:w="1298" w:type="dxa"/>
            <w:vMerge/>
            <w:tcBorders>
              <w:top w:val="nil"/>
              <w:left w:val="nil"/>
              <w:bottom w:val="single" w:sz="4" w:space="0" w:color="000000"/>
              <w:right w:val="nil"/>
            </w:tcBorders>
            <w:vAlign w:val="center"/>
            <w:hideMark/>
          </w:tcPr>
          <w:p w14:paraId="6FAB6B6F"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1E457338" w14:textId="7DBA5CF5"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6961E26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6B37E9C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21</w:t>
            </w:r>
          </w:p>
        </w:tc>
        <w:tc>
          <w:tcPr>
            <w:tcW w:w="1405" w:type="dxa"/>
            <w:tcBorders>
              <w:top w:val="nil"/>
              <w:left w:val="nil"/>
              <w:bottom w:val="nil"/>
              <w:right w:val="nil"/>
            </w:tcBorders>
            <w:shd w:val="clear" w:color="auto" w:fill="auto"/>
            <w:noWrap/>
            <w:vAlign w:val="center"/>
            <w:hideMark/>
          </w:tcPr>
          <w:p w14:paraId="5B0F648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2016</w:t>
            </w:r>
          </w:p>
        </w:tc>
        <w:tc>
          <w:tcPr>
            <w:tcW w:w="3130" w:type="dxa"/>
            <w:gridSpan w:val="2"/>
            <w:tcBorders>
              <w:top w:val="nil"/>
              <w:left w:val="nil"/>
              <w:bottom w:val="nil"/>
              <w:right w:val="nil"/>
            </w:tcBorders>
            <w:shd w:val="clear" w:color="auto" w:fill="auto"/>
            <w:noWrap/>
            <w:vAlign w:val="center"/>
            <w:hideMark/>
          </w:tcPr>
          <w:p w14:paraId="788FAF82" w14:textId="33D54FB6" w:rsidR="00DC6866" w:rsidRPr="00DC6866" w:rsidRDefault="00235B62"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sidR="000304C9">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{"citationItems":[{"id":"ITEM-1","itemData":{"DOI":"10.7705/biomedica.v36i2.3301","ISSN":"01204157","PMID":"27622492","abstract":"Introduction: Aedes aegypti is the main vector of urban yellow fever, dengue, chikungunya and Zika viruses. The biogeographical distribution of this species has expanded due to global warming, and socioeconomic and cultural factors. The changes in the altitudinal distribution patterns of this vector and its natural infection are priority fields of research to develop entomological, virological and public health surveillance strategies. Objective: To evaluate the presence of A. aegypti and its natural infection with dengue virus in altitudes above 1.800 meters above sea level in two peripheral municipalities of the Valle de Aburrá, Antioquia, Colombia. Materials and methods: Twenty-one ovitraps were set in the municipalities of Bello and San Pedro de los Milagros, at altitudes ranging from 1.882 to 2.659 masl. Emerged adults caught in the ovitraps were tested by RT-PCR for dengue virus detection. Results: We collected 367 A. aegypti adults, seven of which were found as high as 2.302 masl in Tierradentro, Bello. We detected serotype 2 dengue infection in 12 A. aegypti specimens collected in the neighbourhood of París, in Bello, at 1.984 masl. Conclusion: We recorded A. aegypti at 2.302 masl, so far the highest altitudinal record in Colombia for this vector. Furthermore, mosquitoes collected at 1.984 masl were positive for dengue virus. These findings are significant as they identify regions in Colombia at risk of potential autochthonous transmission of dengue and other arboviruses by A. aegypti.","author":[{"dropping-particle":"","family":"Ruiz-López","given":"Freddy","non-dropping-particle":"","parse-names":false,"suffix":""},{"dropping-particle":"","family":"González-Mazo","given":"Ana","non-dropping-particle":"","parse-names":false,"suffix":""},{"dropping-particle":"","family":"Vélez-Mira","given":"Andrés","non-dropping-particle":"","parse-names":false,"suffix":""},{"dropping-particle":"","family":"Gómez","given":"Giovan F.","non-dropping-particle":"","parse-names":false,"suffix":""},{"dropping-particle":"","family":"Zuleta","given":"Luisa","non-dropping-particle":"","parse-names":false,"suffix":""},{"dropping-particle":"","family":"Uribe","given":"Sandra","non-dropping-particle":"","parse-names":false,"suffix":""},{"dropping-particle":"","family":"Vélez-Bernal","given":"Iván Darío","non-dropping-particle":"","parse-names":false,"suffix":""}],"container-title":"Biomedica","id":"ITEM-1","issue":"2","issued":{"date-parts":[["2016"]]},"page":"303-308","title":"Presencia de Aedes (Stegomyia) aegypti (Linnaeus, 1762) y su infección natural con el virus del dengue en alturas no registradas para Colombia","type":"article-journal","volume":"36"},"uris":["http://www.mendeley.com/documents/?uuid=d176dd6a-5543-4b51-be33-cada77f34039"]}],"mendeley":{"formattedCitation":"(Ruiz-López et al. 2016)","plainTextFormattedCitation":"(Ruiz-López et al. 2016)","previouslyFormattedCitation":"(Ruiz-López et al. 2016)"},"properties":{"noteIndex":0},"schema":"https://github.com/citation-style-language/schema/raw/master/csl-citation.json"}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235B62">
              <w:rPr>
                <w:rFonts w:ascii="Times New Roman" w:eastAsia="Times New Roman" w:hAnsi="Times New Roman" w:cs="Times New Roman"/>
                <w:noProof/>
                <w:color w:val="000000"/>
                <w:kern w:val="0"/>
                <w:sz w:val="24"/>
                <w:szCs w:val="24"/>
                <w:lang w:eastAsia="es-CO"/>
                <w14:ligatures w14:val="none"/>
              </w:rPr>
              <w:t>(Ruiz-López et al. 2016)</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7C28A2BA" w14:textId="77777777" w:rsidTr="00A80FE7">
        <w:trPr>
          <w:trHeight w:val="600"/>
          <w:jc w:val="center"/>
        </w:trPr>
        <w:tc>
          <w:tcPr>
            <w:tcW w:w="1298" w:type="dxa"/>
            <w:vMerge/>
            <w:tcBorders>
              <w:top w:val="nil"/>
              <w:left w:val="nil"/>
              <w:bottom w:val="single" w:sz="4" w:space="0" w:color="000000"/>
              <w:right w:val="nil"/>
            </w:tcBorders>
            <w:vAlign w:val="center"/>
            <w:hideMark/>
          </w:tcPr>
          <w:p w14:paraId="12C86AD2"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vAlign w:val="center"/>
            <w:hideMark/>
          </w:tcPr>
          <w:p w14:paraId="2DB6C25F" w14:textId="50A04200"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r w:rsidRPr="00DC6866">
              <w:rPr>
                <w:rFonts w:ascii="Times New Roman" w:eastAsia="Times New Roman" w:hAnsi="Times New Roman" w:cs="Times New Roman"/>
                <w:i/>
                <w:iCs/>
                <w:color w:val="000000"/>
                <w:kern w:val="0"/>
                <w:sz w:val="24"/>
                <w:szCs w:val="24"/>
                <w:lang w:eastAsia="es-CO"/>
                <w14:ligatures w14:val="none"/>
              </w:rPr>
              <w:t xml:space="preserve"> and 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574B864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076C6FB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w:t>
            </w:r>
          </w:p>
        </w:tc>
        <w:tc>
          <w:tcPr>
            <w:tcW w:w="1405" w:type="dxa"/>
            <w:tcBorders>
              <w:top w:val="nil"/>
              <w:left w:val="nil"/>
              <w:bottom w:val="nil"/>
              <w:right w:val="nil"/>
            </w:tcBorders>
            <w:shd w:val="clear" w:color="auto" w:fill="auto"/>
            <w:noWrap/>
            <w:vAlign w:val="center"/>
            <w:hideMark/>
          </w:tcPr>
          <w:p w14:paraId="6605E83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2017</w:t>
            </w:r>
          </w:p>
        </w:tc>
        <w:tc>
          <w:tcPr>
            <w:tcW w:w="3130" w:type="dxa"/>
            <w:gridSpan w:val="2"/>
            <w:tcBorders>
              <w:top w:val="nil"/>
              <w:left w:val="nil"/>
              <w:bottom w:val="nil"/>
              <w:right w:val="nil"/>
            </w:tcBorders>
            <w:shd w:val="clear" w:color="auto" w:fill="auto"/>
            <w:noWrap/>
            <w:vAlign w:val="center"/>
            <w:hideMark/>
          </w:tcPr>
          <w:p w14:paraId="0BA96231" w14:textId="052ECFC0" w:rsidR="00DC6866" w:rsidRPr="00DC6866" w:rsidRDefault="000304C9"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{"citationItems":[{"id":"ITEM-1","itemData":{"DOI":"10.1016/j.meegid.2020.104434","ISSN":"15677257","PMID":"32580028","abstract":"Due to the rapid spread of Zika virus (ZIKV) infection after its emergence in the Americas in 2015 and its relationship with birth defects, it became declared a Public Health Emergency of International Concern (WHO). The main mechanism by which this virus circulates in nature is horizontal transmission between vectors and humans. However, it has been suggested that vertical transmission (parent to offspring infection) or venereal mosquito-mosquito transmission may have an important role in viral populations maintenance during inter-epidemic periods. In this study we evaluate the presence of ZIKV in males and females of Aedes aegypti and Ae. albopictus in Medellín, Colombia, throughout the post-epidemic period of 2017 and 2018. A total of 7986 mosquitoes Aedes sp. resting within houses were captured and grouped in 2768 pools; 146 of these were RT-PCR positive for ZIKV, of which 38 (26%) were male mosquito pools (36 of Ae. aegypti and 2 of Ae. albopictus). The partial NS5 gene was sequenced in all ZIKV PCR-positive pools to confirm the ZIKV presence throughout spatial and temporal sampling. The results suggest a vector role of ZIKV by Ae. Albopictus; and because it is well known that male mosquitoes are not hematophagous, the high rate detection of ZIKV in male Aedes mosquitoes pools supports the existence of vertical or venereal transmission in Medellín, which can contribute to ZIKV maintenance during low transmission periods. This study provides a better understanding of the population dynamics of ZIKV in an endemic region during an inter-epidemic period and supports alternative transmission pathways as a mechanism to maintain endemism of this arbovirus.","author":[{"dropping-particle":"","family":"Calle-Tobón","given":"Arley","non-dropping-particle":"","parse-names":false,"suffix":""},{"dropping-particle":"","family":"Pérez-Pérez","given":"Juliana","non-dropping-particle":"","parse-names":false,"suffix":""},{"dropping-particle":"","family":"Rojo","given":"Raul","non-dropping-particle":"","parse-names":false,"suffix":""},{"dropping-particle":"","family":"Rojas-Montoya","given":"Winston","non-dropping-particle":"","parse-names":false,"suffix":""},{"dropping-particle":"","family":"Triana-Chavez","given":"Omar","non-dropping-particle":"","parse-names":false,"suffix":""},{"dropping-particle":"","family":"Rúa-Uribe","given":"Guillermo","non-dropping-particle":"","parse-names":false,"suffix":""},{"dropping-particle":"","family":"Gómez-Palacio","given":"Andrés","non-dropping-particle":"","parse-names":false,"suffix":""}],"container-title":"Infection, Genetics and Evolution","id":"ITEM-1","issued":{"date-parts":[["2020"]]},"page":"104434","publisher":"Elsevier","title":"Surveillance of Zika virus in field-caught Aedes aegypti and Aedes albopictus suggests important role of male mosquitoes in viral populations maintenance in Medellín, Colombia","type":"article-journal","volume":"85"},"uris":["http://www.mendeley.com/documents/?uuid=955b9e11-9b24-4301-83b3-9839b9f21438"]}],"mendeley":{"formattedCitation":"(Calle-Tobón et al. 2020)","plainTextFormattedCitation":"(Calle-Tobón et al. 2020)","previouslyFormattedCitation":"(Calle-Tobón et al. 2020)"},"properties":{"noteIndex":0},"schema":"https://github.com/citation-style-language/schema/raw/master/csl-citation.json"}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0304C9">
              <w:rPr>
                <w:rFonts w:ascii="Times New Roman" w:eastAsia="Times New Roman" w:hAnsi="Times New Roman" w:cs="Times New Roman"/>
                <w:noProof/>
                <w:color w:val="000000"/>
                <w:kern w:val="0"/>
                <w:sz w:val="24"/>
                <w:szCs w:val="24"/>
                <w:lang w:eastAsia="es-CO"/>
                <w14:ligatures w14:val="none"/>
              </w:rPr>
              <w:t>(Calle-Tobón et al. 2020)</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1EB1ADD9" w14:textId="77777777" w:rsidTr="00A80FE7">
        <w:trPr>
          <w:trHeight w:val="300"/>
          <w:jc w:val="center"/>
        </w:trPr>
        <w:tc>
          <w:tcPr>
            <w:tcW w:w="1298" w:type="dxa"/>
            <w:vMerge/>
            <w:tcBorders>
              <w:top w:val="nil"/>
              <w:left w:val="nil"/>
              <w:bottom w:val="single" w:sz="4" w:space="0" w:color="000000"/>
              <w:right w:val="nil"/>
            </w:tcBorders>
            <w:vAlign w:val="center"/>
            <w:hideMark/>
          </w:tcPr>
          <w:p w14:paraId="3DF7AADD"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6162AC56" w14:textId="2F10D856"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217A471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6B06341D"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w:t>
            </w:r>
          </w:p>
        </w:tc>
        <w:tc>
          <w:tcPr>
            <w:tcW w:w="1405" w:type="dxa"/>
            <w:tcBorders>
              <w:top w:val="nil"/>
              <w:left w:val="nil"/>
              <w:bottom w:val="nil"/>
              <w:right w:val="nil"/>
            </w:tcBorders>
            <w:shd w:val="clear" w:color="auto" w:fill="auto"/>
            <w:noWrap/>
            <w:vAlign w:val="center"/>
            <w:hideMark/>
          </w:tcPr>
          <w:p w14:paraId="680A38E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2017</w:t>
            </w:r>
          </w:p>
        </w:tc>
        <w:tc>
          <w:tcPr>
            <w:tcW w:w="3130" w:type="dxa"/>
            <w:gridSpan w:val="2"/>
            <w:tcBorders>
              <w:top w:val="nil"/>
              <w:left w:val="nil"/>
              <w:bottom w:val="nil"/>
              <w:right w:val="nil"/>
            </w:tcBorders>
            <w:shd w:val="clear" w:color="auto" w:fill="auto"/>
            <w:noWrap/>
            <w:vAlign w:val="center"/>
            <w:hideMark/>
          </w:tcPr>
          <w:p w14:paraId="6B3656ED" w14:textId="2B236DCF" w:rsidR="00DC6866" w:rsidRPr="00DC6866" w:rsidRDefault="000304C9"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{"citationItems":[{"id":"ITEM-1","itemData":{"DOI":"https://doi.org/10.7705/biomedica.v34i2.3474","ISSN":"0120-4157","abstract":"Introducción. Estudiar los triatominos en sus ecotopos naturales tiene gran significado en la epidemiología de la enfermedad de Chagas. La recolección de insectos vivos y su establecimiento en insectarios permite realizar incontables estudios. Por ello se necesitan métodos efectivos para la captura de triatominos silvestres, especialmente especies intrusas como Rhodnius prolixus. Objetivo. Comparar cuatro métodos para la captura de triatominos en palmas para medir su efectividad. Materiales y métodos. El estudio se realizó en la localidad de Maní, departamento de Casanare, Colombia, con predominio de A. butyracea. Se compararon cuatro metodologías en 67 palmas: trampas con cebo vivo, búsqueda directa en palmas, tala y disección. Resultados. Los métodos fueron efectivos para recolectar juveniles y adultos. La tala y la búsqueda manual mostraron los mayores índices de infestación (100% y 83,33%). La trampa Angulo mostró mayores índices de hacinamiento (4,93), densidad (3,76), rango de abundancia (1-13) e índice adulto /ninfa (0,22). La tala y disección fue el método que significativamente recolectó más triatominos en comparación con los otros (p&lt;0,002), seguido de la trampa Angulo. No se observaron diferencias en la captura de los estadios ninfales entre los métodos evaluados (p&gt;0,05). Conclusiones. Aunque la tala fue el mejor método para la recolección del mayor número de triatominos, los métodos con el cebo vivo con adhesivos o refugios para atrapar los insectos fueron es una buena alternativa. Entre ellos la trampa Angulo mostró mejores resultados y evita la exposición del investigador al riesgo yla intervención de ecotopos naturales.","author":[{"dropping-particle":"","family":"Gómez-Palacio","given":"Andrés","non-dropping-particle":"","parse-names":false,"suffix":""},{"dropping-particle":"","family":"Suaza-Vasco","given":"Juan","non-dropping-particle":"","parse-names":false,"suffix":""},{"dropping-particle":"","family":"Castaño","given":"Sandra","non-dropping-particle":"","parse-names":false,"suffix":""},{"dropping-particle":"","family":"Triana","given":"Omar","non-dropping-particle":"","parse-names":false,"suffix":""},{"dropping-particle":"","family":"Uribe","given":"Sandra","non-dropping-particle":"","parse-names":false,"suffix":""}],"container-title":"Biomédica","id":"ITEM-1","issue":"Supl.2","issued":{"date-parts":[["2017"]]},"page":"135-142","title":"Infección de Aedes albopictus (Skuse, 1894) con el genotipo asiático-americano del virus del dengue serotipo 2 en Medellín y su posible papel como vector del dengue en Colombia","type":"article-journal","volume":"37"},"uris":["http://www.mendeley.com/documents/?uuid=70570fdb-4c08-455b-8f04-4f0a31c4da8c"]}],"mendeley":{"formattedCitation":"(Gómez-Palacio et al. 2017)","plainTextFormattedCitation":"(Gómez-Palacio et al. 2017)","previouslyFormattedCitation":"(Gómez-Palacio et al. 2017)"},"properties":{"noteIndex":0},"schema":"https://github.com/citation-style-language/schema/raw/master/csl-citation.json"}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0304C9">
              <w:rPr>
                <w:rFonts w:ascii="Times New Roman" w:eastAsia="Times New Roman" w:hAnsi="Times New Roman" w:cs="Times New Roman"/>
                <w:noProof/>
                <w:color w:val="000000"/>
                <w:kern w:val="0"/>
                <w:sz w:val="24"/>
                <w:szCs w:val="24"/>
                <w:lang w:eastAsia="es-CO"/>
                <w14:ligatures w14:val="none"/>
              </w:rPr>
              <w:t>(Gómez-Palacio et al. 2017)</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2FD40FC6" w14:textId="77777777" w:rsidTr="00A80FE7">
        <w:trPr>
          <w:trHeight w:val="300"/>
          <w:jc w:val="center"/>
        </w:trPr>
        <w:tc>
          <w:tcPr>
            <w:tcW w:w="1298" w:type="dxa"/>
            <w:vMerge/>
            <w:tcBorders>
              <w:top w:val="nil"/>
              <w:left w:val="nil"/>
              <w:bottom w:val="single" w:sz="4" w:space="0" w:color="000000"/>
              <w:right w:val="nil"/>
            </w:tcBorders>
            <w:vAlign w:val="center"/>
            <w:hideMark/>
          </w:tcPr>
          <w:p w14:paraId="329A39E4"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61ABAA15" w14:textId="34482905"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11A8C1B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121B89E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w:t>
            </w:r>
          </w:p>
        </w:tc>
        <w:tc>
          <w:tcPr>
            <w:tcW w:w="1405" w:type="dxa"/>
            <w:tcBorders>
              <w:top w:val="nil"/>
              <w:left w:val="nil"/>
              <w:bottom w:val="nil"/>
              <w:right w:val="nil"/>
            </w:tcBorders>
            <w:shd w:val="clear" w:color="auto" w:fill="auto"/>
            <w:noWrap/>
            <w:vAlign w:val="center"/>
            <w:hideMark/>
          </w:tcPr>
          <w:p w14:paraId="458549C4"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2015-2019</w:t>
            </w:r>
          </w:p>
        </w:tc>
        <w:tc>
          <w:tcPr>
            <w:tcW w:w="3130" w:type="dxa"/>
            <w:gridSpan w:val="2"/>
            <w:tcBorders>
              <w:top w:val="nil"/>
              <w:left w:val="nil"/>
              <w:bottom w:val="nil"/>
              <w:right w:val="nil"/>
            </w:tcBorders>
            <w:shd w:val="clear" w:color="auto" w:fill="auto"/>
            <w:noWrap/>
            <w:vAlign w:val="center"/>
            <w:hideMark/>
          </w:tcPr>
          <w:p w14:paraId="256BB38E" w14:textId="614F4A18" w:rsidR="00DC6866" w:rsidRPr="00DC6866" w:rsidRDefault="000304C9"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sidR="00C915F4">
              <w:rPr>
                <w:rFonts w:ascii="Times New Roman" w:eastAsia="Times New Roman" w:hAnsi="Times New Roman" w:cs="Times New Roman"/>
                <w:color w:val="000000"/>
                <w:kern w:val="0"/>
                <w:sz w:val="24"/>
                <w:szCs w:val="24"/>
                <w:lang w:eastAsia="es-CO"/>
                <w14:ligatures w14:val="none"/>
              </w:rPr>
              <w:instrText>ADDIN CSL_CITATION {"citationItems":[{"id":"ITEM-1","itemData":{"DOI":"10.1371/journal.pone.0263143","ISSN":"19326203","PMID":"35895627","abstract":"Aedes spp. comprise the primary group of mosquitoes that transmit arboviruses such as dengue, Zika, and chikungunya viruses to humans, and thus these insects pose a significant burden on public health worldwide. Advancements in next-generation sequencing and metagenomics have expanded our knowledge on the richness of RNA viruses harbored by arthropods such as Ae. aegypti and Ae. albopictus. Increasing evidence suggests that vector competence can be modified by the microbiome (comprising both bacteriome and virome) of mosquitoes present in endemic zones. Using an RNA-seq-based metataxonomic approach, this study determined the virome structure, Wolbachia presence and mitochondrial diversity of field-caught Ae. aegypti and Ae. albopictus mosquitoes in Medellín, Colombia, a municipality with a high incidence of mosquito-transmitted arboviruses. The two species are sympatric, but their core viromes differed considerably in richness, diversity, and abundance; although the community of viral species identified was large and complex, the viromes were dominated by few virus species. BLAST searches of assembled contigs suggested that at least 17 virus species (16 of which are insect-specific viruses [ISVs]) infect the Ae. aegypti population. Dengue virus 3 was detected in one sample and it was the only pathogenic virus detected. In Ae. albopictus, up to 11 ISVs and one plant virus were detected. Therefore, the virome composition appears to be species-specific. The bacterial endosymbiont Wolbachia was identified in all Ae. albopictus samples and in some Ae. aegypti samples collected after 2017. The presence of Wolbachia sp. in Ae. aegypti was not related to significant changes in the richness, diversity, or abundance of this mosquito’s virome, although it was related to an increase in the abundance of Aedes aegypti To virus 2 (Metaviridae). The mitochondrial diversity of these mosquitoes suggested that the Ae. aegypti population underwent a change that started in the second half of 2017, which coincides with the release of Wolbachia-infected mosquitoes in Medellín, indicating that the population of wMel-infected mosquitoes released has introduced new alleles into the wild Ae. aegypti population of Medellín. However, additional studies are required on the dispersal speed and intergenerational stability of wMel in Medellín and nearby areas as well as on the introgression of genetic variants in the native mosquito population.","author":[{"dropping-particle":"","family":"Calle-Tobón","given":"Arley","non-dropping-particle":"","parse-names":false,"suffix":""},{"dropping-particle":"","family":"Pérez-Pérez","given":"Juliana","non-dropping-particle":"","parse-names":false,"suffix":""},{"dropping-particle":"","family":"Forero-Pineda","given":"Nicolás","non-dropping-particle":"","parse-names":false,"suffix":""},{"dropping-particle":"","family":"Chávez","given":"Omar Triana","non-dropping-particle":"","parse-names":false,"suffix":""},{"dropping-particle":"","family":"Rojas-Montoya","given":"Winston","non-dropping-particle":"","parse-names":false,"suffix":""},{"dropping-particle":"","family":"Rúa-Uribe","given":"Guillermo","non-dropping-particle":"","parse-names":false,"suffix":""},{"dropping-particle":"","family":"Palacio","given":"Andrés Gómez","non-dropping-particle":"","parse-names":false,"suffix":""}],"container-title":"bioRvix","id":"ITEM-1","issue":"7 July","issued":{"date-parts":[["2022"]]},"title":"Local-scale virome depiction in Medellín, Colombia, supports significant differences between Aedes aegypti and Aedes albopictus","type":"article-journal","volume":"17"},"uris":["http://www.mendeley.com/documents/?uuid=b36cf316-9ea8-4a98-a1f1-ba0b6c571f26"]}],"mendeley":{"formattedCitation":"(Calle-Tobón et al. 2022)","plainTextFormattedCitation":"(Calle-Tobón et al. 2022)","previouslyFormattedCitation":"(Calle-Tobón et al. 2022)"},"properties":{"noteIndex":0},"schema":"https://github.com/citation-style-language/schema/raw/master/csl-citation.json"}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0304C9">
              <w:rPr>
                <w:rFonts w:ascii="Times New Roman" w:eastAsia="Times New Roman" w:hAnsi="Times New Roman" w:cs="Times New Roman"/>
                <w:noProof/>
                <w:color w:val="000000"/>
                <w:kern w:val="0"/>
                <w:sz w:val="24"/>
                <w:szCs w:val="24"/>
                <w:lang w:eastAsia="es-CO"/>
                <w14:ligatures w14:val="none"/>
              </w:rPr>
              <w:t>(Calle-Tobón et al. 2022)</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732BF403" w14:textId="77777777" w:rsidTr="00A80FE7">
        <w:trPr>
          <w:trHeight w:val="300"/>
          <w:jc w:val="center"/>
        </w:trPr>
        <w:tc>
          <w:tcPr>
            <w:tcW w:w="1298" w:type="dxa"/>
            <w:vMerge/>
            <w:tcBorders>
              <w:top w:val="nil"/>
              <w:left w:val="nil"/>
              <w:bottom w:val="single" w:sz="4" w:space="0" w:color="000000"/>
              <w:right w:val="nil"/>
            </w:tcBorders>
            <w:vAlign w:val="center"/>
            <w:hideMark/>
          </w:tcPr>
          <w:p w14:paraId="756DF9D1"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1715AD6E" w14:textId="4F5A6D1F"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35AB1B05"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0038624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19</w:t>
            </w:r>
          </w:p>
        </w:tc>
        <w:tc>
          <w:tcPr>
            <w:tcW w:w="1405" w:type="dxa"/>
            <w:tcBorders>
              <w:top w:val="nil"/>
              <w:left w:val="nil"/>
              <w:bottom w:val="nil"/>
              <w:right w:val="nil"/>
            </w:tcBorders>
            <w:shd w:val="clear" w:color="auto" w:fill="auto"/>
            <w:noWrap/>
            <w:vAlign w:val="center"/>
            <w:hideMark/>
          </w:tcPr>
          <w:p w14:paraId="0E1F71B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2019</w:t>
            </w:r>
          </w:p>
        </w:tc>
        <w:tc>
          <w:tcPr>
            <w:tcW w:w="3130" w:type="dxa"/>
            <w:gridSpan w:val="2"/>
            <w:tcBorders>
              <w:top w:val="nil"/>
              <w:left w:val="nil"/>
              <w:bottom w:val="nil"/>
              <w:right w:val="nil"/>
            </w:tcBorders>
            <w:shd w:val="clear" w:color="auto" w:fill="auto"/>
            <w:noWrap/>
            <w:vAlign w:val="center"/>
            <w:hideMark/>
          </w:tcPr>
          <w:p w14:paraId="67599813" w14:textId="1FB5A259"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{"citationItems":[{"id":"ITEM-1","itemData":{"DOI":"10.1186/s13071-021-04806-2","ISSN":"17563305","PMID":"34103091","abstract":"Background: Diseases transmitted by invasive Aedes aegypti and Aedes albopictus mosquitoes are public health issues in the tropics and subtropics. Understanding the ecology of mosquito vectors is essential for the development of effective disease mitigation programs and will allow for accurate predictions of vector occurrence and abundance. Studies that examine mosquito population dynamics are typically focused on female presence or total adult captures without discriminating the temporal and spatial distribution of both sexes. Methods: We collected immature and adult mosquitoes bimonthly for 2 years (2018–2019) in the Medellín Botanical Garden. Collection sites differed in proximity to buildings and nearby vegetation, and were classified by their overhead vegetation cover. We used linear mixed models (LMMs) and Spatial Analysis by Distance Indices (SADIE) to assess the spatial distribution of Ae. aegypti and Ae. albopictus. Using our Ae. albopictus captures exclusively, we assessed (1) the spatial and temporal distribution of males and females using SADIE and a generalized linear mixed model (GLMM), (2) the relationship between climatic variables/vegetation coverage and adult captures using GLMMs and LMMs, and (3) the correlation of male and female size in relation to climatic variables and vegetation coverage using LMMs. Results: Spatial analysis showed that Ae. aegypti and Ae. albopictus were distributed at different locations within the surveilled area. However, Ae. albopictus was the predominant species in the park during the study period. Adult Ae. albopictus captures were positively correlated with precipitation and relative humidity, and inversely correlated with temperature and wind speed. Moreover, we observed a spatial misalignment of Ae. albopictus males and females—the majority of males were located in the high vegetation coverage sites, while females were more evenly distributed. We observed significant associations of the size of our adult Ae. albopictus captures with precipitation, temperature, and wind speed for both sexes and found that overhead vegetation cover influenced male size, but observed no effect on female size. Conclusions: Our work elucidates the differential dynamics of Ae. albopictus males and females, which is pivotal to develop accurate surveillance and the successful establishment of vector control programs based on the disruption of insect reproduction. Graphic Abstract: [Figure not available: see fulltext.]","author":[{"dropping-particle":"","family":"Camargo","given":"Carolina","non-dropping-particle":"","parse-names":false,"suffix":""},{"dropping-particle":"","family":"Alfonso-Parra","given":"Catalina","non-dropping-particle":"","parse-names":false,"suffix":""},{"dropping-particle":"","family":"Díaz","given":"Sebastián","non-dropping-particle":"","parse-names":false,"suffix":""},{"dropping-particle":"","family":"Rincon","given":"Diego F.","non-dropping-particle":"","parse-names":false,"suffix":""},{"dropping-particle":"","family":"Ramírez-Sánchez","given":"Luis Felipe","non-dropping-particle":"","parse-names":false,"suffix":""},{"dropping-particle":"","family":"Agudelo","given":"Juliana","non-dropping-particle":"","parse-names":false,"suffix":""},{"dropping-particle":"","family":"Barrientos","given":"Luisa M.","non-dropping-particle":"","parse-names":false,"suffix":""},{"dropping-particle":"","family":"Villa-Arias","given":"Sara","non-dropping-particle":"","parse-names":false,"suffix":""},{"dropping-particle":"","family":"Avila","given":"Frank W.","non-dropping-particle":"","parse-names":false,"suffix":""}],"container-title":"Parasites and Vectors","id":"ITEM-1","issue":"1","issued":{"date-parts":[["2021"]]},"page":"1-15","publisher":"BioMed Central","title":"Spatial and temporal population dynamics of male and female Aedes albopictus at a local scale in Medellín, Colombia","type":"article-journal","volume":"14"},"uris":["http://www.mendeley.com/documents/?uuid=9f1c86e7-bd6f-4f20-8c5b-a52931e7b3b8"]}],"mendeley":{"formattedCitation":"(Camargo et al. 2021)","plainTextFormattedCitation":"(Camargo et al. 2021)","previouslyFormattedCitation":"(Camargo et al. 2021)"},"properties":{"noteIndex":0},"schema":"https://github.com/citation-style-language/schema/raw/master/csl-citation.json"}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(Camargo et al. 2021)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7D9B3289" w14:textId="77777777" w:rsidTr="00A80FE7">
        <w:trPr>
          <w:trHeight w:val="300"/>
          <w:jc w:val="center"/>
        </w:trPr>
        <w:tc>
          <w:tcPr>
            <w:tcW w:w="1298" w:type="dxa"/>
            <w:vMerge/>
            <w:tcBorders>
              <w:top w:val="nil"/>
              <w:left w:val="nil"/>
              <w:bottom w:val="single" w:sz="4" w:space="0" w:color="000000"/>
              <w:right w:val="nil"/>
            </w:tcBorders>
            <w:vAlign w:val="center"/>
            <w:hideMark/>
          </w:tcPr>
          <w:p w14:paraId="783D04B5"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57EA8A11" w14:textId="5B1922F7"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5BBF80D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Antioquia</w:t>
            </w:r>
          </w:p>
        </w:tc>
        <w:tc>
          <w:tcPr>
            <w:tcW w:w="544" w:type="dxa"/>
            <w:tcBorders>
              <w:top w:val="nil"/>
              <w:left w:val="nil"/>
              <w:bottom w:val="nil"/>
              <w:right w:val="nil"/>
            </w:tcBorders>
            <w:shd w:val="clear" w:color="auto" w:fill="auto"/>
            <w:noWrap/>
            <w:vAlign w:val="center"/>
            <w:hideMark/>
          </w:tcPr>
          <w:p w14:paraId="5CBDDF8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8</w:t>
            </w:r>
          </w:p>
        </w:tc>
        <w:tc>
          <w:tcPr>
            <w:tcW w:w="1405" w:type="dxa"/>
            <w:tcBorders>
              <w:top w:val="nil"/>
              <w:left w:val="nil"/>
              <w:bottom w:val="nil"/>
              <w:right w:val="nil"/>
            </w:tcBorders>
            <w:shd w:val="clear" w:color="auto" w:fill="auto"/>
            <w:noWrap/>
            <w:vAlign w:val="center"/>
            <w:hideMark/>
          </w:tcPr>
          <w:p w14:paraId="7B35968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2022</w:t>
            </w:r>
          </w:p>
        </w:tc>
        <w:tc>
          <w:tcPr>
            <w:tcW w:w="3130" w:type="dxa"/>
            <w:gridSpan w:val="2"/>
            <w:tcBorders>
              <w:top w:val="nil"/>
              <w:left w:val="nil"/>
              <w:bottom w:val="nil"/>
              <w:right w:val="nil"/>
            </w:tcBorders>
            <w:shd w:val="clear" w:color="auto" w:fill="auto"/>
            <w:noWrap/>
            <w:vAlign w:val="center"/>
            <w:hideMark/>
          </w:tcPr>
          <w:p w14:paraId="51DBF036" w14:textId="2C63B0F9"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{"citationItems":[{"id":"ITEM-1","itemData":{"DOI":"10.17533/udea.acbi.v44n116a03","ISSN":"0304-3584","abstract":"En Colombia, aún es poco el conocimiento de la distribución en áreas rurales de Aedes albopictus, vector de diferentes arbovirus. Su introducción en el país fue registrada por primera vez en Leticia (Amazonas) en 1998 y de allí se ha ampliado su distribución. El objetivo de este estudio fue determinar la presencia de Ae. albopictus en áreas rurales de Antioquia. En una búsqueda activa para la vigilancia entomológica de Ae. aegypti en veredas de algunos municipios de Antioquia que hacen parte del área de influencia de la Proyecto Hidroeléctrica Ituango, se recolectaron ejemplares de Ae. albopictus, en el intradomicilio, peridomicilio y extradomicilio de viviendas utilizando aspiradores manuales con cebo humano protegido para los mosquitos adultos; también se buscaron estados inmaduros en criaderos naturales y artificiales. Los especímenes se identificaron con claves dicotómicas en el Laboratorio de Entomología de la Facultad Nacional de Salud Pública de la Universidad de Antioquia. Se recolectó un total de 110 individuos de Ae. albopictus, de estos 55 fueron larvas y 55 adultos. Los principales criaderos fueron los inservibles. Este hallazgo es el primer reporte en áreas rurales en ocho municipios del departamento de Antioquia, con lo cual se amplía el conocimiento sobre la distribución del vector Ae. albopictus el cual constituye un riesgo potencial en la emergencia y transmisión de enfermedades como dengue, chikungunya y Zika.","author":[{"dropping-particle":"","family":"Zapata-Úsuga","given":"Giovani","non-dropping-particle":"","parse-names":false,"suffix":""},{"dropping-particle":"","family":"Zuleta-Ruiz","given":"Boris","non-dropping-particle":"","parse-names":false,"suffix":""},{"dropping-particle":"","family":"Gómez-Vargas","given":"Wilber","non-dropping-particle":"","parse-names":false,"suffix":""},{"dropping-particle":"","family":"Mejía-Salazar","given":"Paula","non-dropping-particle":"","parse-names":false,"suffix":""},{"dropping-particle":"","family":"Zuluaga-Ramírez","given":"Walter","non-dropping-particle":"","parse-names":false,"suffix":""}],"container-title":"Actualidades Biológicas","id":"ITEM-1","issue":"116","issued":{"date-parts":[["2021"]]},"page":"1-11","title":"Presencia de &lt;i&gt;Aedes albopictus&lt;/i&gt; (Diptera: Culicidae) en algunos municipios del área de influencia de la Proyecto Hidroeléctrico Ituango, Antioquia, Colombia","type":"article-journal","volume":"44"},"uris":["http://www.mendeley.com/documents/?uuid=faab15c5-e226-4c11-907d-ff59dfb3741f"]}],"mendeley":{"formattedCitation":"(Zapata-Úsuga et al. 2021)","plainTextFormattedCitation":"(Zapata-Úsuga et al. 2021)","previouslyFormattedCitation":"(Zapata-Úsuga et al. 2021)"},"properties":{"noteIndex":0},"schema":"https://github.com/citation-style-language/schema/raw/master/csl-citation.json"}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(Zapata-Úsuga et al. 2021)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E1E9994" w14:textId="77777777" w:rsidTr="00A80FE7">
        <w:trPr>
          <w:trHeight w:val="300"/>
          <w:jc w:val="center"/>
        </w:trPr>
        <w:tc>
          <w:tcPr>
            <w:tcW w:w="1298" w:type="dxa"/>
            <w:vMerge/>
            <w:tcBorders>
              <w:top w:val="nil"/>
              <w:left w:val="nil"/>
              <w:bottom w:val="single" w:sz="4" w:space="0" w:color="000000"/>
              <w:right w:val="nil"/>
            </w:tcBorders>
            <w:vAlign w:val="center"/>
            <w:hideMark/>
          </w:tcPr>
          <w:p w14:paraId="45EEB9B0"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725681F5" w14:textId="6E5F3C5D"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7BC478DB"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Caldas</w:t>
            </w:r>
          </w:p>
        </w:tc>
        <w:tc>
          <w:tcPr>
            <w:tcW w:w="544" w:type="dxa"/>
            <w:tcBorders>
              <w:top w:val="nil"/>
              <w:left w:val="nil"/>
              <w:bottom w:val="nil"/>
              <w:right w:val="nil"/>
            </w:tcBorders>
            <w:shd w:val="clear" w:color="auto" w:fill="auto"/>
            <w:noWrap/>
            <w:vAlign w:val="center"/>
            <w:hideMark/>
          </w:tcPr>
          <w:p w14:paraId="3B5D564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nil"/>
              <w:left w:val="nil"/>
              <w:bottom w:val="nil"/>
              <w:right w:val="nil"/>
            </w:tcBorders>
            <w:shd w:val="clear" w:color="auto" w:fill="auto"/>
            <w:noWrap/>
            <w:vAlign w:val="center"/>
            <w:hideMark/>
          </w:tcPr>
          <w:p w14:paraId="06C3D137"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2007-2011</w:t>
            </w:r>
          </w:p>
        </w:tc>
        <w:tc>
          <w:tcPr>
            <w:tcW w:w="3130" w:type="dxa"/>
            <w:gridSpan w:val="2"/>
            <w:tcBorders>
              <w:top w:val="nil"/>
              <w:left w:val="nil"/>
              <w:bottom w:val="nil"/>
              <w:right w:val="nil"/>
            </w:tcBorders>
            <w:shd w:val="clear" w:color="auto" w:fill="auto"/>
            <w:noWrap/>
            <w:vAlign w:val="center"/>
            <w:hideMark/>
          </w:tcPr>
          <w:p w14:paraId="213DE248" w14:textId="5EF3CA6B"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{"citationItems":[{"id":"ITEM-1","itemData":{"DOI":"10.7705/biomedica.v35i1.2367","ISSN":"01204157","PMID":"26148033","abstract":"Introduction: Continuous use of insecticides for the control of dengue transmission may lead to decreased susceptibility levels in mosquito vector populations. Timely monitoring is necessary to ensure detection of any potential resistance problems. Objective: To determine the susceptibility status of Aedes aegypti to insecticides used in public health in Caldas, Colombia, during 2007 and 2011. Materials and methods: Susceptibility tests to the organophosphates temephos, malathion, fenitrothion and pirimiphos methyl, as well as to the pyrethroid deltamethrin, were carried out using standard World Health Organization and Centers for Disease Control and Prevention protocols. Results: In 2007, resistance to temephos was detected in Ae. aegypti populations from La Dorada with resistance ratios of 11.5 and 13.3, prompting the Caldas Health Department to suspend the use of this larvicide. A reduction in resistance ratios to temephos was observed in 2011, as well as an apparent resistance to pirimiphos methyl. All Ae. aegypti populations tested were susceptible to deltamethrin, malathion and fenitrothion in both years. Conclusion: Evaluating the resistance ratios during two distinct periods allowed a decrease in resistance to be detected after suspension of the use of temephos. Surveillance of mosquito populations for changes in susceptibility levels to the insecticides used in dengue control programs is therefore recommended.","author":[{"dropping-particle":"","family":"Conde","given":"Marcela","non-dropping-particle":"","parse-names":false,"suffix":""},{"dropping-particle":"","family":"Orjuela","given":"Lorena I.","non-dropping-particle":"","parse-names":false,"suffix":""},{"dropping-particle":"","family":"Castellanos","given":"César Augusto","non-dropping-particle":"","parse-names":false,"suffix":""},{"dropping-particle":"","family":"Herrera-Varela","given":"Manuela","non-dropping-particle":"","parse-names":false,"suffix":""},{"dropping-particle":"","family":"Licastro","given":"Susana","non-dropping-particle":"","parse-names":false,"suffix":""},{"dropping-particle":"","family":"Quiñones","given":"Martha L.","non-dropping-particle":"","parse-names":false,"suffix":""}],"container-title":"Biomedica","id":"ITEM-1","issued":{"date-parts":[["2015"]]},"page":"43-52","title":"Evaluación de la sensibilidad a insecticidas en poblaciones de Aedes aegypti (Diptera: Culicidae) del departamento de Caldas, Colombia, en 2007 y 2011","type":"article-journal","volume":"35"},"uris":["http://www.mendeley.com/documents/?uuid=b7633b57-7216-4da7-b550-a19815306a4d"]}],"mendeley":{"formattedCitation":"(Conde et al. 2015)","plainTextFormattedCitation":"(Conde et al. 2015)","previouslyFormattedCitation":"(Conde et al. 2015)"},"properties":{"noteIndex":0},"schema":"https://github.com/citation-style-language/schema/raw/master/csl-citation.json"}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(Conde et al. 2015)</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41B9596" w14:textId="77777777" w:rsidTr="00A80FE7">
        <w:trPr>
          <w:trHeight w:val="300"/>
          <w:jc w:val="center"/>
        </w:trPr>
        <w:tc>
          <w:tcPr>
            <w:tcW w:w="1298" w:type="dxa"/>
            <w:vMerge/>
            <w:tcBorders>
              <w:top w:val="nil"/>
              <w:left w:val="nil"/>
              <w:bottom w:val="single" w:sz="4" w:space="0" w:color="000000"/>
              <w:right w:val="nil"/>
            </w:tcBorders>
            <w:vAlign w:val="center"/>
            <w:hideMark/>
          </w:tcPr>
          <w:p w14:paraId="56F6B029"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50D0F63A" w14:textId="569BA56F"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7B82E70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Cundinamarca</w:t>
            </w:r>
          </w:p>
        </w:tc>
        <w:tc>
          <w:tcPr>
            <w:tcW w:w="544" w:type="dxa"/>
            <w:tcBorders>
              <w:top w:val="nil"/>
              <w:left w:val="nil"/>
              <w:bottom w:val="nil"/>
              <w:right w:val="nil"/>
            </w:tcBorders>
            <w:shd w:val="clear" w:color="auto" w:fill="auto"/>
            <w:noWrap/>
            <w:vAlign w:val="center"/>
            <w:hideMark/>
          </w:tcPr>
          <w:p w14:paraId="67E6278C"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w:t>
            </w:r>
          </w:p>
        </w:tc>
        <w:tc>
          <w:tcPr>
            <w:tcW w:w="1405" w:type="dxa"/>
            <w:tcBorders>
              <w:top w:val="nil"/>
              <w:left w:val="nil"/>
              <w:bottom w:val="nil"/>
              <w:right w:val="nil"/>
            </w:tcBorders>
            <w:shd w:val="clear" w:color="auto" w:fill="auto"/>
            <w:noWrap/>
            <w:vAlign w:val="center"/>
            <w:hideMark/>
          </w:tcPr>
          <w:p w14:paraId="038819A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2011</w:t>
            </w:r>
          </w:p>
        </w:tc>
        <w:tc>
          <w:tcPr>
            <w:tcW w:w="3130" w:type="dxa"/>
            <w:gridSpan w:val="2"/>
            <w:tcBorders>
              <w:top w:val="nil"/>
              <w:left w:val="nil"/>
              <w:bottom w:val="nil"/>
              <w:right w:val="nil"/>
            </w:tcBorders>
            <w:shd w:val="clear" w:color="auto" w:fill="auto"/>
            <w:noWrap/>
            <w:vAlign w:val="center"/>
            <w:hideMark/>
          </w:tcPr>
          <w:p w14:paraId="174BDAF5" w14:textId="7FE2B832"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{"citationItems":[{"id":"ITEM-1","itemData":{"DOI":"10.7705/biomedica.v35i2.2567","ISSN":"01204157","PMID":"26535548","abstract":"Introduction: Aedes aegypti is a vector for the dengue virus in Colombia. Its productivity can be estimated using pupal counts. Objective: To determine Ae. aegypti productivity in households and public spaces in Girardot (Colombia) during both wet and dry seasons. Materials and methods: The amount of Ae. aegypti pupae was evaluated in 20 randomly selected clusters in Girardot, each consisting of 100 households and public spaces. Inspections were performed during the rainy (February-May, 2011), and dry (August-September, 2011) seasons. House, container, Breteau, person and hectare pupae indices were estimated. Results: During the rainy season households contributed 94% to the total number of pupae (n=7,098) while only 6% (n=482) were found in public spaces. In the dry season, 98% (n=9,138) of pupae were found in households and 2% (n=223), in public spaces. Low water-storage tanks and tanks for washing purposes provided &gt;87% of pupae in households, whereas jars, tires and sinks contained most pupae in public spaces. High pupal densities were observed in public spaces during the rainy season and in streets and schools in the dry season. There were no significant differences in the index per person (rainy season=1.0; dry season=1.3) or per hectare (rainy season=0.96, dry season=0.45) between seasons. Conclusions: High Ae. aegypti pupal densities were found inside households in low water-storage tanks and tanks for washing purposes during both the dry and rainy seasons. Public spaces provided more aquatic habitats during the rainy season. Vector control strategies targeting these containers could allow a more rational use of resources and increase efficiency.","author":[{"dropping-particle":"","family":"Alcalá","given":"Lucas","non-dropping-particle":"","parse-names":false,"suffix":""},{"dropping-particle":"","family":"Quintero","given":"Juliana","non-dropping-particle":"","parse-names":false,"suffix":""},{"dropping-particle":"","family":"González-Uribe","given":"Catalina","non-dropping-particle":"","parse-names":false,"suffix":""},{"dropping-particle":"","family":"Brochero","given":"Helena","non-dropping-particle":"","parse-names":false,"suffix":""}],"container-title":"Biomedica","id":"ITEM-1","issued":{"date-parts":[["2015"]]},"page":"258-268","title":"Productividad de Aedes aegypti (L.) (Diptera: Culicidae) en viviendas y espacios públicos en una ciudad endémica para dengue en Colombia","type":"article-journal","volume":"35"},"uris":["http://www.mendeley.com/documents/?uuid=45449d45-6863-4de5-ad97-f88d59963b87"]}],"mendeley":{"formattedCitation":"(Alcalá et al. 2015)","plainTextFormattedCitation":"(Alcalá et al. 2015)","previouslyFormattedCitation":"(Alcalá et al. 2015)"},"properties":{"noteIndex":0},"schema":"https://github.com/citation-style-language/schema/raw/master/csl-citation.json"}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(Alcalá et al. 2015)</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3C5BD392" w14:textId="77777777" w:rsidTr="00A80FE7">
        <w:trPr>
          <w:trHeight w:val="300"/>
          <w:jc w:val="center"/>
        </w:trPr>
        <w:tc>
          <w:tcPr>
            <w:tcW w:w="1298" w:type="dxa"/>
            <w:vMerge/>
            <w:tcBorders>
              <w:top w:val="nil"/>
              <w:left w:val="nil"/>
              <w:bottom w:val="single" w:sz="4" w:space="0" w:color="000000"/>
              <w:right w:val="nil"/>
            </w:tcBorders>
            <w:vAlign w:val="center"/>
            <w:hideMark/>
          </w:tcPr>
          <w:p w14:paraId="41467841"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47802A82" w14:textId="2C2671A9"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1AEB8F5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Cundinamarca</w:t>
            </w:r>
          </w:p>
        </w:tc>
        <w:tc>
          <w:tcPr>
            <w:tcW w:w="544" w:type="dxa"/>
            <w:tcBorders>
              <w:top w:val="nil"/>
              <w:left w:val="nil"/>
              <w:bottom w:val="nil"/>
              <w:right w:val="nil"/>
            </w:tcBorders>
            <w:shd w:val="clear" w:color="auto" w:fill="auto"/>
            <w:noWrap/>
            <w:vAlign w:val="center"/>
            <w:hideMark/>
          </w:tcPr>
          <w:p w14:paraId="59E7262B"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65</w:t>
            </w:r>
          </w:p>
        </w:tc>
        <w:tc>
          <w:tcPr>
            <w:tcW w:w="1405" w:type="dxa"/>
            <w:tcBorders>
              <w:top w:val="nil"/>
              <w:left w:val="nil"/>
              <w:bottom w:val="nil"/>
              <w:right w:val="nil"/>
            </w:tcBorders>
            <w:shd w:val="clear" w:color="auto" w:fill="auto"/>
            <w:noWrap/>
            <w:vAlign w:val="center"/>
            <w:hideMark/>
          </w:tcPr>
          <w:p w14:paraId="13B01B7C"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2012</w:t>
            </w:r>
          </w:p>
        </w:tc>
        <w:tc>
          <w:tcPr>
            <w:tcW w:w="3130" w:type="dxa"/>
            <w:gridSpan w:val="2"/>
            <w:tcBorders>
              <w:top w:val="nil"/>
              <w:left w:val="nil"/>
              <w:bottom w:val="nil"/>
              <w:right w:val="nil"/>
            </w:tcBorders>
            <w:shd w:val="clear" w:color="auto" w:fill="auto"/>
            <w:noWrap/>
            <w:vAlign w:val="center"/>
            <w:hideMark/>
          </w:tcPr>
          <w:p w14:paraId="661B320C" w14:textId="29C3B4CB"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{"citationItems":[{"id":"ITEM-1","itemData":{"ISSN":"01204157","abstract":"Introduction: It is difficult to adapt or generate new strategies for dengue control in rural areas, because of the dispersion of rural homes and the lack of knowledge of vector presence and behavior in these areas. Spatial data analysis could help to understand the temporal and spatial dynamics related to the transmission of vector-borne disease in rural areas and, thus, contribute to dengue prevention and control. Objective: Determine the likelihood of presence of the dengue vector, Aedes aegypti, in rural area of Anapoima and La Mesa municipalities, central Colombia. Materials and methods: A total of 102 houses were visited in the rural area, inspecting potential breeding sites of the Aedes aegypti and capturing adult forms inside these houses. The likelihood of the presence and absence of the vector in the study area was identified by indicator kriging, a spatial statistics interpolation technique. Results: The resulting prediction shows that the highest likelihood of presence of A. aegypti was close to urban centers in the central part of the study area. Conclusion: This study shows that analyses of spatio-temporal dynamics of disease vectors may be used in surveillance systems of vector-borne diseases, complementing currently used methods, and improving the identification of areas targeted for vector control interventions, thereby saving costs.","author":[{"dropping-particle":"","family":"Cabezas","given":"Laura","non-dropping-particle":"","parse-names":false,"suffix":""},{"dropping-particle":"","family":"Cabanzo","given":"Wilson","non-dropping-particle":"","parse-names":false,"suffix":""},{"dropping-particle":"","family":"Santa","given":"Fernando","non-dropping-particle":"","parse-names":false,"suffix":""},{"dropping-particle":"","family":"Olano","given":"Víctor Alberto","non-dropping-particle":"","parse-names":false,"suffix":""},{"dropping-particle":"","family":"Sarmiento","given":"Diana","non-dropping-particle":"","parse-names":false,"suffix":""},{"dropping-particle":"","family":"Vargas","given":"Sandra","non-dropping-particle":"","parse-names":false,"suffix":""},{"dropping-particle":"","family":"Jaramillo","given":"Juan Felipe","non-dropping-particle":"","parse-names":false,"suffix":""},{"dropping-particle":"","family":"Stenstrom","given":"Thor Axel","non-dropping-particle":"","parse-names":false,"suffix":""},{"dropping-particle":"","family":"Overgaard","given":"Hans J.","non-dropping-particle":"","parse-names":false,"suffix":""},{"dropping-particle":"","family":"Matiz","given":"Maria Inés","non-dropping-particle":"","parse-names":false,"suffix":""}],"container-title":"Biomedica","id":"ITEM-1","issued":{"date-parts":[["2017"]]},"page":"1-30","title":"Distribución espacial del mosquito Aedes aegypti (Diptera: Culicidae) en el área rural de dos municipios de Cundinamarca, Colombia","type":"article-journal","volume":"37"},"uris":["http://www.mendeley.com/documents/?uuid=a60d20fb-d874-4f3c-929e-116a06f57c4d"]}],"mendeley":{"formattedCitation":"(Cabezas et al. 2017)","plainTextFormattedCitation":"(Cabezas et al. 2017)","previouslyFormattedCitation":"(Cabezas et al. 2017)"},"properties":{"noteIndex":0},"schema":"https://github.com/citation-style-language/schema/raw/master/csl-citation.json"}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(Cabezas et al. 2017)</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18F96422" w14:textId="77777777" w:rsidTr="00A80FE7">
        <w:trPr>
          <w:trHeight w:val="300"/>
          <w:jc w:val="center"/>
        </w:trPr>
        <w:tc>
          <w:tcPr>
            <w:tcW w:w="1298" w:type="dxa"/>
            <w:vMerge/>
            <w:tcBorders>
              <w:top w:val="nil"/>
              <w:left w:val="nil"/>
              <w:bottom w:val="single" w:sz="4" w:space="0" w:color="000000"/>
              <w:right w:val="nil"/>
            </w:tcBorders>
            <w:vAlign w:val="center"/>
            <w:hideMark/>
          </w:tcPr>
          <w:p w14:paraId="29D06062"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3A0E48FF" w14:textId="59E32E2B"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51133DB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Cundinamarca</w:t>
            </w:r>
          </w:p>
        </w:tc>
        <w:tc>
          <w:tcPr>
            <w:tcW w:w="544" w:type="dxa"/>
            <w:tcBorders>
              <w:top w:val="nil"/>
              <w:left w:val="nil"/>
              <w:bottom w:val="nil"/>
              <w:right w:val="nil"/>
            </w:tcBorders>
            <w:shd w:val="clear" w:color="auto" w:fill="auto"/>
            <w:noWrap/>
            <w:vAlign w:val="center"/>
            <w:hideMark/>
          </w:tcPr>
          <w:p w14:paraId="6A33A8F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nil"/>
              <w:left w:val="nil"/>
              <w:bottom w:val="nil"/>
              <w:right w:val="nil"/>
            </w:tcBorders>
            <w:shd w:val="clear" w:color="auto" w:fill="auto"/>
            <w:noWrap/>
            <w:vAlign w:val="center"/>
            <w:hideMark/>
          </w:tcPr>
          <w:p w14:paraId="5AE4EB0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2016</w:t>
            </w:r>
          </w:p>
        </w:tc>
        <w:tc>
          <w:tcPr>
            <w:tcW w:w="3130" w:type="dxa"/>
            <w:gridSpan w:val="2"/>
            <w:tcBorders>
              <w:top w:val="nil"/>
              <w:left w:val="nil"/>
              <w:bottom w:val="nil"/>
              <w:right w:val="nil"/>
            </w:tcBorders>
            <w:shd w:val="clear" w:color="auto" w:fill="auto"/>
            <w:noWrap/>
            <w:vAlign w:val="center"/>
            <w:hideMark/>
          </w:tcPr>
          <w:p w14:paraId="1B18942E" w14:textId="35550CC2"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{"citationItems":[{"id":"ITEM-1","itemData":{"DOI":"10.1590/0074-02760150363","ISSN":"16788060","PMID":"27074252","abstract":"The Aedes aegypti vector for dengue virus (DENV) has been reported in urban and periurban areas. The information about DENV circulation in mosquitoes in Colombian rural areas is limited, so we aimed to evaluate the presence of DENV in Ae. aegypti females caught in rural locations of two Colombian municipalities, Anapoima and La Mesa. Mosquitoes from 497 rural households in 44 different rural settlements were collected. Pools of about 20 Ae. aegypti females were processed for DENV serotype detection. DENV in mosquitoes was detected in 74% of the analysed settlements with a pool positivity rate of 62%. The estimated individual mosquito infection rate was 4.12% and the minimum infection rate was 33.3/1,000 mosquitoes. All four serotypes were detected; the most frequent being DENV-2 (50%) and DENV-1 (35%). Two-three serotypes were detected simultaneously in separate pools. This is the first report on the co-occurrence of natural DENV infection of mosquitoes in Colombian rural areas. The findings are important for understanding dengue transmission and planning control strategies. A potential latent virus reservoir in rural areas could spill over to urban areas during population movements. Detecting DENV in wild-caught adult mosquitoes should be included in the development of dengue epidemic forecasting models.","author":[{"dropping-particle":"","family":"Pérez-Castro","given":"Rosalía","non-dropping-particle":"","parse-names":false,"suffix":""},{"dropping-particle":"","family":"Castellanos","given":"Jaime E.","non-dropping-particle":"","parse-names":false,"suffix":""},{"dropping-particle":"","family":"Olano","given":"Víctor A.","non-dropping-particle":"","parse-names":false,"suffix":""},{"dropping-particle":"","family":"Matiz","given":"María Inés","non-dropping-particle":"","parse-names":false,"suffix":""},{"dropping-particle":"","family":"Jaramillo","given":"Juan F.","non-dropping-particle":"","parse-names":false,"suffix":""},{"dropping-particle":"","family":"Vargas","given":"Sandra L.","non-dropping-particle":"","parse-names":false,"suffix":""},{"dropping-particle":"","family":"Sarmiento","given":"Diana M.","non-dropping-particle":"","parse-names":false,"suffix":""},{"dropping-particle":"","family":"Stenström","given":"Thor Axel","non-dropping-particle":"","parse-names":false,"suffix":""},{"dropping-particle":"","family":"Overgaard","given":"Hans J.","non-dropping-particle":"","parse-names":false,"suffix":""}],"container-title":"Memorias do Instituto Oswaldo Cruz","id":"ITEM-1","issue":"4","issued":{"date-parts":[["2016"]]},"page":"233-240","title":"Detection of all four dengue serotypes in Aedes aegypti female mosquitoes collected in a rural area in Colombia","type":"article-journal","volume":"111"},"uris":["http://www.mendeley.com/documents/?uuid=129000e5-8143-49b5-a32d-30ad69b9883b"]}],"mendeley":{"formattedCitation":"(Pérez-Castro et al. 2016)","plainTextFormattedCitation":"(Pérez-Castro et al. 2016)","previouslyFormattedCitation":"(Pérez-Castro et al. 2016)"},"properties":{"noteIndex":0},"schema":"https://github.com/citation-style-language/schema/raw/master/csl-citation.json"}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(Pérez-Castro et al. 2016)</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3CEDC7AC" w14:textId="77777777" w:rsidTr="00A80FE7">
        <w:trPr>
          <w:trHeight w:val="300"/>
          <w:jc w:val="center"/>
        </w:trPr>
        <w:tc>
          <w:tcPr>
            <w:tcW w:w="1298" w:type="dxa"/>
            <w:vMerge/>
            <w:tcBorders>
              <w:top w:val="nil"/>
              <w:left w:val="nil"/>
              <w:bottom w:val="single" w:sz="4" w:space="0" w:color="000000"/>
              <w:right w:val="nil"/>
            </w:tcBorders>
            <w:vAlign w:val="center"/>
            <w:hideMark/>
          </w:tcPr>
          <w:p w14:paraId="32832167"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6BA536F8" w14:textId="7B6F1649"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3C3ABE0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Cundinamarca</w:t>
            </w:r>
          </w:p>
        </w:tc>
        <w:tc>
          <w:tcPr>
            <w:tcW w:w="544" w:type="dxa"/>
            <w:tcBorders>
              <w:top w:val="nil"/>
              <w:left w:val="nil"/>
              <w:bottom w:val="nil"/>
              <w:right w:val="nil"/>
            </w:tcBorders>
            <w:shd w:val="clear" w:color="auto" w:fill="auto"/>
            <w:noWrap/>
            <w:vAlign w:val="center"/>
            <w:hideMark/>
          </w:tcPr>
          <w:p w14:paraId="34990F26"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w:t>
            </w:r>
          </w:p>
        </w:tc>
        <w:tc>
          <w:tcPr>
            <w:tcW w:w="1405" w:type="dxa"/>
            <w:tcBorders>
              <w:top w:val="nil"/>
              <w:left w:val="nil"/>
              <w:bottom w:val="nil"/>
              <w:right w:val="nil"/>
            </w:tcBorders>
            <w:shd w:val="clear" w:color="auto" w:fill="auto"/>
            <w:noWrap/>
            <w:vAlign w:val="center"/>
            <w:hideMark/>
          </w:tcPr>
          <w:p w14:paraId="6EE7014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2017</w:t>
            </w:r>
          </w:p>
        </w:tc>
        <w:tc>
          <w:tcPr>
            <w:tcW w:w="3130" w:type="dxa"/>
            <w:gridSpan w:val="2"/>
            <w:tcBorders>
              <w:top w:val="nil"/>
              <w:left w:val="nil"/>
              <w:bottom w:val="nil"/>
              <w:right w:val="nil"/>
            </w:tcBorders>
            <w:shd w:val="clear" w:color="auto" w:fill="auto"/>
            <w:noWrap/>
            <w:vAlign w:val="center"/>
            <w:hideMark/>
          </w:tcPr>
          <w:p w14:paraId="2F286D17" w14:textId="40E448D6"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{"citationItems":[{"id":"ITEM-1","itemData":{"DOI":"10.7705/biomedica.v34i2.3584","ISSN":"01204157","abstract":"Introduction: Aedes aegypti is the main vector of DENV and has been detected in rural areas. Objective: Transovarial transmission of the virus was evaluated in larvae and pupae collected in rural areas of Anapoima municipality, Cundinamarca. Materials and methods: 53 houses were visited and larvae and pupae live were collected. Then were classified, pooled and homogenised. RNA was extracted with Trizol ® and RT-PCR was performed. The amplified products were analysed on agarose gels. Results: The 54.7% of the houses analyzed were positive for A. aegypti in immature stages and the serotype DENV-1 was the most frequent. However, in some pools were identified: DENV 1 and 2; DENV 1 and 3; DENV 1 and 4 or DENV 1, 2 and 3 serotypes. Conclusion: The results confirm the vertical transmission of the virus naturally in the rural area studied, these findings reaffirm the vectorial capacity of Ae. aegypti. This partly explains the persistence of the virus in the region and the possibility of passing into adulthood without having eaten infected blood. This situation increases the risk of DENV infection in Colombia, therefore prevention and control programs are required in all areas with presence of the mosquito.","author":[{"dropping-particle":"","family":"Velandia-Romero","given":"Myriam Lucía","non-dropping-particle":"","parse-names":false,"suffix":""},{"dropping-particle":"","family":"Olano","given":"Víctor Alberto","non-dropping-particle":"","parse-names":false,"suffix":""},{"dropping-particle":"","family":"Coronel-Ruiz","given":"Carolina","non-dropping-particle":"","parse-names":false,"suffix":""},{"dropping-particle":"","family":"Cabezas","given":"Laura","non-dropping-particle":"","parse-names":false,"suffix":""},{"dropping-particle":"","family":"Calderón-Peláez","given":"María Angélica","non-dropping-particle":"","parse-names":false,"suffix":""},{"dropping-particle":"","family":"Castellanos","given":"Jaime Eduardo","non-dropping-particle":"","parse-names":false,"suffix":""},{"dropping-particle":"","family":"Matiz","given":"María Inés","non-dropping-particle":"","parse-names":false,"suffix":""}],"container-title":"Biomedica","id":"ITEM-1","issued":{"date-parts":[["2017"]]},"page":"1-24","title":"Detección del virus dengue en larvas y pupas de Aedes aegypti recolectadas en áreas rurales del municipio de Anapoima, Cundinamarca, Colombia","type":"article-journal","volume":"37"},"uris":["http://www.mendeley.com/documents/?uuid=c10cd6ec-9ec1-4dda-93fb-78aa1c427a1b"]}],"mendeley":{"formattedCitation":"(Velandia-Romero et al. 2017)","plainTextFormattedCitation":"(Velandia-Romero et al. 2017)","previouslyFormattedCitation":"(Velandia-Romero et al. 2017)"},"properties":{"noteIndex":0},"schema":"https://github.com/citation-style-language/schema/raw/master/csl-citation.json"}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(Velandia-Romero et al. 2017)</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80E44CE" w14:textId="77777777" w:rsidTr="00A80FE7">
        <w:trPr>
          <w:trHeight w:val="300"/>
          <w:jc w:val="center"/>
        </w:trPr>
        <w:tc>
          <w:tcPr>
            <w:tcW w:w="1298" w:type="dxa"/>
            <w:vMerge/>
            <w:tcBorders>
              <w:top w:val="nil"/>
              <w:left w:val="nil"/>
              <w:bottom w:val="single" w:sz="4" w:space="0" w:color="000000"/>
              <w:right w:val="nil"/>
            </w:tcBorders>
            <w:vAlign w:val="center"/>
            <w:hideMark/>
          </w:tcPr>
          <w:p w14:paraId="0911F3CB"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10C27237" w14:textId="6FB6F995"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0EA455B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Quindío</w:t>
            </w:r>
          </w:p>
        </w:tc>
        <w:tc>
          <w:tcPr>
            <w:tcW w:w="544" w:type="dxa"/>
            <w:tcBorders>
              <w:top w:val="nil"/>
              <w:left w:val="nil"/>
              <w:bottom w:val="nil"/>
              <w:right w:val="nil"/>
            </w:tcBorders>
            <w:shd w:val="clear" w:color="auto" w:fill="auto"/>
            <w:noWrap/>
            <w:vAlign w:val="center"/>
            <w:hideMark/>
          </w:tcPr>
          <w:p w14:paraId="5178132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14</w:t>
            </w:r>
          </w:p>
        </w:tc>
        <w:tc>
          <w:tcPr>
            <w:tcW w:w="1405" w:type="dxa"/>
            <w:tcBorders>
              <w:top w:val="nil"/>
              <w:left w:val="nil"/>
              <w:bottom w:val="nil"/>
              <w:right w:val="nil"/>
            </w:tcBorders>
            <w:shd w:val="clear" w:color="auto" w:fill="auto"/>
            <w:noWrap/>
            <w:vAlign w:val="center"/>
            <w:hideMark/>
          </w:tcPr>
          <w:p w14:paraId="0682E329"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2001</w:t>
            </w:r>
          </w:p>
        </w:tc>
        <w:tc>
          <w:tcPr>
            <w:tcW w:w="3130" w:type="dxa"/>
            <w:gridSpan w:val="2"/>
            <w:tcBorders>
              <w:top w:val="nil"/>
              <w:left w:val="nil"/>
              <w:bottom w:val="nil"/>
              <w:right w:val="nil"/>
            </w:tcBorders>
            <w:shd w:val="clear" w:color="auto" w:fill="auto"/>
            <w:noWrap/>
            <w:vAlign w:val="center"/>
            <w:hideMark/>
          </w:tcPr>
          <w:p w14:paraId="66514D45" w14:textId="4A7CFBB7"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{"citationItems":[{"id":"ITEM-1","itemData":{"DOI":"10.7705/biomedica.v21i2.1098","ISSN":"0120-4157","abstract":"Como resultado del terremoto del 25 de enero de 1999 en Armenia, se creó un ambiente favorable para la proliferación de mosquitos debido al colapso de edificaciones y a la reubicación de parte de la población en áreas donde se favoreció el contacto con posibles vectores de enfermedades. Con el fin de obtener información de base para el programa de control de vectores, se llevó a cabo un muestre0 entre los meses de septiembre de 1999 y febrero del 2000, para caracterizar la fauna de larvas de mosquitos en los criaderos encontrados en 14 de las 15 zonas en que fue organizada la ciudad para el proceso de reconstrucción. Se recolectaron 7 especies de mosquitos; Aedes aegyptifue la especie más abundante en los 7 tipos de criaderos determinados en el estudio en todas las zonas muestreadas. El indice de Breteau (10,92), el índice larvario (8,22) y el indice de depósito (9,44) determinados en este estudio, demuestran el alto riesgo de transmisión del dengue en la ciudad y, por ende, la necesidad de continuar e incrementar los esfuerzos de control del vector de la enfermedad","author":[{"dropping-particle":"","family":"Rodriguez","given":"César A.","non-dropping-particle":"","parse-names":false,"suffix":""},{"dropping-particle":"","family":"Gallego","given":"Diana C.","non-dropping-particle":"","parse-names":false,"suffix":""},{"dropping-particle":"","family":"González","given":"José A.","non-dropping-particle":"","parse-names":false,"suffix":""},{"dropping-particle":"","family":"Luna","given":"Paola A.","non-dropping-particle":"","parse-names":false,"suffix":""},{"dropping-particle":"","family":"Navarro","given":"Mitzilene","non-dropping-particle":"","parse-names":false,"suffix":""},{"dropping-particle":"","family":"Ramírez","given":"Germán A.","non-dropping-particle":"","parse-names":false,"suffix":""}],"container-title":"Biomédica","id":"ITEM-1","issue":"2","issued":{"date-parts":[["2001"]]},"page":"116","title":"Criaderos y fauna de mosquitos en el área urbana de Armenia posterior al terremoto del 25 de enero de 1999","type":"article-journal","volume":"21"},"uris":["http://www.mendeley.com/documents/?uuid=23e817ab-42c1-41b2-9f56-985da2a45ed0"]}],"mendeley":{"formattedCitation":"(Rodriguez et al. 2001)","plainTextFormattedCitation":"(Rodriguez et al. 2001)","previouslyFormattedCitation":"(Rodriguez et al. 2001)"},"properties":{"noteIndex":0},"schema":"https://github.com/citation-style-language/schema/raw/master/csl-citation.json"}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(Rodriguez et al. 2001)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10694B3" w14:textId="77777777" w:rsidTr="00A80FE7">
        <w:trPr>
          <w:trHeight w:val="300"/>
          <w:jc w:val="center"/>
        </w:trPr>
        <w:tc>
          <w:tcPr>
            <w:tcW w:w="1298" w:type="dxa"/>
            <w:vMerge/>
            <w:tcBorders>
              <w:top w:val="nil"/>
              <w:left w:val="nil"/>
              <w:bottom w:val="single" w:sz="4" w:space="0" w:color="000000"/>
              <w:right w:val="nil"/>
            </w:tcBorders>
            <w:vAlign w:val="center"/>
            <w:hideMark/>
          </w:tcPr>
          <w:p w14:paraId="36726C87"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5EBA3AC7" w14:textId="5991CE20"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296DC5ED"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Quindío</w:t>
            </w:r>
          </w:p>
        </w:tc>
        <w:tc>
          <w:tcPr>
            <w:tcW w:w="544" w:type="dxa"/>
            <w:tcBorders>
              <w:top w:val="nil"/>
              <w:left w:val="nil"/>
              <w:bottom w:val="nil"/>
              <w:right w:val="nil"/>
            </w:tcBorders>
            <w:shd w:val="clear" w:color="auto" w:fill="auto"/>
            <w:noWrap/>
            <w:vAlign w:val="center"/>
            <w:hideMark/>
          </w:tcPr>
          <w:p w14:paraId="734EE29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4</w:t>
            </w:r>
          </w:p>
        </w:tc>
        <w:tc>
          <w:tcPr>
            <w:tcW w:w="1405" w:type="dxa"/>
            <w:tcBorders>
              <w:top w:val="nil"/>
              <w:left w:val="nil"/>
              <w:bottom w:val="nil"/>
              <w:right w:val="nil"/>
            </w:tcBorders>
            <w:shd w:val="clear" w:color="auto" w:fill="auto"/>
            <w:noWrap/>
            <w:vAlign w:val="center"/>
            <w:hideMark/>
          </w:tcPr>
          <w:p w14:paraId="3456F43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2011</w:t>
            </w:r>
          </w:p>
        </w:tc>
        <w:tc>
          <w:tcPr>
            <w:tcW w:w="3130" w:type="dxa"/>
            <w:gridSpan w:val="2"/>
            <w:tcBorders>
              <w:top w:val="nil"/>
              <w:left w:val="nil"/>
              <w:bottom w:val="nil"/>
              <w:right w:val="nil"/>
            </w:tcBorders>
            <w:shd w:val="clear" w:color="auto" w:fill="auto"/>
            <w:noWrap/>
            <w:vAlign w:val="center"/>
            <w:hideMark/>
          </w:tcPr>
          <w:p w14:paraId="06E3176E" w14:textId="5AD460BC"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{"citationItems":[{"id":"ITEM-1","itemData":{"DOI":"10.1590/S1984-46702015000100003","ISSN":"19844670","abstract":"Mosquito control prevails as the most efficient method to protect humans from the dengue virus, despite recent efforts to find a vaccine for this disease. We evaluated insecticide resistance and genetic variability in natural populations of Aedes aegypti (Linnaeus, 1762) from Colombia. This is the first Colombian study examining kdr mutations and population structure. Bioassays with larvae of three mosquito populations (Armenia, Calarcá and Montenegro) were performed according to the World Health Organization (WHO) guidelines, using Temephos. For the analysis of the Val1016Ile mutation and genetic diversity, we sampled recently-emerged adults from four mosquito populations (Armenia, Calarcá, Montenegro and Barcelona). Following the WHO protocol, bioassays implemented with larvae showed resistance to Temephos in mosquito populations from Armenia (77% ± 2) and Calarcá (62% ± 14), and an incipient altered susceptibility at Montenegro (88% ± 8). The RR&lt;inf&gt;95&lt;/inf&gt; of mosquito populations ranged from 3.7 (Montenegro) to 6.0 (Calarca). The Val1016Ile mutation analysis of 107 genotyped samples indicates that 94% of the specimens were homozygous for the wild allele (1016Val) and 6% were heterozygous (Val1016Ile). The 1016Ile allele was not found in Barcelona. Genetic variability analysis found three mitochondrial lineages with low genetic diversity and gene flow. In comparison with haplotypes from the American continent, those from this study suggest connections with Mexican and North American populations. These results confirm that a continuous monitoring and managing program of A. aegypti resistance in the state of Quindío is required.","author":[{"dropping-particle":"","family":"Aguirre-Obando","given":"Oscar A.","non-dropping-particle":"","parse-names":false,"suffix":""},{"dropping-particle":"","family":"Dalla Bona","given":"Ana C.","non-dropping-particle":"","parse-names":false,"suffix":""},{"dropping-particle":"","family":"Duque L","given":"Jonny E.","non-dropping-particle":"","parse-names":false,"suffix":""},{"dropping-particle":"","family":"Navarro-Silva","given":"Mário A.","non-dropping-particle":"","parse-names":false,"suffix":""}],"container-title":"Zoologia","id":"ITEM-1","issue":"1","issued":{"date-parts":[["2015"]]},"page":"14-22","title":"Insecticide resistance and genetic variability in natural populations of Aedes (Stegomyia) aegypti (Diptera: Culicidae) from Colombia","type":"article-journal","volume":"32"},"uris":["http://www.mendeley.com/documents/?uuid=c9310d44-d744-44c3-a356-9ae169d3ca55"]}],"mendeley":{"formattedCitation":"(Aguirre-Obando et al. 2015)","plainTextFormattedCitation":"(Aguirre-Obando et al. 2015)","previouslyFormattedCitation":"(Aguirre-Obando et al. 2015)"},"properties":{"noteIndex":0},"schema":"https://github.com/citation-style-language/schema/raw/master/csl-citation.json"}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(Aguirre-Obando et al. 2015)</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7988301" w14:textId="77777777" w:rsidTr="00A80FE7">
        <w:trPr>
          <w:trHeight w:val="300"/>
          <w:jc w:val="center"/>
        </w:trPr>
        <w:tc>
          <w:tcPr>
            <w:tcW w:w="1298" w:type="dxa"/>
            <w:vMerge/>
            <w:tcBorders>
              <w:top w:val="nil"/>
              <w:left w:val="nil"/>
              <w:bottom w:val="single" w:sz="4" w:space="0" w:color="000000"/>
              <w:right w:val="nil"/>
            </w:tcBorders>
            <w:vAlign w:val="center"/>
            <w:hideMark/>
          </w:tcPr>
          <w:p w14:paraId="04838AA5"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noWrap/>
            <w:vAlign w:val="center"/>
            <w:hideMark/>
          </w:tcPr>
          <w:p w14:paraId="456A99D5" w14:textId="499D8B59"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nil"/>
              <w:right w:val="nil"/>
            </w:tcBorders>
            <w:shd w:val="clear" w:color="auto" w:fill="auto"/>
            <w:noWrap/>
            <w:vAlign w:val="center"/>
            <w:hideMark/>
          </w:tcPr>
          <w:p w14:paraId="259C5B9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Quindío</w:t>
            </w:r>
          </w:p>
        </w:tc>
        <w:tc>
          <w:tcPr>
            <w:tcW w:w="544" w:type="dxa"/>
            <w:tcBorders>
              <w:top w:val="nil"/>
              <w:left w:val="nil"/>
              <w:bottom w:val="nil"/>
              <w:right w:val="nil"/>
            </w:tcBorders>
            <w:shd w:val="clear" w:color="auto" w:fill="auto"/>
            <w:noWrap/>
            <w:vAlign w:val="center"/>
            <w:hideMark/>
          </w:tcPr>
          <w:p w14:paraId="7A71A5A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w:t>
            </w:r>
          </w:p>
        </w:tc>
        <w:tc>
          <w:tcPr>
            <w:tcW w:w="1405" w:type="dxa"/>
            <w:tcBorders>
              <w:top w:val="nil"/>
              <w:left w:val="nil"/>
              <w:bottom w:val="nil"/>
              <w:right w:val="nil"/>
            </w:tcBorders>
            <w:shd w:val="clear" w:color="auto" w:fill="auto"/>
            <w:noWrap/>
            <w:vAlign w:val="center"/>
            <w:hideMark/>
          </w:tcPr>
          <w:p w14:paraId="74EE2CD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2015</w:t>
            </w:r>
          </w:p>
        </w:tc>
        <w:tc>
          <w:tcPr>
            <w:tcW w:w="3130" w:type="dxa"/>
            <w:gridSpan w:val="2"/>
            <w:tcBorders>
              <w:top w:val="nil"/>
              <w:left w:val="nil"/>
              <w:bottom w:val="nil"/>
              <w:right w:val="nil"/>
            </w:tcBorders>
            <w:shd w:val="clear" w:color="auto" w:fill="auto"/>
            <w:noWrap/>
            <w:vAlign w:val="center"/>
            <w:hideMark/>
          </w:tcPr>
          <w:p w14:paraId="703C626A" w14:textId="77BC0B22"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{"citationItems":[{"id":"ITEM-1","itemData":{"DOI":"10.1590/0102-311X00057214","ISSN":"16784464","PMID":"25859719","abstract":"A territorial analysis of Aedes aegypti density was conducted in two Colombian cities using an ecosystem and chorematic approach. Entomological and behavioral data (by cluster) and information on the urban context were used to analyze the relationship between territorial structures and dynamics and vector density. The results were represented in graphic (chorematic) models. Arauca showed higher vector density than Armenia. Higher density was related to unplanned urbanization, flood-prone areas, low socioeconomic strata, household water tanks, higher temperature, and recall of control measures for adult mosquitos. Zones with low density indices coincided with diverse socioeconomic, ecological, and behavioral conditions. The study found a relationship between territorial structures and dynamics and vector density in both Arauca and Armenia, where the interaction between ecological and social systems shape areas with high and low A. aegypti density.","author":[{"dropping-particle":"","family":"Fuentes-Vallejo","given":"Mauricio","non-dropping-particle":"","parse-names":false,"suffix":""},{"dropping-particle":"","family":"Higuera-Mendieta","given":"Diana Rocío","non-dropping-particle":"","parse-names":false,"suffix":""},{"dropping-particle":"","family":"García-Betancourt","given":"Tatiana","non-dropping-particle":"","parse-names":false,"suffix":""},{"dropping-particle":"","family":"Alcalá-Espinosa","given":"Lucas Andrés","non-dropping-particle":"","parse-names":false,"suffix":""},{"dropping-particle":"","family":"García-Sánchez","given":"Diana","non-dropping-particle":"","parse-names":false,"suffix":""},{"dropping-particle":"","family":"Munévar-Cagigas","given":"David Alejandro","non-dropping-particle":"","parse-names":false,"suffix":""},{"dropping-particle":"","family":"Brochero","given":"Helena Luisa","non-dropping-particle":"","parse-names":false,"suffix":""},{"dropping-particle":"","family":"González-Uribe","given":"Catalina","non-dropping-particle":"","parse-names":false,"suffix":""},{"dropping-particle":"","family":"Quintero","given":"Juliana","non-dropping-particle":"","parse-names":false,"suffix":""}],"container-title":"Cadernos de Saude Publica","id":"ITEM-1","issue":"3","issued":{"date-parts":[["2015"]]},"page":"517-530","title":"Análisis territorial de la distribución de Aedes aegypti en dos ciudades de Colombia: Aproximación desde la coremática y el enfoque ecosistémico","type":"article-journal","volume":"31"},"uris":["http://www.mendeley.com/documents/?uuid=5d579b8a-8266-405e-b696-d81148f9e6b4"]}],"mendeley":{"formattedCitation":"(Fuentes-Vallejo et al. 2015)","plainTextFormattedCitation":"(Fuentes-Vallejo et al. 2015)","previouslyFormattedCitation":"(Fuentes-Vallejo et al. 2015)"},"properties":{"noteIndex":0},"schema":"https://github.com/citation-style-language/schema/raw/master/csl-citation.json"}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(Fuentes-Vallejo et al. 2015)</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3BE6D888" w14:textId="77777777" w:rsidTr="00A80FE7">
        <w:trPr>
          <w:trHeight w:val="600"/>
          <w:jc w:val="center"/>
        </w:trPr>
        <w:tc>
          <w:tcPr>
            <w:tcW w:w="1298" w:type="dxa"/>
            <w:vMerge/>
            <w:tcBorders>
              <w:top w:val="nil"/>
              <w:left w:val="nil"/>
              <w:bottom w:val="single" w:sz="4" w:space="0" w:color="000000"/>
              <w:right w:val="nil"/>
            </w:tcBorders>
            <w:vAlign w:val="center"/>
            <w:hideMark/>
          </w:tcPr>
          <w:p w14:paraId="10E69901"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vAlign w:val="center"/>
            <w:hideMark/>
          </w:tcPr>
          <w:p w14:paraId="79887475" w14:textId="29BA0921"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r w:rsidRPr="00DC6866">
              <w:rPr>
                <w:rFonts w:ascii="Times New Roman" w:eastAsia="Times New Roman" w:hAnsi="Times New Roman" w:cs="Times New Roman"/>
                <w:i/>
                <w:iCs/>
                <w:color w:val="000000"/>
                <w:kern w:val="0"/>
                <w:sz w:val="24"/>
                <w:szCs w:val="24"/>
                <w:lang w:eastAsia="es-CO"/>
                <w14:ligatures w14:val="none"/>
              </w:rPr>
              <w:t xml:space="preserve"> and 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02E89615"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Santander</w:t>
            </w:r>
          </w:p>
        </w:tc>
        <w:tc>
          <w:tcPr>
            <w:tcW w:w="544" w:type="dxa"/>
            <w:tcBorders>
              <w:top w:val="nil"/>
              <w:left w:val="nil"/>
              <w:bottom w:val="nil"/>
              <w:right w:val="nil"/>
            </w:tcBorders>
            <w:shd w:val="clear" w:color="auto" w:fill="auto"/>
            <w:noWrap/>
            <w:vAlign w:val="center"/>
            <w:hideMark/>
          </w:tcPr>
          <w:p w14:paraId="2FD2548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15</w:t>
            </w:r>
          </w:p>
        </w:tc>
        <w:tc>
          <w:tcPr>
            <w:tcW w:w="1405" w:type="dxa"/>
            <w:tcBorders>
              <w:top w:val="nil"/>
              <w:left w:val="nil"/>
              <w:bottom w:val="nil"/>
              <w:right w:val="nil"/>
            </w:tcBorders>
            <w:shd w:val="clear" w:color="auto" w:fill="auto"/>
            <w:noWrap/>
            <w:vAlign w:val="center"/>
            <w:hideMark/>
          </w:tcPr>
          <w:p w14:paraId="3302BCE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2019</w:t>
            </w:r>
          </w:p>
        </w:tc>
        <w:tc>
          <w:tcPr>
            <w:tcW w:w="3130" w:type="dxa"/>
            <w:gridSpan w:val="2"/>
            <w:tcBorders>
              <w:top w:val="nil"/>
              <w:left w:val="nil"/>
              <w:bottom w:val="nil"/>
              <w:right w:val="nil"/>
            </w:tcBorders>
            <w:shd w:val="clear" w:color="auto" w:fill="auto"/>
            <w:noWrap/>
            <w:vAlign w:val="center"/>
            <w:hideMark/>
          </w:tcPr>
          <w:p w14:paraId="0B14E6CC" w14:textId="6408A862"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{"citationItems":[{"id":"ITEM-1","itemData":{"DOI":"10.17151/biosa.2019.18.1.1","ISSN":"16579550","abstract":"I n t r o d u c t i o n: T h e d i s t r i b u t i o n i n r u r a l zones of Colombia of Aedes aegypti and Aedes albopictus vectors, implicated in arboviral diseases such as dengue, yellow fever, chikungunya, and Zika is still little known. Objective: To determine the distribution and presence of A. aegypti and A. albopictus on rural districts in the area of influence of the Sogamoso Hydroelectric Power Plant in Santander, Colombia. Materials and methods: A cross-sectional descriptive study was carried out in 33 rural districts of six municipalities of the Department of Santander: Betulia, Girón, Lebrija, Los Santos, San Vicente de Chucurí, and Zapatoca. For the entomological monitoring, traps with the attractant BG-Sentinel® were used for 24 hours indoors and aside from houses. Simultaneously, manual vacuum cleaners and flashlights were used to inspect indoor, aside, and outdoor dwellings. The search for immature stages was also carried out in natural and artificial hatcheries with water. The specimens were identified with dichotomous keys in the Entomology Laboratory of the Instituto Colombiano de Medicina Tropical-Universidad CES (ICMT-CES). Results: A total of 112 samples were collected (88 specimens of A. aegypti and 24 of A. albopictus). A. aegypti were collected from indoors and aside of houses. A. albopictus was found aside and outdoors. Conclusions: The presence of A. aegypti and A. albopictus was recorded in the rural area of Santander. These findings would be the first record of A. albopictus in the rural area of Santander, Colombia.","author":[{"dropping-particle":"","family":"Gómez-Vargas","given":"Wilber","non-dropping-particle":"","parse-names":false,"suffix":""},{"dropping-particle":"","family":"Zapata-Úsuga","given":"Giovani","non-dropping-particle":"","parse-names":false,"suffix":""}],"container-title":"Biosalud","id":"ITEM-1","issue":"1","issued":{"date-parts":[["2019"]]},"page":"7-21","title":"Presence of Aedes aegypti and Aedes albopictus (Diptera: Culicidae) in the rural area of the department of Santander, Colombia","type":"article-journal","volume":"18"},"uris":["http://www.mendeley.com/documents/?uuid=a069fa8b-a63b-44e6-a77f-9719e3f304c0"]}],"mendeley":{"formattedCitation":"(Gómez-Vargas and Zapata-Úsuga 2019)","plainTextFormattedCitation":"(Gómez-Vargas and Zapata-Úsuga 2019)","previouslyFormattedCitation":"(Gómez-Vargas and Zapata-Úsuga 2019)"},"properties":{"noteIndex":0},"schema":"https://github.com/citation-style-language/schema/raw/master/csl-citation.json"}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(Gómez-Vargas and Zapata-Úsuga 2019)</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496C75EB" w14:textId="77777777" w:rsidTr="00A80FE7">
        <w:trPr>
          <w:trHeight w:val="600"/>
          <w:jc w:val="center"/>
        </w:trPr>
        <w:tc>
          <w:tcPr>
            <w:tcW w:w="1298" w:type="dxa"/>
            <w:vMerge/>
            <w:tcBorders>
              <w:top w:val="nil"/>
              <w:left w:val="nil"/>
              <w:bottom w:val="single" w:sz="4" w:space="0" w:color="000000"/>
              <w:right w:val="nil"/>
            </w:tcBorders>
            <w:vAlign w:val="center"/>
            <w:hideMark/>
          </w:tcPr>
          <w:p w14:paraId="220DAAA1"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vAlign w:val="center"/>
            <w:hideMark/>
          </w:tcPr>
          <w:p w14:paraId="0157B86F" w14:textId="66255613"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r w:rsidRPr="00DC6866">
              <w:rPr>
                <w:rFonts w:ascii="Times New Roman" w:eastAsia="Times New Roman" w:hAnsi="Times New Roman" w:cs="Times New Roman"/>
                <w:i/>
                <w:iCs/>
                <w:color w:val="000000"/>
                <w:kern w:val="0"/>
                <w:sz w:val="24"/>
                <w:szCs w:val="24"/>
                <w:lang w:eastAsia="es-CO"/>
                <w14:ligatures w14:val="none"/>
              </w:rPr>
              <w:t xml:space="preserve"> and 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1D4B3AE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Tolima</w:t>
            </w:r>
          </w:p>
        </w:tc>
        <w:tc>
          <w:tcPr>
            <w:tcW w:w="544" w:type="dxa"/>
            <w:tcBorders>
              <w:top w:val="nil"/>
              <w:left w:val="nil"/>
              <w:bottom w:val="nil"/>
              <w:right w:val="nil"/>
            </w:tcBorders>
            <w:shd w:val="clear" w:color="auto" w:fill="auto"/>
            <w:noWrap/>
            <w:vAlign w:val="center"/>
            <w:hideMark/>
          </w:tcPr>
          <w:p w14:paraId="6A1FEC83"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w:t>
            </w:r>
          </w:p>
        </w:tc>
        <w:tc>
          <w:tcPr>
            <w:tcW w:w="1405" w:type="dxa"/>
            <w:tcBorders>
              <w:top w:val="nil"/>
              <w:left w:val="nil"/>
              <w:bottom w:val="nil"/>
              <w:right w:val="nil"/>
            </w:tcBorders>
            <w:shd w:val="clear" w:color="auto" w:fill="auto"/>
            <w:noWrap/>
            <w:vAlign w:val="center"/>
            <w:hideMark/>
          </w:tcPr>
          <w:p w14:paraId="65C14A3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2018-2019</w:t>
            </w:r>
          </w:p>
        </w:tc>
        <w:tc>
          <w:tcPr>
            <w:tcW w:w="3130" w:type="dxa"/>
            <w:gridSpan w:val="2"/>
            <w:tcBorders>
              <w:top w:val="nil"/>
              <w:left w:val="nil"/>
              <w:bottom w:val="nil"/>
              <w:right w:val="nil"/>
            </w:tcBorders>
            <w:shd w:val="clear" w:color="auto" w:fill="auto"/>
            <w:noWrap/>
            <w:vAlign w:val="center"/>
            <w:hideMark/>
          </w:tcPr>
          <w:p w14:paraId="43485833" w14:textId="344B6495"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{"citationItems":[{"id":"ITEM-1","itemData":{"DOI":"10.1186/s13071-021-04908-x","ISSN":"17563305","PMID":"34488857","abstract":"Background: Dengue, Zika and chikungunya are arboviruses of significant public health importance that are transmitted by Aedes aegypti and Aedes albopictus mosquitoes. In Colombia, where dengue is hyperendemic, and where chikungunya and Zika were introduced in the last decade, more than half of the population lives in areas at risk. The objective of this study was to characterize Aedes spp. vectors and study their natural infection with dengue, Zika and chikungunya in Ibagué, a Colombian city and capital of the department of Tolima, with case reports of simultaneous circulation of these three arboviruses. Methods: Mosquito collections were carried out monthly between June 2018 and May 2019 in neighborhoods with different levels of socioeconomic status. We used the non-parametric Friedman, Mann–Whitney and Kruskal–Wallis tests to compare mosquito density distributions. We applied logistic regression analyses to identify associations between mosquito density and absence/presence of breeding sites, and the Spearman correlation coefficient to analyze the possible relationship between climatic variables and mosquito density. Results: We collected Ae. aegypti in all sampled neighborhoods and found for the first time Ae. albopictus in the city of Ibagué. A greater abundance of mosquitoes was collected in neighborhoods displaying low compared to high socioeconomic status as well as in the intradomicile compared to the peridomestic space. Female mosquitoes predominated over males, and most of the test females had fed on human blood. In total, four Ae. aegypti pools (3%) were positive for dengue virus (serotype 1) and one pool for chikungunya virus (0.8%). Interestingly, infected females were only collected in neighborhoods of low socioeconomic status, and mostly in the intradomicile space. Conclusions: We confirmed the co-circulation of dengue (serotype 1) and chikungunya viruses in the Ae. aegypti population in Ibagué. However, Zika virus was not detected in any mosquito sample, 3 years after its introduction into the country. The positivity for dengue and chikungunya viruses, predominance of mosquitoes in the intradomicile space and the high proportion of females fed on humans highlight the high risk for arbovirus transmission in Ibagué, but may also provide an opportunity for establishing effective control strategies. Graphical abstract: [Figure not available: see fulltext.]","author":[{"dropping-particle":"","family":"Carrasquilla","given":"María C.","non-dropping-particle":"","parse-names":false,"suffix":""},{"dropping-particle":"","family":"Ortiz","given":"Mario I.","non-dropping-particle":"","parse-names":false,"suffix":""},{"dropping-particle":"","family":"León","given":"Cielo","non-dropping-particle":"","parse-names":false,"suffix":""},{"dropping-particle":"","family":"Rondón","given":"Silvia","non-dropping-particle":"","parse-names":false,"suffix":""},{"dropping-particle":"","family":"Kulkarni","given":"Manisha A.","non-dropping-particle":"","parse-names":false,"suffix":""},{"dropping-particle":"","family":"Talbot","given":"Benoit","non-dropping-particle":"","parse-names":false,"suffix":""},{"dropping-particle":"","family":"Sander","given":"Beate","non-dropping-particle":"","parse-names":false,"suffix":""},{"dropping-particle":"","family":"Vásquez","given":"Heriberto","non-dropping-particle":"","parse-names":false,"suffix":""},{"dropping-particle":"","family":"Cordovez","given":"Juan M.","non-dropping-particle":"","parse-names":false,"suffix":""},{"dropping-particle":"","family":"González","given":"Camila","non-dropping-particle":"","parse-names":false,"suffix":""},{"dropping-particle":"","family":"Kulkarni","given":"Manisha A.","non-dropping-particle":"","parse-names":false,"suffix":""},{"dropping-particle":"","family":"Wu","given":"Jianhong","non-dropping-particle":"","parse-names":false,"suffix":""},{"dropping-particle":"","family":"González","given":"Camila","non-dropping-particle":"","parse-names":false,"suffix":""},{"dropping-particle":"","family":"Miretti","given":"Marcos","non-dropping-particle":"","parse-names":false,"suffix":""},{"dropping-particle":"","family":"Espinel","given":"Mauricio","non-dropping-particle":"","parse-names":false,"suffix":""},{"dropping-particle":"","family":"Cevallos","given":"Varsovia","non-dropping-particle":"","parse-names":false,"suffix":""}],"container-title":"Parasites and Vectors","id":"ITEM-1","issue":"1","issued":{"date-parts":[["2021"]]},"page":"1-14","title":"Entomological characterization of Aedes mosquitoes and arbovirus detection in Ibagué, a Colombian city with co-circulation of Zika, dengue and chikungunya viruses","type":"article-journal","volume":"14"},"uris":["http://www.mendeley.com/documents/?uuid=9e1aaa25-7bda-47b1-9888-245a296b8651"]}],"mendeley":{"formattedCitation":"(Carrasquilla et al. 2021)","plainTextFormattedCitation":"(Carrasquilla et al. 2021)","previouslyFormattedCitation":"(Carrasquilla et al. 2021)"},"properties":{"noteIndex":0},"schema":"https://github.com/citation-style-language/schema/raw/master/csl-citation.json"}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(Carrasquilla et al. 2021)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2FED794" w14:textId="77777777" w:rsidTr="00A80FE7">
        <w:trPr>
          <w:trHeight w:val="300"/>
          <w:jc w:val="center"/>
        </w:trPr>
        <w:tc>
          <w:tcPr>
            <w:tcW w:w="1298" w:type="dxa"/>
            <w:vMerge w:val="restart"/>
            <w:tcBorders>
              <w:top w:val="nil"/>
              <w:left w:val="nil"/>
              <w:bottom w:val="single" w:sz="4" w:space="0" w:color="000000"/>
              <w:right w:val="nil"/>
            </w:tcBorders>
            <w:shd w:val="clear" w:color="auto" w:fill="auto"/>
            <w:noWrap/>
            <w:vAlign w:val="center"/>
            <w:hideMark/>
          </w:tcPr>
          <w:p w14:paraId="60F4869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Orinoco</w:t>
            </w:r>
          </w:p>
        </w:tc>
        <w:tc>
          <w:tcPr>
            <w:tcW w:w="1581" w:type="dxa"/>
            <w:tcBorders>
              <w:top w:val="single" w:sz="4" w:space="0" w:color="auto"/>
              <w:left w:val="nil"/>
              <w:bottom w:val="nil"/>
              <w:right w:val="nil"/>
            </w:tcBorders>
            <w:shd w:val="clear" w:color="auto" w:fill="auto"/>
            <w:noWrap/>
            <w:vAlign w:val="center"/>
            <w:hideMark/>
          </w:tcPr>
          <w:p w14:paraId="1FDC6756" w14:textId="41640E57"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single" w:sz="4" w:space="0" w:color="auto"/>
              <w:left w:val="nil"/>
              <w:bottom w:val="nil"/>
              <w:right w:val="nil"/>
            </w:tcBorders>
            <w:shd w:val="clear" w:color="auto" w:fill="auto"/>
            <w:noWrap/>
            <w:vAlign w:val="center"/>
            <w:hideMark/>
          </w:tcPr>
          <w:p w14:paraId="65751A3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Casanare</w:t>
            </w:r>
          </w:p>
        </w:tc>
        <w:tc>
          <w:tcPr>
            <w:tcW w:w="544" w:type="dxa"/>
            <w:tcBorders>
              <w:top w:val="single" w:sz="4" w:space="0" w:color="auto"/>
              <w:left w:val="nil"/>
              <w:bottom w:val="nil"/>
              <w:right w:val="nil"/>
            </w:tcBorders>
            <w:shd w:val="clear" w:color="auto" w:fill="auto"/>
            <w:noWrap/>
            <w:vAlign w:val="center"/>
            <w:hideMark/>
          </w:tcPr>
          <w:p w14:paraId="587BB73A"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3</w:t>
            </w:r>
          </w:p>
        </w:tc>
        <w:tc>
          <w:tcPr>
            <w:tcW w:w="1405" w:type="dxa"/>
            <w:tcBorders>
              <w:top w:val="single" w:sz="4" w:space="0" w:color="auto"/>
              <w:left w:val="nil"/>
              <w:bottom w:val="nil"/>
              <w:right w:val="nil"/>
            </w:tcBorders>
            <w:shd w:val="clear" w:color="auto" w:fill="auto"/>
            <w:noWrap/>
            <w:vAlign w:val="center"/>
            <w:hideMark/>
          </w:tcPr>
          <w:p w14:paraId="1D31009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2009</w:t>
            </w:r>
          </w:p>
        </w:tc>
        <w:tc>
          <w:tcPr>
            <w:tcW w:w="3130" w:type="dxa"/>
            <w:gridSpan w:val="2"/>
            <w:tcBorders>
              <w:top w:val="single" w:sz="4" w:space="0" w:color="auto"/>
              <w:left w:val="nil"/>
              <w:bottom w:val="nil"/>
              <w:right w:val="nil"/>
            </w:tcBorders>
            <w:shd w:val="clear" w:color="auto" w:fill="auto"/>
            <w:noWrap/>
            <w:vAlign w:val="center"/>
            <w:hideMark/>
          </w:tcPr>
          <w:p w14:paraId="7BF0767F" w14:textId="2DA3DD48"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{"citationItems":[{"id":"ITEM-1","itemData":{"DOI":"10.7705/biomedica.v33i3.1534","ISSN":"01204157","PMID":"24652181","abstract":"Introduction: Physiological resistance of Aedes aegypti is a major threat to effective control programs in the transmission of dengue virus. Objective: To determine the status of susceptibility to insecticides used in public health, in natural populations of A. aegypti from three endemic dengue localities of Casanare. Materials and methods: Adult mosquitoes were recovered from A. aegypti immature stages from seven natural populations collected for three municipalities. The first filial generation was used to assess the biochemical mechanisms associated with loss of susceptibility: nonspecific esterase (NSE) and enzyme cytochrome P450 monooxygenases group. The second filial generation allowed us to evaluate the susceptibility to insecticides from bioassays using the CDC 1998 methodology for adult mosquitoes and WHO 1981 technique for larvae. Results: In the seven adult populations recorded loss of susceptibility to organochlorine DDT and pyrethroids lambda-cyhalothrin and permethrin. Two populations showed susceptibility to deltamethrin and five populations showed susceptibility to cyfluthrin. There was a susceptibility to organophosphates temephos, malathion and fenitrothion in all populations. No population showed increased NSE but an increase of P450 in two populations of Yopal. Conclusions: It appears that the P450 may play an important role in resistance to pyrethroids and DDT, still other resistance mechanisms may be acting in populations. Susceptibility to organophosphate allows continued use of this chemical group to interrupt transmission of dengue in Casanare.","author":[{"dropping-particle":"","family":"Ardila-Roldán","given":"Susanne","non-dropping-particle":"","parse-names":false,"suffix":""},{"dropping-particle":"","family":"Santacoloma","given":"Liliana","non-dropping-particle":"","parse-names":false,"suffix":""},{"dropping-particle":"","family":"Brochero","given":"Helena","non-dropping-particle":"","parse-names":false,"suffix":""}],"container-title":"Biomedica","id":"ITEM-1","issue":"3","issued":{"date-parts":[["2013"]]},"page":"446-458","title":"Estado de la sensibilidad a los insecticidas de uso en salud pública en poblaciones naturales de Aedes Aegypti (Diptera: Culicidae) del departamento de Casanare, Colombia","type":"article-journal","volume":"33"},"uris":["http://www.mendeley.com/documents/?uuid=2d25051c-1998-46d5-b2f5-3b066d15fb4a"]}],"mendeley":{"formattedCitation":"(Ardila-Roldán et al. 2013)","plainTextFormattedCitation":"(Ardila-Roldán et al. 2013)","previouslyFormattedCitation":"(Ardila-Roldán et al. 2013)"},"properties":{"noteIndex":0},"schema":"https://github.com/citation-style-language/schema/raw/master/csl-citation.json"}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(Ardila-Roldán et al. 2013)</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1F8A39E0" w14:textId="77777777" w:rsidTr="00A80FE7">
        <w:trPr>
          <w:trHeight w:val="600"/>
          <w:jc w:val="center"/>
        </w:trPr>
        <w:tc>
          <w:tcPr>
            <w:tcW w:w="1298" w:type="dxa"/>
            <w:vMerge/>
            <w:tcBorders>
              <w:top w:val="nil"/>
              <w:left w:val="nil"/>
              <w:bottom w:val="single" w:sz="4" w:space="0" w:color="000000"/>
              <w:right w:val="nil"/>
            </w:tcBorders>
            <w:vAlign w:val="center"/>
            <w:hideMark/>
          </w:tcPr>
          <w:p w14:paraId="15A122E8"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nil"/>
              <w:right w:val="nil"/>
            </w:tcBorders>
            <w:shd w:val="clear" w:color="auto" w:fill="auto"/>
            <w:vAlign w:val="center"/>
            <w:hideMark/>
          </w:tcPr>
          <w:p w14:paraId="61C4E576" w14:textId="70703ADD"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r w:rsidRPr="00DC6866">
              <w:rPr>
                <w:rFonts w:ascii="Times New Roman" w:eastAsia="Times New Roman" w:hAnsi="Times New Roman" w:cs="Times New Roman"/>
                <w:i/>
                <w:iCs/>
                <w:color w:val="000000"/>
                <w:kern w:val="0"/>
                <w:sz w:val="24"/>
                <w:szCs w:val="24"/>
                <w:lang w:eastAsia="es-CO"/>
                <w14:ligatures w14:val="none"/>
              </w:rPr>
              <w:t xml:space="preserve"> and 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59A3CF22"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Casanare</w:t>
            </w:r>
          </w:p>
        </w:tc>
        <w:tc>
          <w:tcPr>
            <w:tcW w:w="544" w:type="dxa"/>
            <w:tcBorders>
              <w:top w:val="nil"/>
              <w:left w:val="nil"/>
              <w:bottom w:val="nil"/>
              <w:right w:val="nil"/>
            </w:tcBorders>
            <w:shd w:val="clear" w:color="auto" w:fill="auto"/>
            <w:noWrap/>
            <w:vAlign w:val="center"/>
            <w:hideMark/>
          </w:tcPr>
          <w:p w14:paraId="7C4E416F"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3</w:t>
            </w:r>
          </w:p>
        </w:tc>
        <w:tc>
          <w:tcPr>
            <w:tcW w:w="1405" w:type="dxa"/>
            <w:tcBorders>
              <w:top w:val="nil"/>
              <w:left w:val="nil"/>
              <w:bottom w:val="nil"/>
              <w:right w:val="nil"/>
            </w:tcBorders>
            <w:shd w:val="clear" w:color="auto" w:fill="auto"/>
            <w:noWrap/>
            <w:vAlign w:val="center"/>
            <w:hideMark/>
          </w:tcPr>
          <w:p w14:paraId="613149B7"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2016</w:t>
            </w:r>
          </w:p>
        </w:tc>
        <w:tc>
          <w:tcPr>
            <w:tcW w:w="3130" w:type="dxa"/>
            <w:gridSpan w:val="2"/>
            <w:tcBorders>
              <w:top w:val="nil"/>
              <w:left w:val="nil"/>
              <w:bottom w:val="nil"/>
              <w:right w:val="nil"/>
            </w:tcBorders>
            <w:shd w:val="clear" w:color="auto" w:fill="auto"/>
            <w:noWrap/>
            <w:vAlign w:val="center"/>
            <w:hideMark/>
          </w:tcPr>
          <w:p w14:paraId="3AE5DE34" w14:textId="66F3D0D5"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{"citationItems":[{"id":"ITEM-1","itemData":{"abstract":"Aedes albopictus es vector de arbovirus, como, Flavivirus, Alphavirus, Bunyavirus, Phlebovirus, Orbivirus y Picornavirus. Muchos son agentes etiológicos de enfermedades en humanos. Actualmente A. albopictus se encuentra en expansión geográfica por su adaptación a diversos ambientes y tipos de criaderos. En Colombia este mosquito fue reportado por primera vez en 1998 y hasta el momento se ha registrado en 10 departamentos","author":[{"dropping-particle":"","family":"Camacho-Gómez","given":"Malenna","non-dropping-particle":"","parse-names":false,"suffix":""},{"dropping-particle":"","family":"Zuleta","given":"Liliana Patricia","non-dropping-particle":"","parse-names":false,"suffix":""}],"container-title":"Biomédica","id":"ITEM-1","issue":"4","issued":{"date-parts":[["2019"]]},"page":"785-97","title":"Primer reporte de Aedes (Stegomyia) albopictus (Skuse) en la Orinoquia colombiana","type":"article-journal","volume":"39"},"uris":["http://www.mendeley.com/documents/?uuid=c33f9fa8-3435-4069-924f-f60e2be8f115"]}],"mendeley":{"formattedCitation":"(Camacho-Gómez and Zuleta 2019)","plainTextFormattedCitation":"(Camacho-Gómez and Zuleta 2019)","previouslyFormattedCitation":"(Camacho-Gómez and Zuleta 2019)"},"properties":{"noteIndex":0},"schema":"https://github.com/citation-style-language/schema/raw/master/csl-citation.json"}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(Camacho-Gómez and Zuleta 2019)</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1A0BBB3" w14:textId="77777777" w:rsidTr="00A80FE7">
        <w:trPr>
          <w:trHeight w:val="300"/>
          <w:jc w:val="center"/>
        </w:trPr>
        <w:tc>
          <w:tcPr>
            <w:tcW w:w="1298" w:type="dxa"/>
            <w:vMerge/>
            <w:tcBorders>
              <w:top w:val="nil"/>
              <w:left w:val="nil"/>
              <w:bottom w:val="single" w:sz="4" w:space="0" w:color="000000"/>
              <w:right w:val="nil"/>
            </w:tcBorders>
            <w:vAlign w:val="center"/>
            <w:hideMark/>
          </w:tcPr>
          <w:p w14:paraId="14DAF6B5"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single" w:sz="4" w:space="0" w:color="auto"/>
              <w:right w:val="nil"/>
            </w:tcBorders>
            <w:shd w:val="clear" w:color="auto" w:fill="auto"/>
            <w:noWrap/>
            <w:vAlign w:val="center"/>
            <w:hideMark/>
          </w:tcPr>
          <w:p w14:paraId="2F37374D" w14:textId="1C8F1F68"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aegypti</w:t>
            </w:r>
            <w:proofErr w:type="spellEnd"/>
          </w:p>
        </w:tc>
        <w:tc>
          <w:tcPr>
            <w:tcW w:w="1540" w:type="dxa"/>
            <w:tcBorders>
              <w:top w:val="nil"/>
              <w:left w:val="nil"/>
              <w:bottom w:val="single" w:sz="4" w:space="0" w:color="auto"/>
              <w:right w:val="nil"/>
            </w:tcBorders>
            <w:shd w:val="clear" w:color="auto" w:fill="auto"/>
            <w:noWrap/>
            <w:vAlign w:val="center"/>
            <w:hideMark/>
          </w:tcPr>
          <w:p w14:paraId="74514BA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Meta</w:t>
            </w:r>
          </w:p>
        </w:tc>
        <w:tc>
          <w:tcPr>
            <w:tcW w:w="544" w:type="dxa"/>
            <w:tcBorders>
              <w:top w:val="nil"/>
              <w:left w:val="nil"/>
              <w:bottom w:val="single" w:sz="4" w:space="0" w:color="auto"/>
              <w:right w:val="nil"/>
            </w:tcBorders>
            <w:shd w:val="clear" w:color="auto" w:fill="auto"/>
            <w:noWrap/>
            <w:vAlign w:val="center"/>
            <w:hideMark/>
          </w:tcPr>
          <w:p w14:paraId="6DCF4457"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13</w:t>
            </w:r>
          </w:p>
        </w:tc>
        <w:tc>
          <w:tcPr>
            <w:tcW w:w="1405" w:type="dxa"/>
            <w:tcBorders>
              <w:top w:val="nil"/>
              <w:left w:val="nil"/>
              <w:bottom w:val="single" w:sz="4" w:space="0" w:color="auto"/>
              <w:right w:val="nil"/>
            </w:tcBorders>
            <w:shd w:val="clear" w:color="auto" w:fill="auto"/>
            <w:noWrap/>
            <w:vAlign w:val="center"/>
            <w:hideMark/>
          </w:tcPr>
          <w:p w14:paraId="437DAA54"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2021</w:t>
            </w:r>
          </w:p>
        </w:tc>
        <w:tc>
          <w:tcPr>
            <w:tcW w:w="3130" w:type="dxa"/>
            <w:gridSpan w:val="2"/>
            <w:tcBorders>
              <w:top w:val="nil"/>
              <w:left w:val="nil"/>
              <w:bottom w:val="single" w:sz="4" w:space="0" w:color="auto"/>
              <w:right w:val="nil"/>
            </w:tcBorders>
            <w:shd w:val="clear" w:color="auto" w:fill="auto"/>
            <w:noWrap/>
            <w:vAlign w:val="center"/>
            <w:hideMark/>
          </w:tcPr>
          <w:p w14:paraId="46FC2192" w14:textId="4020DB23" w:rsidR="00DC6866" w:rsidRPr="00DC6866" w:rsidRDefault="00C915F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sidR="00F52BE4">
              <w:rPr>
                <w:rFonts w:ascii="Times New Roman" w:eastAsia="Times New Roman" w:hAnsi="Times New Roman" w:cs="Times New Roman"/>
                <w:color w:val="000000"/>
                <w:kern w:val="0"/>
                <w:sz w:val="24"/>
                <w:szCs w:val="24"/>
                <w:lang w:eastAsia="es-CO"/>
                <w14:ligatures w14:val="none"/>
              </w:rPr>
              <w:instrText>ADDIN CSL_CITATION {"citationItems":[{"id":"ITEM-1","itemData":{"DOI":"10.1155/2021/8483236","ISSN":"16879694","abstract":"Aedes aegypti is the main vector of the dengue virus in Colombia. Some factors have been associated with its presence; however, in the local context, it has not been sufficiently evaluated. The present study seeks to identify the socioeconomic, environmental, and behavioral factors associated with the presence and abundance of A. aegypti in urban dwellings in the municipality of Castilla la Nueva. A cross-sectional cohort study was conducted in houses in the urban area of the municipality of Castilla la Nueva, where 307 houses were sampled by systematic random sampling during May 2018. A multifactorial survey was used to measure the socioeconomic, environmental, and behavioral factors as explanatory variables. The infestation and relative abundance were established by the presence of larval stages and ovitraps. The associated factors for the presence and abundance of A. aegypti were identified using negative binomial and logistic regression models. A positive housing infestation of 33.2% was identified by direct inspection and 78.5% with ovitraps. The main factors positively associated with the presence and abundance of A. aegypti were one-story homes (PR = 2.26; 95% CI: 1.31-3.87), the storage of water for domestic use (PR = 1.91; 95% CI: 1.18-3.09), and local conditions such as disorganized backyard (PR = 79.95; 95% CI: 10.96-583.24) and the proportion of shade greater than 50% of the backyard (PR = 62.32; 95% CI: 6.47-600.32). And, it is negatively associated with residential gas service (PR = 0.3; 95% CI: 0.16-0.58) and self-administered internal fumigation (PR = 0.37; 95% CI: 0.2-0.69). The presence and abundance of A. aegypti were explained by interrelated socioeconomic, environmental, and behavioral factors where local conditions and habits such as the organization of the patio, knowledge about vector biology, and cleaning containers are identified as main topics for future prevention strategies for the transmission of dengue in the local and national context.","author":[{"dropping-particle":"","family":"Vásquez-Trujillo","given":"Adolfo","non-dropping-particle":"","parse-names":false,"suffix":""},{"dropping-particle":"","family":"Cardona-Arango","given":"Doris","non-dropping-particle":"","parse-names":false,"suffix":""},{"dropping-particle":"","family":"Segura-Cardona","given":"Angela M.","non-dropping-particle":"","parse-names":false,"suffix":""},{"dropping-particle":"","family":"Portela-Câmara","given":"Daniel C.","non-dropping-particle":"","parse-names":false,"suffix":""},{"dropping-particle":"","family":"Alves-Honório","given":"Nildimar","non-dropping-particle":"","parse-names":false,"suffix":""},{"dropping-particle":"","family":"Parra-Henao","given":"Gabriel","non-dropping-particle":"","parse-names":false,"suffix":""}],"container-title":"Journal of Tropical Medicine","id":"ITEM-1","issued":{"date-parts":[["2021"]]},"page":"1-12","title":"House-Level Risk Factors for Aedes aegypti Infestation in the Urban Center of Castilla la Nueva, Meta State, Colombia","type":"article-journal","volume":"2021"},"uris":["http://www.mendeley.com/documents/?uuid=619e77bd-72b9-47e4-9b38-00e484a3cfc2"]}],"mendeley":{"formattedCitation":"(Vásquez-Trujillo et al. 2021)","plainTextFormattedCitation":"(Vásquez-Trujillo et al. 2021)","previouslyFormattedCitation":"(Vásquez-Trujillo et al. 2021)"},"properties":{"noteIndex":0},"schema":"https://github.com/citation-style-language/schema/raw/master/csl-citation.json"}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C915F4">
              <w:rPr>
                <w:rFonts w:ascii="Times New Roman" w:eastAsia="Times New Roman" w:hAnsi="Times New Roman" w:cs="Times New Roman"/>
                <w:noProof/>
                <w:color w:val="000000"/>
                <w:kern w:val="0"/>
                <w:sz w:val="24"/>
                <w:szCs w:val="24"/>
                <w:lang w:eastAsia="es-CO"/>
                <w14:ligatures w14:val="none"/>
              </w:rPr>
              <w:t>(Vásquez-Trujillo et al. 2021)</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127D24F2" w14:textId="77777777" w:rsidTr="00A80FE7">
        <w:trPr>
          <w:trHeight w:val="300"/>
          <w:jc w:val="center"/>
        </w:trPr>
        <w:tc>
          <w:tcPr>
            <w:tcW w:w="1298" w:type="dxa"/>
            <w:vMerge w:val="restart"/>
            <w:tcBorders>
              <w:top w:val="nil"/>
              <w:left w:val="nil"/>
              <w:bottom w:val="single" w:sz="4" w:space="0" w:color="000000"/>
              <w:right w:val="nil"/>
            </w:tcBorders>
            <w:shd w:val="clear" w:color="auto" w:fill="auto"/>
            <w:noWrap/>
            <w:vAlign w:val="center"/>
            <w:hideMark/>
          </w:tcPr>
          <w:p w14:paraId="1E4D9DD1"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Amazon</w:t>
            </w:r>
          </w:p>
        </w:tc>
        <w:tc>
          <w:tcPr>
            <w:tcW w:w="1581" w:type="dxa"/>
            <w:tcBorders>
              <w:top w:val="nil"/>
              <w:left w:val="nil"/>
              <w:bottom w:val="nil"/>
              <w:right w:val="nil"/>
            </w:tcBorders>
            <w:shd w:val="clear" w:color="auto" w:fill="auto"/>
            <w:noWrap/>
            <w:vAlign w:val="center"/>
            <w:hideMark/>
          </w:tcPr>
          <w:p w14:paraId="22AC21F6" w14:textId="39B49AA5"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nil"/>
              <w:right w:val="nil"/>
            </w:tcBorders>
            <w:shd w:val="clear" w:color="auto" w:fill="auto"/>
            <w:noWrap/>
            <w:vAlign w:val="center"/>
            <w:hideMark/>
          </w:tcPr>
          <w:p w14:paraId="409F9556"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Amazonas</w:t>
            </w:r>
          </w:p>
        </w:tc>
        <w:tc>
          <w:tcPr>
            <w:tcW w:w="544" w:type="dxa"/>
            <w:tcBorders>
              <w:top w:val="nil"/>
              <w:left w:val="nil"/>
              <w:bottom w:val="nil"/>
              <w:right w:val="nil"/>
            </w:tcBorders>
            <w:shd w:val="clear" w:color="auto" w:fill="auto"/>
            <w:noWrap/>
            <w:vAlign w:val="center"/>
            <w:hideMark/>
          </w:tcPr>
          <w:p w14:paraId="4530DC35"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8</w:t>
            </w:r>
          </w:p>
        </w:tc>
        <w:tc>
          <w:tcPr>
            <w:tcW w:w="1405" w:type="dxa"/>
            <w:tcBorders>
              <w:top w:val="nil"/>
              <w:left w:val="nil"/>
              <w:bottom w:val="nil"/>
              <w:right w:val="nil"/>
            </w:tcBorders>
            <w:shd w:val="clear" w:color="auto" w:fill="auto"/>
            <w:noWrap/>
            <w:vAlign w:val="center"/>
            <w:hideMark/>
          </w:tcPr>
          <w:p w14:paraId="7E7CC088"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1998</w:t>
            </w:r>
          </w:p>
        </w:tc>
        <w:tc>
          <w:tcPr>
            <w:tcW w:w="3130" w:type="dxa"/>
            <w:gridSpan w:val="2"/>
            <w:tcBorders>
              <w:top w:val="nil"/>
              <w:left w:val="nil"/>
              <w:bottom w:val="nil"/>
              <w:right w:val="nil"/>
            </w:tcBorders>
            <w:shd w:val="clear" w:color="auto" w:fill="auto"/>
            <w:noWrap/>
            <w:vAlign w:val="center"/>
            <w:hideMark/>
          </w:tcPr>
          <w:p w14:paraId="12F31519" w14:textId="74076ACC" w:rsidR="00DC6866" w:rsidRPr="00DC6866" w:rsidRDefault="00F52BE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Pr>
                <w:rFonts w:ascii="Times New Roman" w:eastAsia="Times New Roman" w:hAnsi="Times New Roman" w:cs="Times New Roman"/>
                <w:color w:val="000000"/>
                <w:kern w:val="0"/>
                <w:sz w:val="24"/>
                <w:szCs w:val="24"/>
                <w:lang w:eastAsia="es-CO"/>
                <w14:ligatures w14:val="none"/>
              </w:rPr>
              <w:instrText>ADDIN CSL_CITATION {"citationItems":[{"id":"ITEM-1","itemData":{"DOI":"10.7705/biomedica.v18i3.990","ISSN":"0120-4157","abstract":"La especie Aedes albopictus es un eficiente vector del dengue en Asia y, posiblemente, de otros arbovirus incluyendo la fiebre amarilla y la encefalitis. En la ultima década se ha extendido la distribución de A. albopictus a las Américas. En la ciudad de Tabatinga, Brasil, muy cerceide la frontera con Colombia, se ha informado la presencia de esta especie en 1996 y, posteriormente, en octubre de 1997. En marzo de 1998, en desarrollo de un e&amp;udio sobre enfermedades tropicales realizado por el Programa de Estudio y Cotítrol de Enfermedades Tropicales, PECET, de la Universidad de Antioquia y la secretaría de Salud del Amazonas, se capturaron 8 ejemplares adultos de A. albopictus en la ciudad de Leticia, departamento del Amazonas, siendo éste el primer hallazgo de esta especie en Colombia. La presencia en Colombia de A. albopictus vuelve más complejo el problema del dengue por la mayor adaptación de este vector a climas más fríos, la capacidad de transmisión transovariana, la buena capacidad vectorial para transmitir los cuatro serotipos del virus y la mayor dificultad para su control dado que sus criaderos están en áreas peridomésticas y rurales. La distribución de esta especie tanto en zonas selváticas como rurales y urbanas presenta un peligro potencial de urbanizar la transmisión de la fiebre amarilla. Se presenta el plan de contingencia que se debe implementar por parte de la Secretaría de Salud del Amazonas con miras a evitar la propagación de este vector a otras regiones del país.","author":[{"dropping-particle":"","family":"Vélez","given":"Iván Darío","non-dropping-particle":"","parse-names":false,"suffix":""},{"dropping-particle":"","family":"Quiñones","given":"Martha L.","non-dropping-particle":"","parse-names":false,"suffix":""},{"dropping-particle":"","family":"Suárez","given":"Martha","non-dropping-particle":"","parse-names":false,"suffix":""},{"dropping-particle":"","family":"Olano","given":"Victor","non-dropping-particle":"","parse-names":false,"suffix":""},{"dropping-particle":"","family":"Murcia","given":"Luz Mila","non-dropping-particle":"","parse-names":false,"suffix":""},{"dropping-particle":"","family":"Correa","given":"Edison","non-dropping-particle":"","parse-names":false,"suffix":""},{"dropping-particle":"","family":"Arévalo","given":"Carlos","non-dropping-particle":"","parse-names":false,"suffix":""},{"dropping-particle":"","family":"Pérez","given":"Ligia","non-dropping-particle":"","parse-names":false,"suffix":""},{"dropping-particle":"","family":"Brochero","given":"Helena","non-dropping-particle":"","parse-names":false,"suffix":""},{"dropping-particle":"","family":"Morales","given":"Alberto","non-dropping-particle":"","parse-names":false,"suffix":""}],"container-title":"Biomédica","id":"ITEM-1","issue":"3","issued":{"date-parts":[["1998"]]},"page":"192","title":"Presencia de Aedes albopictus en Leticia, Amazonas, Colombia","type":"article-journal","volume":"18"},"uris":["http://www.mendeley.com/documents/?uuid=09775610-1d2b-4717-91ab-973b4ad75f18"]}],"mendeley":{"formattedCitation":"(Vélez et al. 1998)","plainTextFormattedCitation":"(Vélez et al. 1998)","previouslyFormattedCitation":"(Vélez et al. 1998)"},"properties":{"noteIndex":0},"schema":"https://github.com/citation-style-language/schema/raw/master/csl-citation.json"}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F52BE4">
              <w:rPr>
                <w:rFonts w:ascii="Times New Roman" w:eastAsia="Times New Roman" w:hAnsi="Times New Roman" w:cs="Times New Roman"/>
                <w:noProof/>
                <w:color w:val="000000"/>
                <w:kern w:val="0"/>
                <w:sz w:val="24"/>
                <w:szCs w:val="24"/>
                <w:lang w:eastAsia="es-CO"/>
                <w14:ligatures w14:val="none"/>
              </w:rPr>
              <w:t>(Vélez et al. 1998)</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2BF09F4C" w14:textId="77777777" w:rsidTr="00A80FE7">
        <w:trPr>
          <w:trHeight w:val="300"/>
          <w:jc w:val="center"/>
        </w:trPr>
        <w:tc>
          <w:tcPr>
            <w:tcW w:w="1298" w:type="dxa"/>
            <w:vMerge/>
            <w:tcBorders>
              <w:top w:val="nil"/>
              <w:left w:val="nil"/>
              <w:bottom w:val="single" w:sz="4" w:space="0" w:color="000000"/>
              <w:right w:val="nil"/>
            </w:tcBorders>
            <w:vAlign w:val="center"/>
            <w:hideMark/>
          </w:tcPr>
          <w:p w14:paraId="65FF089E"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p>
        </w:tc>
        <w:tc>
          <w:tcPr>
            <w:tcW w:w="1581" w:type="dxa"/>
            <w:tcBorders>
              <w:top w:val="nil"/>
              <w:left w:val="nil"/>
              <w:bottom w:val="single" w:sz="4" w:space="0" w:color="auto"/>
              <w:right w:val="nil"/>
            </w:tcBorders>
            <w:shd w:val="clear" w:color="auto" w:fill="auto"/>
            <w:noWrap/>
            <w:vAlign w:val="center"/>
            <w:hideMark/>
          </w:tcPr>
          <w:p w14:paraId="03FA71CA" w14:textId="609D78D1" w:rsidR="00DC6866" w:rsidRPr="00DC6866" w:rsidRDefault="00DC6866" w:rsidP="00DC6866">
            <w:pPr>
              <w:spacing w:after="0" w:line="240" w:lineRule="auto"/>
              <w:jc w:val="center"/>
              <w:rPr>
                <w:rFonts w:ascii="Times New Roman" w:eastAsia="Times New Roman" w:hAnsi="Times New Roman" w:cs="Times New Roman"/>
                <w:i/>
                <w:iCs/>
                <w:color w:val="000000"/>
                <w:kern w:val="0"/>
                <w:sz w:val="24"/>
                <w:szCs w:val="24"/>
                <w:lang w:eastAsia="es-CO"/>
                <w14:ligatures w14:val="none"/>
              </w:rPr>
            </w:pPr>
            <w:r w:rsidRPr="00DC6866">
              <w:rPr>
                <w:rFonts w:ascii="Times New Roman" w:eastAsia="Times New Roman" w:hAnsi="Times New Roman" w:cs="Times New Roman"/>
                <w:i/>
                <w:iCs/>
                <w:color w:val="000000"/>
                <w:kern w:val="0"/>
                <w:sz w:val="24"/>
                <w:szCs w:val="24"/>
                <w:lang w:eastAsia="es-CO"/>
                <w14:ligatures w14:val="none"/>
              </w:rPr>
              <w:t xml:space="preserve">A. </w:t>
            </w:r>
            <w:proofErr w:type="spellStart"/>
            <w:r w:rsidR="00B910F7" w:rsidRPr="00B910F7">
              <w:rPr>
                <w:rFonts w:ascii="Times New Roman" w:eastAsia="Times New Roman" w:hAnsi="Times New Roman" w:cs="Times New Roman"/>
                <w:i/>
                <w:iCs/>
                <w:color w:val="000000"/>
                <w:kern w:val="0"/>
                <w:sz w:val="24"/>
                <w:szCs w:val="24"/>
                <w:lang w:eastAsia="es-CO"/>
                <w14:ligatures w14:val="none"/>
              </w:rPr>
              <w:t>albopictus</w:t>
            </w:r>
            <w:proofErr w:type="spellEnd"/>
          </w:p>
        </w:tc>
        <w:tc>
          <w:tcPr>
            <w:tcW w:w="1540" w:type="dxa"/>
            <w:tcBorders>
              <w:top w:val="nil"/>
              <w:left w:val="nil"/>
              <w:bottom w:val="single" w:sz="4" w:space="0" w:color="auto"/>
              <w:right w:val="nil"/>
            </w:tcBorders>
            <w:shd w:val="clear" w:color="auto" w:fill="auto"/>
            <w:noWrap/>
            <w:vAlign w:val="center"/>
            <w:hideMark/>
          </w:tcPr>
          <w:p w14:paraId="39EC047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Putumayo</w:t>
            </w:r>
          </w:p>
        </w:tc>
        <w:tc>
          <w:tcPr>
            <w:tcW w:w="544" w:type="dxa"/>
            <w:tcBorders>
              <w:top w:val="nil"/>
              <w:left w:val="nil"/>
              <w:bottom w:val="single" w:sz="4" w:space="0" w:color="auto"/>
              <w:right w:val="nil"/>
            </w:tcBorders>
            <w:shd w:val="clear" w:color="auto" w:fill="auto"/>
            <w:noWrap/>
            <w:vAlign w:val="center"/>
            <w:hideMark/>
          </w:tcPr>
          <w:p w14:paraId="2E72FD0D"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10</w:t>
            </w:r>
          </w:p>
        </w:tc>
        <w:tc>
          <w:tcPr>
            <w:tcW w:w="1405" w:type="dxa"/>
            <w:tcBorders>
              <w:top w:val="nil"/>
              <w:left w:val="nil"/>
              <w:bottom w:val="single" w:sz="4" w:space="0" w:color="auto"/>
              <w:right w:val="nil"/>
            </w:tcBorders>
            <w:shd w:val="clear" w:color="auto" w:fill="auto"/>
            <w:noWrap/>
            <w:vAlign w:val="center"/>
            <w:hideMark/>
          </w:tcPr>
          <w:p w14:paraId="0C62B6B0" w14:textId="77777777" w:rsidR="00DC6866" w:rsidRPr="00DC6866" w:rsidRDefault="00DC6866"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2017</w:t>
            </w:r>
          </w:p>
        </w:tc>
        <w:tc>
          <w:tcPr>
            <w:tcW w:w="3130" w:type="dxa"/>
            <w:gridSpan w:val="2"/>
            <w:tcBorders>
              <w:top w:val="nil"/>
              <w:left w:val="nil"/>
              <w:bottom w:val="single" w:sz="4" w:space="0" w:color="auto"/>
              <w:right w:val="nil"/>
            </w:tcBorders>
            <w:shd w:val="clear" w:color="auto" w:fill="auto"/>
            <w:noWrap/>
            <w:vAlign w:val="center"/>
            <w:hideMark/>
          </w:tcPr>
          <w:p w14:paraId="4207450B" w14:textId="1C0B11BA" w:rsidR="00DC6866" w:rsidRPr="00DC6866" w:rsidRDefault="00F52BE4" w:rsidP="00DC6866">
            <w:pPr>
              <w:spacing w:after="0" w:line="240" w:lineRule="auto"/>
              <w:jc w:val="center"/>
              <w:rPr>
                <w:rFonts w:ascii="Times New Roman" w:eastAsia="Times New Roman" w:hAnsi="Times New Roman" w:cs="Times New Roman"/>
                <w:color w:val="000000"/>
                <w:kern w:val="0"/>
                <w:sz w:val="24"/>
                <w:szCs w:val="24"/>
                <w:lang w:eastAsia="es-CO"/>
                <w14:ligatures w14:val="none"/>
              </w:rPr>
            </w:pPr>
            <w:r>
              <w:rPr>
                <w:rFonts w:ascii="Times New Roman" w:eastAsia="Times New Roman" w:hAnsi="Times New Roman" w:cs="Times New Roman"/>
                <w:color w:val="000000"/>
                <w:kern w:val="0"/>
                <w:sz w:val="24"/>
                <w:szCs w:val="24"/>
                <w:lang w:eastAsia="es-CO"/>
                <w14:ligatures w14:val="none"/>
              </w:rPr>
              <w:fldChar w:fldCharType="begin" w:fldLock="1"/>
            </w:r>
            <w:r w:rsidR="00B910F7">
              <w:rPr>
                <w:rFonts w:ascii="Times New Roman" w:eastAsia="Times New Roman" w:hAnsi="Times New Roman" w:cs="Times New Roman"/>
                <w:color w:val="000000"/>
                <w:kern w:val="0"/>
                <w:sz w:val="24"/>
                <w:szCs w:val="24"/>
                <w:lang w:eastAsia="es-CO"/>
                <w14:ligatures w14:val="none"/>
              </w:rPr>
              <w:instrText>ADDIN CSL_CITATION {"citationItems":[{"id":"ITEM-1","itemData":{"DOI":"10.29375/01237047.3416","ISSN":"0123-7047","abstract":"El Aedes (Stegomyia) albopictus (Skuse, 1894) se denomina también “mosquito tigre” asiático (1) y, al igual que el Ae. aegypti (Linnaeus, 1762), se lo ha identificado en algunos países del continente asiático como importante vector de dengue (2), la más importante enfermedad viral de transmisión vectorial, que presenta un fuerte impacto social debido a que se distribuye fundamentalmente en zonas urbanas, es altamente incapacitante y en algunos casos conduce a la muerte (3). Se ha reportado que el Ae. albopictus puede transmitir, experimental o naturalmente 22 tipos diferentes de arbovirus (4), entre estos, los cuatro serotipos de dengue y de los virus de la encefalitis equina del este (5) y la japonesa (6), así como también del virus chikungunya (7) y el del oeste del Nilo (8, 9). Además, se ha documentado que puede transmitir el virus de la fiebre amarilla, por lo cual se lo considera como vector puente entre los ciclos de transmisión selvática y urbana (5). Adicionalmente, en zonas endémicas para el dengue, en las cuales se presenten casos de fiebre amarilla, existe el riesgo potencial de que se urbanice esta enfermedad. Por este motivo resulta de interés compartir con los lectores de la revista MedUNAB la experiencia de la primera evidencia de Aedes albopictus en el departamento del Putumayo y mostrar como a través de la vigilancia entomológica liderada por el Laboratorio de Salud Pública y con el apoyo de auxiliares del Programa de Enfermedades Transmitidas por vectores (ETV), de la Secretaria de Salud del departamento del Putumayo y del Instituto Nacional de Salud se determinó la especie.","author":[{"dropping-particle":"","family":"Ortiz-Canamejoy","given":"Keila","non-dropping-particle":"","parse-names":false,"suffix":""},{"dropping-particle":"","family":"Villota","given":"Ana Carolina","non-dropping-particle":"","parse-names":false,"suffix":""}],"container-title":"MedUNAB","id":"ITEM-1","issue":"1","issued":{"date-parts":[["2018"]]},"page":"10-15","title":"Primera evidencia de Aedes albopictus en el departamento del Putumayo, Colombia","type":"article-journal","volume":"21"},"uris":["http://www.mendeley.com/documents/?uuid=83b90bf4-ed29-4a81-9ea6-f626239bac50"]}],"mendeley":{"formattedCitation":"(Ortiz-Canamejoy and Villota 2018)","plainTextFormattedCitation":"(Ortiz-Canamejoy and Villota 2018)","previouslyFormattedCitation":"(Ortiz-Canamejoy and Villota 2018)"},"properties":{"noteIndex":0},"schema":"https://github.com/citation-style-language/schema/raw/master/csl-citation.json"}</w:instrText>
            </w:r>
            <w:r>
              <w:rPr>
                <w:rFonts w:ascii="Times New Roman" w:eastAsia="Times New Roman" w:hAnsi="Times New Roman" w:cs="Times New Roman"/>
                <w:color w:val="000000"/>
                <w:kern w:val="0"/>
                <w:sz w:val="24"/>
                <w:szCs w:val="24"/>
                <w:lang w:eastAsia="es-CO"/>
                <w14:ligatures w14:val="none"/>
              </w:rPr>
              <w:fldChar w:fldCharType="separate"/>
            </w:r>
            <w:r w:rsidRPr="00F52BE4">
              <w:rPr>
                <w:rFonts w:ascii="Times New Roman" w:eastAsia="Times New Roman" w:hAnsi="Times New Roman" w:cs="Times New Roman"/>
                <w:noProof/>
                <w:color w:val="000000"/>
                <w:kern w:val="0"/>
                <w:sz w:val="24"/>
                <w:szCs w:val="24"/>
                <w:lang w:eastAsia="es-CO"/>
                <w14:ligatures w14:val="none"/>
              </w:rPr>
              <w:t>(Ortiz-Canamejoy and Villota 2018)</w:t>
            </w:r>
            <w:r>
              <w:rPr>
                <w:rFonts w:ascii="Times New Roman" w:eastAsia="Times New Roman" w:hAnsi="Times New Roman" w:cs="Times New Roman"/>
                <w:color w:val="000000"/>
                <w:kern w:val="0"/>
                <w:sz w:val="24"/>
                <w:szCs w:val="24"/>
                <w:lang w:eastAsia="es-CO"/>
                <w14:ligatures w14:val="none"/>
              </w:rPr>
              <w:fldChar w:fldCharType="end"/>
            </w:r>
          </w:p>
        </w:tc>
      </w:tr>
      <w:tr w:rsidR="00DC6866" w:rsidRPr="00DC6866" w14:paraId="516417CB" w14:textId="77777777" w:rsidTr="00A80FE7">
        <w:trPr>
          <w:gridAfter w:val="1"/>
          <w:wAfter w:w="2474" w:type="dxa"/>
          <w:trHeight w:val="300"/>
          <w:jc w:val="center"/>
        </w:trPr>
        <w:tc>
          <w:tcPr>
            <w:tcW w:w="7024" w:type="dxa"/>
            <w:gridSpan w:val="6"/>
            <w:tcBorders>
              <w:left w:val="nil"/>
              <w:right w:val="nil"/>
            </w:tcBorders>
            <w:shd w:val="clear" w:color="auto" w:fill="auto"/>
            <w:noWrap/>
            <w:vAlign w:val="center"/>
            <w:hideMark/>
          </w:tcPr>
          <w:p w14:paraId="491BFA74" w14:textId="77777777" w:rsidR="00DC6866" w:rsidRPr="00DC6866" w:rsidRDefault="00DC6866" w:rsidP="00DC6866">
            <w:pPr>
              <w:spacing w:after="0" w:line="240" w:lineRule="auto"/>
              <w:rPr>
                <w:rFonts w:ascii="Times New Roman" w:eastAsia="Times New Roman" w:hAnsi="Times New Roman" w:cs="Times New Roman"/>
                <w:color w:val="000000"/>
                <w:kern w:val="0"/>
                <w:sz w:val="24"/>
                <w:szCs w:val="24"/>
                <w:lang w:eastAsia="es-CO"/>
                <w14:ligatures w14:val="none"/>
              </w:rPr>
            </w:pPr>
            <w:r w:rsidRPr="00DC6866">
              <w:rPr>
                <w:rFonts w:ascii="Times New Roman" w:eastAsia="Times New Roman" w:hAnsi="Times New Roman" w:cs="Times New Roman"/>
                <w:color w:val="000000"/>
                <w:kern w:val="0"/>
                <w:sz w:val="24"/>
                <w:szCs w:val="24"/>
                <w:lang w:eastAsia="es-CO"/>
                <w14:ligatures w14:val="none"/>
              </w:rPr>
              <w:t xml:space="preserve">n= </w:t>
            </w:r>
            <w:proofErr w:type="spellStart"/>
            <w:r w:rsidRPr="00DC6866">
              <w:rPr>
                <w:rFonts w:ascii="Times New Roman" w:eastAsia="Times New Roman" w:hAnsi="Times New Roman" w:cs="Times New Roman"/>
                <w:color w:val="000000"/>
                <w:kern w:val="0"/>
                <w:sz w:val="24"/>
                <w:szCs w:val="24"/>
                <w:lang w:eastAsia="es-CO"/>
                <w14:ligatures w14:val="none"/>
              </w:rPr>
              <w:t>Number</w:t>
            </w:r>
            <w:proofErr w:type="spellEnd"/>
            <w:r w:rsidRPr="00DC6866">
              <w:rPr>
                <w:rFonts w:ascii="Times New Roman" w:eastAsia="Times New Roman" w:hAnsi="Times New Roman" w:cs="Times New Roman"/>
                <w:color w:val="000000"/>
                <w:kern w:val="0"/>
                <w:sz w:val="24"/>
                <w:szCs w:val="24"/>
                <w:lang w:eastAsia="es-CO"/>
                <w14:ligatures w14:val="none"/>
              </w:rPr>
              <w:t xml:space="preserve"> </w:t>
            </w:r>
            <w:proofErr w:type="spellStart"/>
            <w:r w:rsidRPr="00DC6866">
              <w:rPr>
                <w:rFonts w:ascii="Times New Roman" w:eastAsia="Times New Roman" w:hAnsi="Times New Roman" w:cs="Times New Roman"/>
                <w:color w:val="000000"/>
                <w:kern w:val="0"/>
                <w:sz w:val="24"/>
                <w:szCs w:val="24"/>
                <w:lang w:eastAsia="es-CO"/>
                <w14:ligatures w14:val="none"/>
              </w:rPr>
              <w:t>of</w:t>
            </w:r>
            <w:proofErr w:type="spellEnd"/>
            <w:r w:rsidRPr="00DC6866">
              <w:rPr>
                <w:rFonts w:ascii="Times New Roman" w:eastAsia="Times New Roman" w:hAnsi="Times New Roman" w:cs="Times New Roman"/>
                <w:color w:val="000000"/>
                <w:kern w:val="0"/>
                <w:sz w:val="24"/>
                <w:szCs w:val="24"/>
                <w:lang w:eastAsia="es-CO"/>
                <w14:ligatures w14:val="none"/>
              </w:rPr>
              <w:t xml:space="preserve"> </w:t>
            </w:r>
            <w:proofErr w:type="spellStart"/>
            <w:r w:rsidRPr="00DC6866">
              <w:rPr>
                <w:rFonts w:ascii="Times New Roman" w:eastAsia="Times New Roman" w:hAnsi="Times New Roman" w:cs="Times New Roman"/>
                <w:color w:val="000000"/>
                <w:kern w:val="0"/>
                <w:sz w:val="24"/>
                <w:szCs w:val="24"/>
                <w:lang w:eastAsia="es-CO"/>
                <w14:ligatures w14:val="none"/>
              </w:rPr>
              <w:t>records</w:t>
            </w:r>
            <w:proofErr w:type="spellEnd"/>
          </w:p>
        </w:tc>
      </w:tr>
    </w:tbl>
    <w:p w14:paraId="331B1E80" w14:textId="77777777" w:rsidR="00DC6866" w:rsidRDefault="00DC6866">
      <w:pPr>
        <w:rPr>
          <w:lang w:val="es-MX"/>
        </w:rPr>
      </w:pPr>
    </w:p>
    <w:p w14:paraId="3C9EAA53" w14:textId="495764F1" w:rsidR="00B910F7" w:rsidRPr="00B910F7" w:rsidRDefault="00B910F7" w:rsidP="00B910F7">
      <w:pPr>
        <w:jc w:val="both"/>
        <w:rPr>
          <w:rFonts w:ascii="Times New Roman" w:hAnsi="Times New Roman" w:cs="Times New Roman"/>
          <w:b/>
          <w:bCs/>
          <w:sz w:val="24"/>
          <w:szCs w:val="24"/>
          <w:lang w:val="es-MX"/>
        </w:rPr>
      </w:pPr>
      <w:proofErr w:type="spellStart"/>
      <w:r w:rsidRPr="00B910F7">
        <w:rPr>
          <w:rFonts w:ascii="Times New Roman" w:hAnsi="Times New Roman" w:cs="Times New Roman"/>
          <w:b/>
          <w:bCs/>
          <w:sz w:val="24"/>
          <w:szCs w:val="24"/>
          <w:lang w:val="es-MX"/>
        </w:rPr>
        <w:t>References</w:t>
      </w:r>
      <w:proofErr w:type="spellEnd"/>
    </w:p>
    <w:p w14:paraId="21074746" w14:textId="662C3B40"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sz w:val="24"/>
          <w:szCs w:val="24"/>
          <w:lang w:val="es-MX"/>
        </w:rPr>
        <w:fldChar w:fldCharType="begin" w:fldLock="1"/>
      </w:r>
      <w:r w:rsidRPr="00B910F7">
        <w:rPr>
          <w:rFonts w:ascii="Times New Roman" w:hAnsi="Times New Roman" w:cs="Times New Roman"/>
          <w:sz w:val="24"/>
          <w:szCs w:val="24"/>
          <w:lang w:val="es-MX"/>
        </w:rPr>
        <w:instrText xml:space="preserve">ADDIN Mendeley Bibliography CSL_BIBLIOGRAPHY </w:instrText>
      </w:r>
      <w:r w:rsidRPr="00B910F7">
        <w:rPr>
          <w:rFonts w:ascii="Times New Roman" w:hAnsi="Times New Roman" w:cs="Times New Roman"/>
          <w:sz w:val="24"/>
          <w:szCs w:val="24"/>
          <w:lang w:val="es-MX"/>
        </w:rPr>
        <w:fldChar w:fldCharType="separate"/>
      </w:r>
      <w:r w:rsidRPr="00B910F7">
        <w:rPr>
          <w:rFonts w:ascii="Times New Roman" w:hAnsi="Times New Roman" w:cs="Times New Roman"/>
          <w:noProof/>
          <w:kern w:val="0"/>
          <w:sz w:val="24"/>
          <w:szCs w:val="24"/>
        </w:rPr>
        <w:t xml:space="preserve">Aguirre-Obando OA, Dalla Bona AC, Duque L JE, Navarro-Silva MA (2015) Insecticide resistance and genetic variability in natural populations of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Stegomyia</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(Diptera: Culicidae) from Colombia. Zoologia 32:14–22. https://doi.org/10.1590/S1984-46702015000100003</w:t>
      </w:r>
    </w:p>
    <w:p w14:paraId="2F461E4D" w14:textId="3FC91209"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Alarcón ÉP, Segura ÁM, Rúa-Uribe G, Parra-Henao G (2014) Evaluación de ovitrampas para vigilancia y control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en dos centros urbanos del Urabá antioqueño. Biomedica 34:409–424. https://doi.org/10.7705/biomedica.v34i3.2134</w:t>
      </w:r>
    </w:p>
    <w:p w14:paraId="30052998" w14:textId="7FD50E43"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Alcalá L, Quintero J, González-Uribe C, Brochero H (2015) Productividad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(L.) (Diptera: Culicidae) en viviendas y espacios públicos en una ciudad endémica para dengue en Colombia. Biomedica 35:258–268. https://doi.org/10.7705/biomedica.v35i2.2567</w:t>
      </w:r>
    </w:p>
    <w:p w14:paraId="511979D8" w14:textId="7A945B10"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Ardila-Roldán S, Santacoloma L, Brochero H (2013) Estado de la sensibilidad a los </w:t>
      </w:r>
      <w:r w:rsidRPr="00B910F7">
        <w:rPr>
          <w:rFonts w:ascii="Times New Roman" w:hAnsi="Times New Roman" w:cs="Times New Roman"/>
          <w:noProof/>
          <w:kern w:val="0"/>
          <w:sz w:val="24"/>
          <w:szCs w:val="24"/>
        </w:rPr>
        <w:lastRenderedPageBreak/>
        <w:t xml:space="preserve">insecticidas de uso en salud pública en poblaciones naturales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(Diptera: Culicidae) del departamento de Casanare, Colombia. Biomedica 33:446–458. https://doi.org/10.7705/biomedica.v33i3.1534</w:t>
      </w:r>
    </w:p>
    <w:p w14:paraId="59643433" w14:textId="637C8BE3"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Atencia MC, Pérez MDJ, Caldera SM, et al (2018) Variabilidad genética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en el departamento de Sucre, Colombia, mediante el análisis de la secuencia de nucleótidos del gen mitocondrial ND4. Biomédica 38:267–276. https://doi.org/10.7705/biomedica.v38i0.3728</w:t>
      </w:r>
    </w:p>
    <w:p w14:paraId="74337578" w14:textId="34A66912"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Cabezas L, Cabanzo W, Santa F, et al (2017) Distribución espacial del mosquito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(Diptera: Culicidae) en el área rural de dos municipios de Cundinamarca, Colombia. Biomedica 37:1–30</w:t>
      </w:r>
    </w:p>
    <w:p w14:paraId="752E80D7" w14:textId="4421B12A"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Caldera SM, Jaramillo MC, Cochero S, et al (2013) Diferencias genéticas entre poblaciones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de municipios del norte de Colombia, con baja y alta incidencia de dengue. Biomedica 33:89–98. https://doi.org/10.7705/biomedica.v33i0.1573</w:t>
      </w:r>
    </w:p>
    <w:p w14:paraId="1411A8E0" w14:textId="371F69AF"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Calle-Tobón A, Pérez-Pérez J, Forero-Pineda N, et al (2022) Local-scale virome depiction in Medellín, Colombia, supports significant differences between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and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bioRvix 17:. https://doi.org/10.1371/journal.pone.0263143</w:t>
      </w:r>
    </w:p>
    <w:p w14:paraId="04885B17" w14:textId="133558DB"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Calle-Tobón A, Pérez-Pérez J, Rojo R, et al (2020) Surveillance of Zika virus in field-caught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and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suggests important role of male mosquitoes in viral populations maintenance in Medellín, Colombia. Infect Genet Evol 85:104434. https://doi.org/10.1016/j.meegid.2020.104434</w:t>
      </w:r>
    </w:p>
    <w:p w14:paraId="7E1B404B" w14:textId="31D863E2"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Camacho-Gómez M, Zuleta LP (2019) Primer reporte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Stegomyia</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en la Orinoquia colombiana. Biomédica 39:785–97</w:t>
      </w:r>
    </w:p>
    <w:p w14:paraId="767E6D43" w14:textId="6D9CA582"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Camargo C, Alfonso-Parra C, Díaz S, et al (2021) Spatial and temporal population dynamics of male and female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at a local scale in Medellín, Colombia. Parasites and Vectors 14:1–15. https://doi.org/10.1186/s13071-021-04806-2</w:t>
      </w:r>
    </w:p>
    <w:p w14:paraId="6B329275" w14:textId="33C7C30F"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Carrasquilla MC, Ortiz MI, León C, et al (2021) Entomological characterization of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mosquitoes and arbovirus detection in Ibagué, a Colombian city with co-circulation of Zika, dengue and chikungunya viruses. Parasites and Vectors 14:1–14. https://doi.org/10.1186/s13071-021-04908-x</w:t>
      </w:r>
    </w:p>
    <w:p w14:paraId="0E297ABC" w14:textId="166B2732"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Carvajal JJ, Honorio NA, Díaz SP, et al (2016) Detección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(Diptera: Culicidae) en el municipio de Istmina, Chocó, Colombia. Biomedica 36:438–446</w:t>
      </w:r>
    </w:p>
    <w:p w14:paraId="685624E2" w14:textId="5E2671CC"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Conde M, Orjuela LI, Castellanos CA, et al (2015) Evaluación de la sensibilidad a insecticidas en poblaciones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(Diptera: Culicidae) del departamento de Caldas, Colombia, en 2007 y 2011. Biomedica 35:43–52. https://doi.org/10.7705/biomedica.v35i1.2367</w:t>
      </w:r>
    </w:p>
    <w:p w14:paraId="4BD1E0D8" w14:textId="437C4569"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Cuéllar-Jiménez ME, Velásquez-Escobar OL, González-Obando R, Morales-Reichmann CA (2007) Detección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(Diptera: Culicidae) en la ciudad de Cali, Valle del Cauca, Colombia. Biomedica 27:273–279. https://doi.org/10.7705/biomedica.v27i2.224</w:t>
      </w:r>
    </w:p>
    <w:p w14:paraId="4DABAA24" w14:textId="0C1275C6"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lastRenderedPageBreak/>
        <w:t xml:space="preserve">Fuentes-Vallejo M, Higuera-Mendieta DR, García-Betancourt T, et al (2015) Análisis territorial de la distribución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en dos ciudades de Colombia: Aproximación desde la coremática y el enfoque ecosistémico. Cad Saude Publica 31:517–530. https://doi.org/10.1590/0102-311X00057214</w:t>
      </w:r>
    </w:p>
    <w:p w14:paraId="4DAB0197" w14:textId="66C05F8A"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Gómez-Palacio A, Suaza-Vasco J, Castaño S, et al (2017) Infección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1894) con el genotipo asiático-americano del virus del dengue serotipo 2 en Medellín y su posible papel como vector del dengue en Colombia. Biomédica 37:135–142. https://doi.org/https://doi.org/10.7705/biomedica.v34i2.3474</w:t>
      </w:r>
    </w:p>
    <w:p w14:paraId="3468E7E1" w14:textId="2A909AE9"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Gómez-Vargas W, Zapata-Úsuga G (2019) Presence of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and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(Diptera: Culicidae) in the rural area of the department of Santander, Colombia. Biosalud 18:7–21. https://doi.org/10.17151/biosa.2019.18.1.1</w:t>
      </w:r>
    </w:p>
    <w:p w14:paraId="37947D67" w14:textId="2351414D"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Maestre-Serrano R, Gomez-Camargo D, Ponce-Garcia G, Flores AE (2014) Susceptibility to insecticides and resistance mechanisms in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from the Colombian Caribbean Region. Pestic Biochem Physiol 116:63–73. https://doi.org/10.1016/j.pestbp.2014.09.014</w:t>
      </w:r>
    </w:p>
    <w:p w14:paraId="569BAA04" w14:textId="5AFA3FA9"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Ortiz-Canamejoy K, Villota AC (2018) Primera evidencia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en el departamento del Putumayo, Colombia. MedUNAB 21:10–15. https://doi.org/10.29375/01237047.3416</w:t>
      </w:r>
    </w:p>
    <w:p w14:paraId="2CD62DE0" w14:textId="46F36F36"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Pérez-Castro R, Castellanos JE, Olano VA, et al (2016) Detection of all four dengue serotypes in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female mosquitoes collected in a rural area in Colombia. Mem Inst Oswaldo Cruz 111:233–240. https://doi.org/10.1590/0074-02760150363</w:t>
      </w:r>
    </w:p>
    <w:p w14:paraId="2FAABCB9" w14:textId="77777777"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Rodriguez CA, Gallego DC, González JA, et al (2001) Criaderos y fauna de mosquitos en el área urbana de Armenia posterior al terremoto del 25 de enero de 1999. Biomédica 21:116. https://doi.org/10.7705/biomedica.v21i2.1098</w:t>
      </w:r>
    </w:p>
    <w:p w14:paraId="4416D096" w14:textId="54D4061F"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Rúa-Uribe G, Suárez Acosta C, Londoño V, et al (2011) Primera evidencia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(Diptera: Culicidae) en la ciudad de Medellín, Antioquia - Colombia. Rev Salud Pública Medellín 5:89–98</w:t>
      </w:r>
    </w:p>
    <w:p w14:paraId="3A4CD9FE" w14:textId="29A0F8A0"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Ruiz-López F, González-Mazo A, Vélez-Mira A, et al (2016) Presencia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Stegomyia</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(Linnaeus, 1762) y su infección natural con el virus del dengue en alturas no registradas para Colombia. Biomedica 36:303–308. https://doi.org/10.7705/biomedica.v36i2.3301</w:t>
      </w:r>
    </w:p>
    <w:p w14:paraId="3153B466" w14:textId="25CAD484"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Suárez M (2001)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(Skuse) (Diptera, Culicidae) en Buenaventura, Colombia. Inf Quinc Epidemiológico Nac 6:221–236</w:t>
      </w:r>
    </w:p>
    <w:p w14:paraId="733C7FB3" w14:textId="742271C6"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Vásquez-Trujillo A, Cardona-Arango D, Segura-Cardona AM, et al (2021) House-Level Risk Factors for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Infestation in the Urban Center of Castilla la Nueva, Meta State, Colombia. J Trop Med 2021:1–12. https://doi.org/10.1155/2021/8483236</w:t>
      </w:r>
    </w:p>
    <w:p w14:paraId="72FBDD47" w14:textId="3692CD24"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t xml:space="preserve">Velandia-Romero ML, Olano VA, Coronel-Ruiz C, et al (2017) Detección del virus dengue en larvas y pupas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aegypti</w:t>
      </w:r>
      <w:r w:rsidRPr="00B910F7">
        <w:rPr>
          <w:rFonts w:ascii="Times New Roman" w:hAnsi="Times New Roman" w:cs="Times New Roman"/>
          <w:noProof/>
          <w:kern w:val="0"/>
          <w:sz w:val="24"/>
          <w:szCs w:val="24"/>
        </w:rPr>
        <w:t xml:space="preserve"> recolectadas en áreas rurales del municipio de Anapoima, Cundinamarca, Colombia. Biomedica 37:1–24. https://doi.org/10.7705/biomedica.v34i2.3584</w:t>
      </w:r>
    </w:p>
    <w:p w14:paraId="4364D252" w14:textId="629F4636"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B910F7">
        <w:rPr>
          <w:rFonts w:ascii="Times New Roman" w:hAnsi="Times New Roman" w:cs="Times New Roman"/>
          <w:noProof/>
          <w:kern w:val="0"/>
          <w:sz w:val="24"/>
          <w:szCs w:val="24"/>
        </w:rPr>
        <w:lastRenderedPageBreak/>
        <w:t xml:space="preserve">Vélez ID, Quiñones ML, Suárez M, et al (1998) Presencia de </w:t>
      </w:r>
      <w:r w:rsidRPr="00B910F7">
        <w:rPr>
          <w:rFonts w:ascii="Times New Roman" w:hAnsi="Times New Roman" w:cs="Times New Roman"/>
          <w:i/>
          <w:iCs/>
          <w:noProof/>
          <w:kern w:val="0"/>
          <w:sz w:val="24"/>
          <w:szCs w:val="24"/>
        </w:rPr>
        <w:t>Aedes</w:t>
      </w:r>
      <w:r w:rsidRPr="00B910F7">
        <w:rPr>
          <w:rFonts w:ascii="Times New Roman" w:hAnsi="Times New Roman" w:cs="Times New Roman"/>
          <w:noProof/>
          <w:kern w:val="0"/>
          <w:sz w:val="24"/>
          <w:szCs w:val="24"/>
        </w:rPr>
        <w:t xml:space="preserve"> </w:t>
      </w:r>
      <w:r w:rsidRPr="00B910F7">
        <w:rPr>
          <w:rFonts w:ascii="Times New Roman" w:hAnsi="Times New Roman" w:cs="Times New Roman"/>
          <w:i/>
          <w:iCs/>
          <w:noProof/>
          <w:kern w:val="0"/>
          <w:sz w:val="24"/>
          <w:szCs w:val="24"/>
        </w:rPr>
        <w:t>albopictus</w:t>
      </w:r>
      <w:r w:rsidRPr="00B910F7">
        <w:rPr>
          <w:rFonts w:ascii="Times New Roman" w:hAnsi="Times New Roman" w:cs="Times New Roman"/>
          <w:noProof/>
          <w:kern w:val="0"/>
          <w:sz w:val="24"/>
          <w:szCs w:val="24"/>
        </w:rPr>
        <w:t xml:space="preserve"> en Leticia, Amazonas, Colombia. Biomédica 18:192. https://doi.org/10.7705/biomedica.v18i3.990</w:t>
      </w:r>
    </w:p>
    <w:p w14:paraId="0DE5726D" w14:textId="51972AFF" w:rsidR="00B910F7" w:rsidRPr="00B910F7" w:rsidRDefault="00B910F7" w:rsidP="00B910F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B910F7">
        <w:rPr>
          <w:rFonts w:ascii="Times New Roman" w:hAnsi="Times New Roman" w:cs="Times New Roman"/>
          <w:noProof/>
          <w:kern w:val="0"/>
          <w:sz w:val="24"/>
          <w:szCs w:val="24"/>
        </w:rPr>
        <w:t xml:space="preserve">Zapata-Úsuga G, Zuleta-Ruiz B, Gómez-Vargas W, et al (2021) Presencia de </w:t>
      </w:r>
      <w:r w:rsidRPr="00B910F7">
        <w:rPr>
          <w:rFonts w:ascii="Times New Roman" w:hAnsi="Times New Roman" w:cs="Times New Roman"/>
          <w:i/>
          <w:iCs/>
          <w:noProof/>
          <w:kern w:val="0"/>
          <w:sz w:val="24"/>
          <w:szCs w:val="24"/>
        </w:rPr>
        <w:t>Aedes albopictus</w:t>
      </w:r>
      <w:r w:rsidRPr="00B910F7">
        <w:rPr>
          <w:rFonts w:ascii="Times New Roman" w:hAnsi="Times New Roman" w:cs="Times New Roman"/>
          <w:noProof/>
          <w:kern w:val="0"/>
          <w:sz w:val="24"/>
          <w:szCs w:val="24"/>
        </w:rPr>
        <w:t xml:space="preserve"> (Diptera: Culicidae) en algunos municipios del área de influencia de la Proyecto Hidroeléctrico Ituango, Antioquia, Colombia. Actual Biológicas 44:1–11. https://doi.org/10.17533/udea.acbi.v44n116a03</w:t>
      </w:r>
    </w:p>
    <w:p w14:paraId="4830CB38" w14:textId="141534BA" w:rsidR="00B910F7" w:rsidRPr="00B910F7" w:rsidRDefault="00B910F7" w:rsidP="00B910F7">
      <w:pPr>
        <w:jc w:val="both"/>
        <w:rPr>
          <w:rFonts w:ascii="Times New Roman" w:hAnsi="Times New Roman" w:cs="Times New Roman"/>
          <w:sz w:val="24"/>
          <w:szCs w:val="24"/>
          <w:lang w:val="es-MX"/>
        </w:rPr>
      </w:pPr>
      <w:r w:rsidRPr="00B910F7">
        <w:rPr>
          <w:rFonts w:ascii="Times New Roman" w:hAnsi="Times New Roman" w:cs="Times New Roman"/>
          <w:sz w:val="24"/>
          <w:szCs w:val="24"/>
          <w:lang w:val="es-MX"/>
        </w:rPr>
        <w:fldChar w:fldCharType="end"/>
      </w:r>
    </w:p>
    <w:sectPr w:rsidR="00B910F7" w:rsidRPr="00B910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866"/>
    <w:rsid w:val="000304C9"/>
    <w:rsid w:val="00050F52"/>
    <w:rsid w:val="00235B62"/>
    <w:rsid w:val="002A1726"/>
    <w:rsid w:val="00594ED1"/>
    <w:rsid w:val="008B01D8"/>
    <w:rsid w:val="009915E8"/>
    <w:rsid w:val="009D108E"/>
    <w:rsid w:val="00A80FE7"/>
    <w:rsid w:val="00B910F7"/>
    <w:rsid w:val="00C915F4"/>
    <w:rsid w:val="00DC6866"/>
    <w:rsid w:val="00DD6193"/>
    <w:rsid w:val="00DF0240"/>
    <w:rsid w:val="00F52B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D8F0F"/>
  <w15:chartTrackingRefBased/>
  <w15:docId w15:val="{BBA01A79-C6A9-4F88-8826-5359B28C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0240"/>
    <w:rPr>
      <w:color w:val="0563C1" w:themeColor="hyperlink"/>
      <w:u w:val="single"/>
    </w:rPr>
  </w:style>
  <w:style w:type="paragraph" w:customStyle="1" w:styleId="Default">
    <w:name w:val="Default"/>
    <w:rsid w:val="00DF0240"/>
    <w:pPr>
      <w:autoSpaceDE w:val="0"/>
      <w:autoSpaceDN w:val="0"/>
      <w:adjustRightInd w:val="0"/>
      <w:spacing w:after="0" w:line="240" w:lineRule="auto"/>
    </w:pPr>
    <w:rPr>
      <w:rFonts w:ascii="Arial" w:hAnsi="Arial" w:cs="Arial"/>
      <w:color w:val="000000"/>
      <w:kern w:val="0"/>
      <w:sz w:val="24"/>
      <w:szCs w:val="24"/>
      <w14:ligatures w14:val="none"/>
    </w:rPr>
  </w:style>
  <w:style w:type="paragraph" w:customStyle="1" w:styleId="MDPI31text">
    <w:name w:val="MDPI_3.1_text"/>
    <w:qFormat/>
    <w:rsid w:val="00DF0240"/>
    <w:pPr>
      <w:adjustRightInd w:val="0"/>
      <w:snapToGrid w:val="0"/>
      <w:spacing w:after="0" w:line="260" w:lineRule="atLeast"/>
      <w:ind w:firstLine="425"/>
      <w:jc w:val="both"/>
    </w:pPr>
    <w:rPr>
      <w:rFonts w:ascii="Palatino Linotype" w:eastAsia="Times New Roman" w:hAnsi="Palatino Linotype" w:cs="Times New Roman"/>
      <w:color w:val="000000"/>
      <w:kern w:val="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372454">
      <w:bodyDiv w:val="1"/>
      <w:marLeft w:val="0"/>
      <w:marRight w:val="0"/>
      <w:marTop w:val="0"/>
      <w:marBottom w:val="0"/>
      <w:divBdr>
        <w:top w:val="none" w:sz="0" w:space="0" w:color="auto"/>
        <w:left w:val="none" w:sz="0" w:space="0" w:color="auto"/>
        <w:bottom w:val="none" w:sz="0" w:space="0" w:color="auto"/>
        <w:right w:val="none" w:sz="0" w:space="0" w:color="auto"/>
      </w:divBdr>
    </w:div>
    <w:div w:id="206012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scaraguirre@uniquindio.edu.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D7290-DE35-4815-B98E-0EBFD477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15088</Words>
  <Characters>82989</Characters>
  <Application>Microsoft Office Word</Application>
  <DocSecurity>0</DocSecurity>
  <Lines>691</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Estefanía Mejía</dc:creator>
  <cp:keywords/>
  <dc:description/>
  <cp:lastModifiedBy>Estefanía Mejía</cp:lastModifiedBy>
  <cp:revision>9</cp:revision>
  <dcterms:created xsi:type="dcterms:W3CDTF">2023-10-18T14:26:00Z</dcterms:created>
  <dcterms:modified xsi:type="dcterms:W3CDTF">2023-10-20T19:50:00Z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f54e14b4-87b5-311e-acd0-6964fe51bed8</vt:lpwstr>
  </property>
  <property fmtid="{D5CDD505-2E9C-101B-9397-08002B2CF9AE}" pid="4" name="Mendeley Citation Style_1">
    <vt:lpwstr>http://www.zotero.org/styles/biological-invasions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http://www.zotero.org/styles/biological-invasions</vt:lpwstr>
  </property>
  <property fmtid="{D5CDD505-2E9C-101B-9397-08002B2CF9AE}" pid="14" name="Mendeley Recent Style Name 4_1">
    <vt:lpwstr>Biological Invasions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http://www.zotero.org/styles/council-of-science-editors-author-date</vt:lpwstr>
  </property>
  <property fmtid="{D5CDD505-2E9C-101B-9397-08002B2CF9AE}" pid="18" name="Mendeley Recent Style Name 6_1">
    <vt:lpwstr>Council of Science Editors, Name-Year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http://www.zotero.org/styles/journal-of-science-and-medicine-in-sport</vt:lpwstr>
  </property>
  <property fmtid="{D5CDD505-2E9C-101B-9397-08002B2CF9AE}" pid="22" name="Mendeley Recent Style Name 8_1">
    <vt:lpwstr>Journal of Science and Medicine in Sport</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