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87A500" w14:textId="70D1DC12" w:rsidR="009B2E1A" w:rsidRPr="009B2E1A" w:rsidRDefault="009B2E1A" w:rsidP="009B2E1A">
      <w:pPr>
        <w:rPr>
          <w:sz w:val="36"/>
          <w:szCs w:val="36"/>
        </w:rPr>
      </w:pPr>
      <w:r w:rsidRPr="009B2E1A">
        <w:rPr>
          <w:rFonts w:ascii="Times New Roman" w:hAnsi="Times New Roman" w:cs="Times New Roman"/>
          <w:b/>
          <w:bCs/>
          <w:sz w:val="36"/>
          <w:szCs w:val="36"/>
        </w:rPr>
        <w:t xml:space="preserve">Supplement 1. Biological parameters used in the biophysical </w:t>
      </w:r>
      <w:proofErr w:type="gramStart"/>
      <w:r w:rsidRPr="009B2E1A">
        <w:rPr>
          <w:rFonts w:ascii="Times New Roman" w:hAnsi="Times New Roman" w:cs="Times New Roman"/>
          <w:b/>
          <w:bCs/>
          <w:sz w:val="36"/>
          <w:szCs w:val="36"/>
        </w:rPr>
        <w:t>model</w:t>
      </w:r>
      <w:proofErr w:type="gramEnd"/>
    </w:p>
    <w:p w14:paraId="12013A98" w14:textId="77777777" w:rsidR="00B86ED2" w:rsidRDefault="00B86ED2" w:rsidP="00B86ED2"/>
    <w:p w14:paraId="69F9AD88" w14:textId="77777777" w:rsidR="009B2E1A" w:rsidRDefault="009B2E1A" w:rsidP="00B86ED2"/>
    <w:p w14:paraId="72B4C270" w14:textId="77777777" w:rsidR="00B86ED2" w:rsidRPr="00EF51C6" w:rsidRDefault="00B86ED2" w:rsidP="00B86ED2">
      <w:pPr>
        <w:spacing w:after="0" w:line="480" w:lineRule="auto"/>
        <w:jc w:val="both"/>
        <w:rPr>
          <w:rFonts w:ascii="Times New Roman" w:eastAsia="Times New Roman" w:hAnsi="Times New Roman" w:cs="Times New Roman"/>
          <w:color w:val="000000"/>
          <w:kern w:val="0"/>
          <w:sz w:val="24"/>
          <w:szCs w:val="24"/>
          <w:lang w:val="en-GB" w:eastAsia="en-AU"/>
          <w14:ligatures w14:val="none"/>
        </w:rPr>
      </w:pPr>
      <w:bookmarkStart w:id="0" w:name="_Hlk155094931"/>
      <w:r w:rsidRPr="00EE4757">
        <w:rPr>
          <w:rFonts w:ascii="Times New Roman" w:eastAsia="Times New Roman" w:hAnsi="Times New Roman" w:cs="Times New Roman"/>
          <w:b/>
          <w:bCs/>
          <w:color w:val="000000"/>
          <w:kern w:val="0"/>
          <w:sz w:val="24"/>
          <w:szCs w:val="24"/>
          <w:lang w:val="en-GB" w:eastAsia="en-AU"/>
          <w14:ligatures w14:val="none"/>
        </w:rPr>
        <w:t>Using Biophysical modelling and marine connectivity to assess the risk of natural dispersal of non-indigenous species to comply with the Ballast Water Management Convention</w:t>
      </w:r>
    </w:p>
    <w:p w14:paraId="1B94352E" w14:textId="77777777" w:rsidR="00B86ED2" w:rsidRPr="00847ED1" w:rsidRDefault="00B86ED2" w:rsidP="00B86ED2">
      <w:pPr>
        <w:spacing w:after="0" w:line="480" w:lineRule="auto"/>
        <w:jc w:val="both"/>
        <w:outlineLvl w:val="0"/>
        <w:rPr>
          <w:rFonts w:ascii="Times New Roman" w:eastAsia="Times New Roman" w:hAnsi="Times New Roman" w:cs="Times New Roman"/>
          <w:color w:val="000000"/>
          <w:kern w:val="0"/>
          <w:sz w:val="24"/>
          <w:szCs w:val="24"/>
          <w:lang w:val="en-GB" w:eastAsia="en-AU"/>
          <w14:ligatures w14:val="none"/>
        </w:rPr>
      </w:pPr>
      <w:bookmarkStart w:id="1" w:name="_Toc150255606"/>
      <w:bookmarkEnd w:id="0"/>
    </w:p>
    <w:p w14:paraId="1FC8EE2B" w14:textId="09D9E593" w:rsidR="00B86ED2" w:rsidRPr="00B86ED2" w:rsidRDefault="00B86ED2" w:rsidP="00B86ED2">
      <w:pPr>
        <w:spacing w:after="0" w:line="480" w:lineRule="auto"/>
        <w:jc w:val="both"/>
        <w:outlineLvl w:val="0"/>
        <w:rPr>
          <w:rFonts w:ascii="Times New Roman" w:eastAsia="Times New Roman" w:hAnsi="Times New Roman" w:cs="Times New Roman"/>
          <w:color w:val="000000"/>
          <w:kern w:val="0"/>
          <w:sz w:val="24"/>
          <w:szCs w:val="24"/>
          <w:vertAlign w:val="superscript"/>
          <w:lang w:val="da-DK" w:eastAsia="en-AU"/>
          <w14:ligatures w14:val="none"/>
        </w:rPr>
      </w:pPr>
      <w:r w:rsidRPr="00B86ED2">
        <w:rPr>
          <w:rFonts w:ascii="Times New Roman" w:eastAsia="Times New Roman" w:hAnsi="Times New Roman" w:cs="Times New Roman"/>
          <w:color w:val="000000"/>
          <w:kern w:val="0"/>
          <w:sz w:val="24"/>
          <w:szCs w:val="24"/>
          <w:lang w:val="da-DK" w:eastAsia="en-AU"/>
          <w14:ligatures w14:val="none"/>
        </w:rPr>
        <w:t>Flemming Thorbjørn Hansen</w:t>
      </w:r>
      <w:r w:rsidRPr="00B86ED2">
        <w:rPr>
          <w:rFonts w:ascii="Times New Roman" w:eastAsia="Times New Roman" w:hAnsi="Times New Roman" w:cs="Times New Roman"/>
          <w:color w:val="000000"/>
          <w:kern w:val="0"/>
          <w:sz w:val="24"/>
          <w:szCs w:val="24"/>
          <w:vertAlign w:val="superscript"/>
          <w:lang w:val="da-DK" w:eastAsia="en-AU"/>
          <w14:ligatures w14:val="none"/>
        </w:rPr>
        <w:t>1,2</w:t>
      </w:r>
      <w:r w:rsidRPr="00B86ED2">
        <w:rPr>
          <w:rFonts w:ascii="Times New Roman" w:eastAsia="Times New Roman" w:hAnsi="Times New Roman" w:cs="Times New Roman"/>
          <w:color w:val="000000"/>
          <w:kern w:val="0"/>
          <w:sz w:val="24"/>
          <w:szCs w:val="24"/>
          <w:lang w:val="da-DK" w:eastAsia="en-AU"/>
          <w14:ligatures w14:val="none"/>
        </w:rPr>
        <w:t>*, Ane Pastor</w:t>
      </w:r>
      <w:r w:rsidRPr="00B86ED2">
        <w:rPr>
          <w:rFonts w:ascii="Times New Roman" w:eastAsia="Times New Roman" w:hAnsi="Times New Roman" w:cs="Times New Roman"/>
          <w:color w:val="000000"/>
          <w:kern w:val="0"/>
          <w:sz w:val="24"/>
          <w:szCs w:val="24"/>
          <w:vertAlign w:val="superscript"/>
          <w:lang w:val="da-DK" w:eastAsia="en-AU"/>
          <w14:ligatures w14:val="none"/>
        </w:rPr>
        <w:t>3</w:t>
      </w:r>
      <w:r w:rsidRPr="00B86ED2">
        <w:rPr>
          <w:rFonts w:ascii="Times New Roman" w:eastAsia="Times New Roman" w:hAnsi="Times New Roman" w:cs="Times New Roman"/>
          <w:color w:val="000000"/>
          <w:kern w:val="0"/>
          <w:sz w:val="24"/>
          <w:szCs w:val="24"/>
          <w:lang w:val="da-DK" w:eastAsia="en-AU"/>
          <w14:ligatures w14:val="none"/>
        </w:rPr>
        <w:t>, Asbjørn Christensen</w:t>
      </w:r>
      <w:r w:rsidRPr="00B86ED2">
        <w:rPr>
          <w:rFonts w:ascii="Times New Roman" w:eastAsia="Times New Roman" w:hAnsi="Times New Roman" w:cs="Times New Roman"/>
          <w:color w:val="000000"/>
          <w:kern w:val="0"/>
          <w:sz w:val="24"/>
          <w:szCs w:val="24"/>
          <w:vertAlign w:val="superscript"/>
          <w:lang w:val="da-DK" w:eastAsia="en-AU"/>
          <w14:ligatures w14:val="none"/>
        </w:rPr>
        <w:t>1</w:t>
      </w:r>
      <w:bookmarkEnd w:id="1"/>
      <w:r w:rsidRPr="00B86ED2">
        <w:rPr>
          <w:rFonts w:ascii="Times New Roman" w:eastAsia="Times New Roman" w:hAnsi="Times New Roman" w:cs="Times New Roman"/>
          <w:color w:val="000000"/>
          <w:kern w:val="0"/>
          <w:sz w:val="24"/>
          <w:szCs w:val="24"/>
          <w:lang w:val="da-DK" w:eastAsia="en-AU"/>
          <w14:ligatures w14:val="none"/>
        </w:rPr>
        <w:t>, Frank Stuer-Lauridsen</w:t>
      </w:r>
      <w:r w:rsidRPr="00B86ED2">
        <w:rPr>
          <w:rFonts w:ascii="Times New Roman" w:eastAsia="Times New Roman" w:hAnsi="Times New Roman" w:cs="Times New Roman"/>
          <w:color w:val="000000"/>
          <w:kern w:val="0"/>
          <w:sz w:val="24"/>
          <w:szCs w:val="24"/>
          <w:vertAlign w:val="superscript"/>
          <w:lang w:val="da-DK" w:eastAsia="en-AU"/>
          <w14:ligatures w14:val="none"/>
        </w:rPr>
        <w:t xml:space="preserve">4 </w:t>
      </w:r>
    </w:p>
    <w:p w14:paraId="7A65B3E5" w14:textId="77777777" w:rsidR="00B86ED2" w:rsidRPr="00B86ED2" w:rsidRDefault="00B86ED2" w:rsidP="00B86ED2">
      <w:pPr>
        <w:spacing w:after="0" w:line="480" w:lineRule="auto"/>
        <w:jc w:val="both"/>
        <w:outlineLvl w:val="0"/>
        <w:rPr>
          <w:rFonts w:ascii="Times New Roman" w:eastAsia="Times New Roman" w:hAnsi="Times New Roman" w:cs="Times New Roman"/>
          <w:color w:val="000000"/>
          <w:kern w:val="0"/>
          <w:sz w:val="24"/>
          <w:szCs w:val="24"/>
          <w:lang w:val="da-DK" w:eastAsia="en-AU"/>
          <w14:ligatures w14:val="none"/>
        </w:rPr>
      </w:pPr>
    </w:p>
    <w:p w14:paraId="2AB354F3" w14:textId="77777777" w:rsidR="00B86ED2" w:rsidRPr="00847ED1" w:rsidRDefault="00B86ED2" w:rsidP="00B86ED2">
      <w:pPr>
        <w:spacing w:after="0" w:line="480" w:lineRule="auto"/>
        <w:jc w:val="both"/>
        <w:outlineLvl w:val="0"/>
        <w:rPr>
          <w:rFonts w:ascii="Times New Roman" w:eastAsia="Times New Roman" w:hAnsi="Times New Roman" w:cs="Times New Roman"/>
          <w:color w:val="000000"/>
          <w:kern w:val="36"/>
          <w:sz w:val="24"/>
          <w:szCs w:val="24"/>
          <w:lang w:val="en-GB" w:eastAsia="en-AU"/>
          <w14:ligatures w14:val="none"/>
        </w:rPr>
      </w:pPr>
      <w:bookmarkStart w:id="2" w:name="_Toc150255607"/>
      <w:r w:rsidRPr="00847ED1">
        <w:rPr>
          <w:rFonts w:ascii="Times New Roman" w:eastAsia="Times New Roman" w:hAnsi="Times New Roman" w:cs="Times New Roman"/>
          <w:color w:val="000000"/>
          <w:kern w:val="36"/>
          <w:sz w:val="24"/>
          <w:szCs w:val="24"/>
          <w:vertAlign w:val="superscript"/>
          <w:lang w:val="en-GB" w:eastAsia="en-AU"/>
          <w14:ligatures w14:val="none"/>
        </w:rPr>
        <w:t>1</w:t>
      </w:r>
      <w:r w:rsidRPr="00847ED1">
        <w:rPr>
          <w:rFonts w:ascii="Times New Roman" w:eastAsia="Times New Roman" w:hAnsi="Times New Roman" w:cs="Times New Roman"/>
          <w:color w:val="000000"/>
          <w:kern w:val="36"/>
          <w:sz w:val="24"/>
          <w:szCs w:val="24"/>
          <w:lang w:val="en-GB" w:eastAsia="en-AU"/>
          <w14:ligatures w14:val="none"/>
        </w:rPr>
        <w:t xml:space="preserve"> DTU AQUA, National Institute of Aquatic Resources, </w:t>
      </w:r>
      <w:proofErr w:type="spellStart"/>
      <w:r w:rsidRPr="00847ED1">
        <w:rPr>
          <w:rFonts w:ascii="Times New Roman" w:eastAsia="Times New Roman" w:hAnsi="Times New Roman" w:cs="Times New Roman"/>
          <w:color w:val="000000"/>
          <w:kern w:val="36"/>
          <w:sz w:val="24"/>
          <w:szCs w:val="24"/>
          <w:lang w:val="en-GB" w:eastAsia="en-AU"/>
          <w14:ligatures w14:val="none"/>
        </w:rPr>
        <w:t>Kemitorvet</w:t>
      </w:r>
      <w:proofErr w:type="spellEnd"/>
      <w:r w:rsidRPr="00847ED1">
        <w:rPr>
          <w:rFonts w:ascii="Times New Roman" w:eastAsia="Times New Roman" w:hAnsi="Times New Roman" w:cs="Times New Roman"/>
          <w:color w:val="000000"/>
          <w:kern w:val="36"/>
          <w:sz w:val="24"/>
          <w:szCs w:val="24"/>
          <w:lang w:val="en-GB" w:eastAsia="en-AU"/>
          <w14:ligatures w14:val="none"/>
        </w:rPr>
        <w:t xml:space="preserve"> 1, 2800 Kgs. Lyngby, Denmark</w:t>
      </w:r>
      <w:bookmarkEnd w:id="2"/>
    </w:p>
    <w:p w14:paraId="3CCEB263" w14:textId="77777777" w:rsidR="00B86ED2" w:rsidRPr="00847ED1" w:rsidRDefault="00B86ED2" w:rsidP="00B86ED2">
      <w:pPr>
        <w:spacing w:after="0" w:line="480" w:lineRule="auto"/>
        <w:jc w:val="both"/>
        <w:outlineLvl w:val="0"/>
        <w:rPr>
          <w:rFonts w:ascii="Times New Roman" w:eastAsia="Times New Roman" w:hAnsi="Times New Roman" w:cs="Times New Roman"/>
          <w:color w:val="000000"/>
          <w:kern w:val="36"/>
          <w:sz w:val="24"/>
          <w:szCs w:val="24"/>
          <w:lang w:val="en-GB" w:eastAsia="en-AU"/>
          <w14:ligatures w14:val="none"/>
        </w:rPr>
      </w:pPr>
      <w:r w:rsidRPr="00847ED1">
        <w:rPr>
          <w:rFonts w:ascii="Times New Roman" w:eastAsia="Times New Roman" w:hAnsi="Times New Roman" w:cs="Times New Roman"/>
          <w:color w:val="000000"/>
          <w:kern w:val="36"/>
          <w:sz w:val="24"/>
          <w:szCs w:val="24"/>
          <w:vertAlign w:val="superscript"/>
          <w:lang w:val="en-GB" w:eastAsia="en-AU"/>
          <w14:ligatures w14:val="none"/>
        </w:rPr>
        <w:t xml:space="preserve">2 </w:t>
      </w:r>
      <w:r>
        <w:rPr>
          <w:rFonts w:ascii="Times New Roman" w:eastAsia="Times New Roman" w:hAnsi="Times New Roman" w:cs="Times New Roman"/>
          <w:color w:val="000000"/>
          <w:kern w:val="36"/>
          <w:sz w:val="24"/>
          <w:szCs w:val="24"/>
          <w:lang w:val="en-GB" w:eastAsia="en-AU"/>
          <w14:ligatures w14:val="none"/>
        </w:rPr>
        <w:t>Present address: D</w:t>
      </w:r>
      <w:r w:rsidRPr="00847ED1">
        <w:rPr>
          <w:rFonts w:ascii="Times New Roman" w:eastAsia="Times New Roman" w:hAnsi="Times New Roman" w:cs="Times New Roman"/>
          <w:color w:val="000000"/>
          <w:kern w:val="36"/>
          <w:sz w:val="24"/>
          <w:szCs w:val="24"/>
          <w:lang w:val="en-GB" w:eastAsia="en-AU"/>
          <w14:ligatures w14:val="none"/>
        </w:rPr>
        <w:t xml:space="preserve">HI A/S, </w:t>
      </w:r>
      <w:proofErr w:type="spellStart"/>
      <w:r w:rsidRPr="00847ED1">
        <w:rPr>
          <w:rFonts w:ascii="Times New Roman" w:eastAsia="Times New Roman" w:hAnsi="Times New Roman" w:cs="Times New Roman"/>
          <w:color w:val="000000"/>
          <w:kern w:val="36"/>
          <w:sz w:val="24"/>
          <w:szCs w:val="24"/>
          <w:lang w:val="en-GB" w:eastAsia="en-AU"/>
          <w14:ligatures w14:val="none"/>
        </w:rPr>
        <w:t>Agern</w:t>
      </w:r>
      <w:proofErr w:type="spellEnd"/>
      <w:r w:rsidRPr="00847ED1">
        <w:rPr>
          <w:rFonts w:ascii="Times New Roman" w:eastAsia="Times New Roman" w:hAnsi="Times New Roman" w:cs="Times New Roman"/>
          <w:color w:val="000000"/>
          <w:kern w:val="36"/>
          <w:sz w:val="24"/>
          <w:szCs w:val="24"/>
          <w:lang w:val="en-GB" w:eastAsia="en-AU"/>
          <w14:ligatures w14:val="none"/>
        </w:rPr>
        <w:t xml:space="preserve"> Alle 5, 2970 Hørsholm, Denmark</w:t>
      </w:r>
    </w:p>
    <w:p w14:paraId="609E5E13" w14:textId="77777777" w:rsidR="00B86ED2" w:rsidRPr="00847ED1" w:rsidRDefault="00B86ED2" w:rsidP="00B86ED2">
      <w:pPr>
        <w:spacing w:after="0" w:line="480" w:lineRule="auto"/>
        <w:jc w:val="both"/>
        <w:outlineLvl w:val="0"/>
        <w:rPr>
          <w:rFonts w:ascii="Times New Roman" w:eastAsia="Times New Roman" w:hAnsi="Times New Roman" w:cs="Times New Roman"/>
          <w:b/>
          <w:bCs/>
          <w:kern w:val="36"/>
          <w:sz w:val="24"/>
          <w:szCs w:val="24"/>
          <w:lang w:val="en-GB" w:eastAsia="en-AU"/>
          <w14:ligatures w14:val="none"/>
        </w:rPr>
      </w:pPr>
      <w:r w:rsidRPr="00847ED1">
        <w:rPr>
          <w:rFonts w:ascii="Times New Roman" w:eastAsia="Times New Roman" w:hAnsi="Times New Roman" w:cs="Times New Roman"/>
          <w:color w:val="000000"/>
          <w:kern w:val="36"/>
          <w:sz w:val="24"/>
          <w:szCs w:val="24"/>
          <w:vertAlign w:val="superscript"/>
          <w:lang w:val="en-GB" w:eastAsia="en-AU"/>
          <w14:ligatures w14:val="none"/>
        </w:rPr>
        <w:t>3</w:t>
      </w:r>
      <w:r w:rsidRPr="00847ED1">
        <w:rPr>
          <w:rFonts w:ascii="Times New Roman" w:eastAsia="Times New Roman" w:hAnsi="Times New Roman" w:cs="Times New Roman"/>
          <w:color w:val="000000"/>
          <w:kern w:val="36"/>
          <w:sz w:val="24"/>
          <w:szCs w:val="24"/>
          <w:lang w:val="en-GB" w:eastAsia="en-AU"/>
          <w14:ligatures w14:val="none"/>
        </w:rPr>
        <w:t xml:space="preserve">School of Life and Environmental Sciences, Centre for Marine Science, Deakin University, </w:t>
      </w:r>
      <w:proofErr w:type="spellStart"/>
      <w:r w:rsidRPr="00847ED1">
        <w:rPr>
          <w:rFonts w:ascii="Times New Roman" w:eastAsia="Times New Roman" w:hAnsi="Times New Roman" w:cs="Times New Roman"/>
          <w:color w:val="000000"/>
          <w:kern w:val="36"/>
          <w:sz w:val="24"/>
          <w:szCs w:val="24"/>
          <w:lang w:val="en-GB" w:eastAsia="en-AU"/>
          <w14:ligatures w14:val="none"/>
        </w:rPr>
        <w:t>Queenscliff</w:t>
      </w:r>
      <w:proofErr w:type="spellEnd"/>
      <w:r w:rsidRPr="00847ED1">
        <w:rPr>
          <w:rFonts w:ascii="Times New Roman" w:eastAsia="Times New Roman" w:hAnsi="Times New Roman" w:cs="Times New Roman"/>
          <w:color w:val="000000"/>
          <w:kern w:val="36"/>
          <w:sz w:val="24"/>
          <w:szCs w:val="24"/>
          <w:lang w:val="en-GB" w:eastAsia="en-AU"/>
          <w14:ligatures w14:val="none"/>
        </w:rPr>
        <w:t>, Victoria, 3220, Australia</w:t>
      </w:r>
    </w:p>
    <w:p w14:paraId="368BDE23" w14:textId="77777777" w:rsidR="00B86ED2" w:rsidRPr="00847ED1" w:rsidRDefault="00B86ED2" w:rsidP="00B86ED2">
      <w:pPr>
        <w:spacing w:after="0" w:line="480" w:lineRule="auto"/>
        <w:jc w:val="both"/>
        <w:outlineLvl w:val="0"/>
        <w:rPr>
          <w:rFonts w:ascii="Times New Roman" w:eastAsia="Times New Roman" w:hAnsi="Times New Roman" w:cs="Times New Roman"/>
          <w:color w:val="000000"/>
          <w:kern w:val="36"/>
          <w:sz w:val="24"/>
          <w:szCs w:val="24"/>
          <w:lang w:val="en-GB" w:eastAsia="en-AU"/>
          <w14:ligatures w14:val="none"/>
        </w:rPr>
      </w:pPr>
      <w:bookmarkStart w:id="3" w:name="_Toc150255608"/>
      <w:r w:rsidRPr="00847ED1">
        <w:rPr>
          <w:rFonts w:ascii="Times New Roman" w:eastAsia="Times New Roman" w:hAnsi="Times New Roman" w:cs="Times New Roman"/>
          <w:color w:val="000000"/>
          <w:kern w:val="36"/>
          <w:sz w:val="24"/>
          <w:szCs w:val="24"/>
          <w:vertAlign w:val="superscript"/>
          <w:lang w:val="en-GB" w:eastAsia="en-AU"/>
          <w14:ligatures w14:val="none"/>
        </w:rPr>
        <w:t>4</w:t>
      </w:r>
      <w:r w:rsidRPr="00847ED1">
        <w:rPr>
          <w:rFonts w:ascii="Times New Roman" w:eastAsia="Times New Roman" w:hAnsi="Times New Roman" w:cs="Times New Roman"/>
          <w:color w:val="000000"/>
          <w:kern w:val="36"/>
          <w:sz w:val="24"/>
          <w:szCs w:val="24"/>
          <w:lang w:val="en-GB" w:eastAsia="en-AU"/>
          <w14:ligatures w14:val="none"/>
        </w:rPr>
        <w:t xml:space="preserve"> </w:t>
      </w:r>
      <w:proofErr w:type="spellStart"/>
      <w:r w:rsidRPr="00847ED1">
        <w:rPr>
          <w:rFonts w:ascii="Times New Roman" w:eastAsia="Times New Roman" w:hAnsi="Times New Roman" w:cs="Times New Roman"/>
          <w:color w:val="000000"/>
          <w:kern w:val="36"/>
          <w:sz w:val="24"/>
          <w:szCs w:val="24"/>
          <w:lang w:val="en-GB" w:eastAsia="en-AU"/>
          <w14:ligatures w14:val="none"/>
        </w:rPr>
        <w:t>Litehauz</w:t>
      </w:r>
      <w:proofErr w:type="spellEnd"/>
      <w:r w:rsidRPr="00847ED1">
        <w:rPr>
          <w:rFonts w:ascii="Times New Roman" w:eastAsia="Times New Roman" w:hAnsi="Times New Roman" w:cs="Times New Roman"/>
          <w:color w:val="000000"/>
          <w:kern w:val="36"/>
          <w:sz w:val="24"/>
          <w:szCs w:val="24"/>
          <w:lang w:val="en-GB" w:eastAsia="en-AU"/>
          <w14:ligatures w14:val="none"/>
        </w:rPr>
        <w:t xml:space="preserve"> Aps, 2800 Kgs. Lyngby, Denmark</w:t>
      </w:r>
      <w:bookmarkEnd w:id="3"/>
    </w:p>
    <w:p w14:paraId="2ED5B963" w14:textId="77777777" w:rsidR="00B86ED2" w:rsidRDefault="00B86ED2" w:rsidP="00B86ED2">
      <w:pPr>
        <w:spacing w:after="0" w:line="480" w:lineRule="auto"/>
        <w:jc w:val="both"/>
        <w:outlineLvl w:val="0"/>
        <w:rPr>
          <w:rFonts w:ascii="Times New Roman" w:eastAsia="Times New Roman" w:hAnsi="Times New Roman" w:cs="Times New Roman"/>
          <w:color w:val="000000"/>
          <w:kern w:val="36"/>
          <w:sz w:val="24"/>
          <w:szCs w:val="24"/>
          <w:lang w:val="en-GB" w:eastAsia="en-AU"/>
          <w14:ligatures w14:val="none"/>
        </w:rPr>
      </w:pPr>
      <w:bookmarkStart w:id="4" w:name="_Toc150255610"/>
      <w:r w:rsidRPr="00847ED1">
        <w:rPr>
          <w:rFonts w:ascii="Times New Roman" w:eastAsia="Times New Roman" w:hAnsi="Times New Roman" w:cs="Times New Roman"/>
          <w:color w:val="000000"/>
          <w:kern w:val="36"/>
          <w:sz w:val="24"/>
          <w:szCs w:val="24"/>
          <w:lang w:val="en-GB" w:eastAsia="en-AU"/>
          <w14:ligatures w14:val="none"/>
        </w:rPr>
        <w:t>*</w:t>
      </w:r>
      <w:r w:rsidRPr="00847ED1">
        <w:rPr>
          <w:rFonts w:ascii="Times New Roman" w:hAnsi="Times New Roman" w:cs="Times New Roman"/>
          <w:sz w:val="24"/>
          <w:szCs w:val="24"/>
          <w:lang w:val="en-GB"/>
        </w:rPr>
        <w:t xml:space="preserve"> </w:t>
      </w:r>
      <w:r w:rsidRPr="00847ED1">
        <w:rPr>
          <w:rFonts w:ascii="Times New Roman" w:eastAsia="Times New Roman" w:hAnsi="Times New Roman" w:cs="Times New Roman"/>
          <w:color w:val="000000"/>
          <w:kern w:val="36"/>
          <w:sz w:val="24"/>
          <w:szCs w:val="24"/>
          <w:lang w:val="en-GB" w:eastAsia="en-AU"/>
          <w14:ligatures w14:val="none"/>
        </w:rPr>
        <w:t xml:space="preserve">Corresponding author: </w:t>
      </w:r>
      <w:bookmarkEnd w:id="4"/>
      <w:r>
        <w:rPr>
          <w:rFonts w:ascii="Times New Roman" w:eastAsia="Times New Roman" w:hAnsi="Times New Roman" w:cs="Times New Roman"/>
          <w:color w:val="000000"/>
          <w:kern w:val="36"/>
          <w:sz w:val="24"/>
          <w:szCs w:val="24"/>
          <w:lang w:val="en-GB" w:eastAsia="en-AU"/>
          <w14:ligatures w14:val="none"/>
        </w:rPr>
        <w:fldChar w:fldCharType="begin"/>
      </w:r>
      <w:r>
        <w:rPr>
          <w:rFonts w:ascii="Times New Roman" w:eastAsia="Times New Roman" w:hAnsi="Times New Roman" w:cs="Times New Roman"/>
          <w:color w:val="000000"/>
          <w:kern w:val="36"/>
          <w:sz w:val="24"/>
          <w:szCs w:val="24"/>
          <w:lang w:val="en-GB" w:eastAsia="en-AU"/>
          <w14:ligatures w14:val="none"/>
        </w:rPr>
        <w:instrText>HYPERLINK "mailto:</w:instrText>
      </w:r>
      <w:r w:rsidRPr="00847ED1">
        <w:rPr>
          <w:rFonts w:ascii="Times New Roman" w:eastAsia="Times New Roman" w:hAnsi="Times New Roman" w:cs="Times New Roman"/>
          <w:color w:val="000000"/>
          <w:kern w:val="36"/>
          <w:sz w:val="24"/>
          <w:szCs w:val="24"/>
          <w:lang w:val="en-GB" w:eastAsia="en-AU"/>
          <w14:ligatures w14:val="none"/>
        </w:rPr>
        <w:instrText>flth@dhigroup.com</w:instrText>
      </w:r>
      <w:r>
        <w:rPr>
          <w:rFonts w:ascii="Times New Roman" w:eastAsia="Times New Roman" w:hAnsi="Times New Roman" w:cs="Times New Roman"/>
          <w:color w:val="000000"/>
          <w:kern w:val="36"/>
          <w:sz w:val="24"/>
          <w:szCs w:val="24"/>
          <w:lang w:val="en-GB" w:eastAsia="en-AU"/>
          <w14:ligatures w14:val="none"/>
        </w:rPr>
        <w:instrText>"</w:instrText>
      </w:r>
      <w:r>
        <w:rPr>
          <w:rFonts w:ascii="Times New Roman" w:eastAsia="Times New Roman" w:hAnsi="Times New Roman" w:cs="Times New Roman"/>
          <w:color w:val="000000"/>
          <w:kern w:val="36"/>
          <w:sz w:val="24"/>
          <w:szCs w:val="24"/>
          <w:lang w:val="en-GB" w:eastAsia="en-AU"/>
          <w14:ligatures w14:val="none"/>
        </w:rPr>
      </w:r>
      <w:r>
        <w:rPr>
          <w:rFonts w:ascii="Times New Roman" w:eastAsia="Times New Roman" w:hAnsi="Times New Roman" w:cs="Times New Roman"/>
          <w:color w:val="000000"/>
          <w:kern w:val="36"/>
          <w:sz w:val="24"/>
          <w:szCs w:val="24"/>
          <w:lang w:val="en-GB" w:eastAsia="en-AU"/>
          <w14:ligatures w14:val="none"/>
        </w:rPr>
        <w:fldChar w:fldCharType="separate"/>
      </w:r>
      <w:r w:rsidRPr="007C3EA2">
        <w:rPr>
          <w:rStyle w:val="Hyperlink"/>
          <w:rFonts w:ascii="Times New Roman" w:eastAsia="Times New Roman" w:hAnsi="Times New Roman" w:cs="Times New Roman"/>
          <w:kern w:val="36"/>
          <w:sz w:val="24"/>
          <w:szCs w:val="24"/>
          <w:lang w:val="en-GB" w:eastAsia="en-AU"/>
          <w14:ligatures w14:val="none"/>
        </w:rPr>
        <w:t>flth@dhigroup.com</w:t>
      </w:r>
      <w:r>
        <w:rPr>
          <w:rFonts w:ascii="Times New Roman" w:eastAsia="Times New Roman" w:hAnsi="Times New Roman" w:cs="Times New Roman"/>
          <w:color w:val="000000"/>
          <w:kern w:val="36"/>
          <w:sz w:val="24"/>
          <w:szCs w:val="24"/>
          <w:lang w:val="en-GB" w:eastAsia="en-AU"/>
          <w14:ligatures w14:val="none"/>
        </w:rPr>
        <w:fldChar w:fldCharType="end"/>
      </w:r>
    </w:p>
    <w:p w14:paraId="41950F5F" w14:textId="2353865C" w:rsidR="00ED150D" w:rsidRPr="009B2E1A" w:rsidRDefault="00ED150D">
      <w:pPr>
        <w:rPr>
          <w:lang w:val="en-GB"/>
        </w:rPr>
      </w:pPr>
      <w:r w:rsidRPr="009D4C49">
        <w:rPr>
          <w:rFonts w:ascii="Times New Roman" w:hAnsi="Times New Roman" w:cs="Times New Roman"/>
          <w:b/>
          <w:bCs/>
          <w:sz w:val="24"/>
          <w:szCs w:val="24"/>
        </w:rPr>
        <w:tab/>
      </w:r>
    </w:p>
    <w:p w14:paraId="71530E65" w14:textId="4C418E54" w:rsidR="00ED150D" w:rsidRPr="009D4C49" w:rsidRDefault="00ED150D" w:rsidP="00ED150D">
      <w:pPr>
        <w:spacing w:line="360" w:lineRule="auto"/>
        <w:jc w:val="both"/>
        <w:rPr>
          <w:rFonts w:ascii="Times New Roman" w:hAnsi="Times New Roman" w:cs="Times New Roman"/>
          <w:i/>
          <w:iCs/>
          <w:sz w:val="24"/>
          <w:szCs w:val="24"/>
        </w:rPr>
      </w:pPr>
      <w:r w:rsidRPr="009D4C49">
        <w:rPr>
          <w:rFonts w:ascii="Times New Roman" w:hAnsi="Times New Roman" w:cs="Times New Roman"/>
          <w:i/>
          <w:iCs/>
          <w:sz w:val="24"/>
          <w:szCs w:val="24"/>
        </w:rPr>
        <w:t>Pelagic Larval Duration (PLD)</w:t>
      </w:r>
    </w:p>
    <w:p w14:paraId="35F41D71" w14:textId="16D12A5E" w:rsidR="00ED150D" w:rsidRPr="009D4C49" w:rsidRDefault="00ED150D" w:rsidP="00ED150D">
      <w:pPr>
        <w:spacing w:line="360" w:lineRule="auto"/>
        <w:jc w:val="both"/>
        <w:rPr>
          <w:rFonts w:ascii="Times New Roman" w:hAnsi="Times New Roman" w:cs="Times New Roman"/>
          <w:sz w:val="24"/>
          <w:szCs w:val="24"/>
        </w:rPr>
      </w:pPr>
      <w:r w:rsidRPr="009D4C49">
        <w:rPr>
          <w:rFonts w:ascii="Times New Roman" w:hAnsi="Times New Roman" w:cs="Times New Roman"/>
          <w:sz w:val="24"/>
          <w:szCs w:val="24"/>
        </w:rPr>
        <w:t xml:space="preserve">The PLD of marine organisms range from a few hours to several weeks or even months (Bradbury et al. 2008, Hilário et al. 2015), and even within species the PLD may vary considerably depending on water temperature and/or food availability (O’Connor et al. 2007, Kendall et al. 2016). In biophysical models at the end of the PLD the individual pelagic life stage typically settles instantaneous at the seabed. The settling process itself can often be neglected. In cases where data exists that the species may exhibit prolonged settling behaviour, an onset and duration of a settling competency period may be included during which the life stage will settle once it has reached suitable habitat (Swearer et al. 2019). </w:t>
      </w:r>
    </w:p>
    <w:p w14:paraId="4B371802" w14:textId="3C322143" w:rsidR="00ED150D" w:rsidRPr="009D4C49" w:rsidRDefault="00ED150D" w:rsidP="00ED150D">
      <w:pPr>
        <w:spacing w:line="360" w:lineRule="auto"/>
        <w:jc w:val="both"/>
        <w:rPr>
          <w:rFonts w:ascii="Times New Roman" w:hAnsi="Times New Roman" w:cs="Times New Roman"/>
          <w:i/>
          <w:iCs/>
          <w:sz w:val="24"/>
          <w:szCs w:val="24"/>
        </w:rPr>
      </w:pPr>
      <w:r w:rsidRPr="009D4C49">
        <w:rPr>
          <w:rFonts w:ascii="Times New Roman" w:hAnsi="Times New Roman" w:cs="Times New Roman"/>
          <w:i/>
          <w:iCs/>
          <w:sz w:val="24"/>
          <w:szCs w:val="24"/>
        </w:rPr>
        <w:t xml:space="preserve">Habitat </w:t>
      </w:r>
    </w:p>
    <w:p w14:paraId="711A485F" w14:textId="3DB199F7" w:rsidR="00ED150D" w:rsidRPr="009D4C49" w:rsidRDefault="00ED150D" w:rsidP="00ED150D">
      <w:pPr>
        <w:spacing w:line="360" w:lineRule="auto"/>
        <w:jc w:val="both"/>
        <w:rPr>
          <w:rFonts w:ascii="Times New Roman" w:hAnsi="Times New Roman" w:cs="Times New Roman"/>
          <w:i/>
          <w:iCs/>
          <w:sz w:val="24"/>
          <w:szCs w:val="24"/>
        </w:rPr>
      </w:pPr>
      <w:r w:rsidRPr="009D4C49">
        <w:rPr>
          <w:rFonts w:ascii="Times New Roman" w:hAnsi="Times New Roman" w:cs="Times New Roman"/>
          <w:sz w:val="24"/>
          <w:szCs w:val="24"/>
        </w:rPr>
        <w:lastRenderedPageBreak/>
        <w:t>The location and configuration of suitable habitat (for both spawning and settlement) can potentially influence marine connectivity due to differences in local oceanographic conditions and species-specific traits (</w:t>
      </w:r>
      <w:proofErr w:type="spellStart"/>
      <w:r w:rsidRPr="009D4C49">
        <w:rPr>
          <w:rFonts w:ascii="Times New Roman" w:hAnsi="Times New Roman" w:cs="Times New Roman"/>
          <w:sz w:val="24"/>
          <w:szCs w:val="24"/>
        </w:rPr>
        <w:t>Dorenbosch</w:t>
      </w:r>
      <w:proofErr w:type="spellEnd"/>
      <w:r w:rsidRPr="009D4C49">
        <w:rPr>
          <w:rFonts w:ascii="Times New Roman" w:hAnsi="Times New Roman" w:cs="Times New Roman"/>
          <w:sz w:val="24"/>
          <w:szCs w:val="24"/>
        </w:rPr>
        <w:t xml:space="preserve"> et al. 2007, Grober-Dunsmore et al. 2009, McMahon et al. 2012, Swearer et al. 2019, Assis et al. 2021). Maps representing the expected habitat configuration of a given NIS with a benthic adult stage require information on species specific habitat preferences including seabed substrate, preferred water depth, and tolerances of juvenile and adult life stage to water temperature and salinity. Other relevant information may include areas subject to hypoxia or other important stressors. Data on seabed substrate and water depth may be available from national or regional databases (</w:t>
      </w:r>
      <w:r w:rsidR="00A8523E" w:rsidRPr="009D4C49">
        <w:rPr>
          <w:rFonts w:ascii="Times New Roman" w:hAnsi="Times New Roman" w:cs="Times New Roman"/>
          <w:sz w:val="24"/>
          <w:szCs w:val="24"/>
        </w:rPr>
        <w:t>e.g.,</w:t>
      </w:r>
      <w:r w:rsidRPr="009D4C49">
        <w:rPr>
          <w:rFonts w:ascii="Times New Roman" w:hAnsi="Times New Roman" w:cs="Times New Roman"/>
          <w:sz w:val="24"/>
          <w:szCs w:val="24"/>
        </w:rPr>
        <w:t xml:space="preserve"> EMODNET). Areal coverage of seabed temperature and salinity can be extracted as statistical layers (</w:t>
      </w:r>
      <w:r w:rsidR="00A8523E" w:rsidRPr="009D4C49">
        <w:rPr>
          <w:rFonts w:ascii="Times New Roman" w:hAnsi="Times New Roman" w:cs="Times New Roman"/>
          <w:sz w:val="24"/>
          <w:szCs w:val="24"/>
        </w:rPr>
        <w:t>e.g.,</w:t>
      </w:r>
      <w:r w:rsidRPr="009D4C49">
        <w:rPr>
          <w:rFonts w:ascii="Times New Roman" w:hAnsi="Times New Roman" w:cs="Times New Roman"/>
          <w:sz w:val="24"/>
          <w:szCs w:val="24"/>
        </w:rPr>
        <w:t xml:space="preserve"> </w:t>
      </w:r>
      <w:proofErr w:type="gramStart"/>
      <w:r w:rsidRPr="009D4C49">
        <w:rPr>
          <w:rFonts w:ascii="Times New Roman" w:hAnsi="Times New Roman" w:cs="Times New Roman"/>
          <w:sz w:val="24"/>
          <w:szCs w:val="24"/>
        </w:rPr>
        <w:t>minimum</w:t>
      </w:r>
      <w:proofErr w:type="gramEnd"/>
      <w:r w:rsidRPr="009D4C49">
        <w:rPr>
          <w:rFonts w:ascii="Times New Roman" w:hAnsi="Times New Roman" w:cs="Times New Roman"/>
          <w:sz w:val="24"/>
          <w:szCs w:val="24"/>
        </w:rPr>
        <w:t xml:space="preserve"> and maximum) from oceanographic models used for the biophysical modelling</w:t>
      </w:r>
      <w:r w:rsidRPr="009D4C49">
        <w:rPr>
          <w:rFonts w:ascii="Times New Roman" w:hAnsi="Times New Roman" w:cs="Times New Roman"/>
          <w:i/>
          <w:iCs/>
          <w:sz w:val="24"/>
          <w:szCs w:val="24"/>
        </w:rPr>
        <w:t xml:space="preserve">. </w:t>
      </w:r>
    </w:p>
    <w:p w14:paraId="0E4903BB" w14:textId="32232518" w:rsidR="00ED150D" w:rsidRPr="009D4C49" w:rsidRDefault="00ED150D" w:rsidP="00ED150D">
      <w:pPr>
        <w:spacing w:line="360" w:lineRule="auto"/>
        <w:jc w:val="both"/>
        <w:rPr>
          <w:rFonts w:ascii="Times New Roman" w:hAnsi="Times New Roman" w:cs="Times New Roman"/>
          <w:i/>
          <w:iCs/>
          <w:sz w:val="24"/>
          <w:szCs w:val="24"/>
        </w:rPr>
      </w:pPr>
      <w:r w:rsidRPr="009D4C49">
        <w:rPr>
          <w:rFonts w:ascii="Times New Roman" w:hAnsi="Times New Roman" w:cs="Times New Roman"/>
          <w:i/>
          <w:iCs/>
          <w:sz w:val="24"/>
          <w:szCs w:val="24"/>
        </w:rPr>
        <w:t>Spawning period</w:t>
      </w:r>
    </w:p>
    <w:p w14:paraId="185759ED" w14:textId="2839A0B6" w:rsidR="00ED150D" w:rsidRPr="009D4C49" w:rsidRDefault="00ED150D" w:rsidP="00ED150D">
      <w:pPr>
        <w:spacing w:line="360" w:lineRule="auto"/>
        <w:jc w:val="both"/>
        <w:rPr>
          <w:rFonts w:ascii="Times New Roman" w:hAnsi="Times New Roman" w:cs="Times New Roman"/>
          <w:sz w:val="24"/>
          <w:szCs w:val="24"/>
        </w:rPr>
      </w:pPr>
      <w:r w:rsidRPr="009D4C49">
        <w:rPr>
          <w:rFonts w:ascii="Times New Roman" w:hAnsi="Times New Roman" w:cs="Times New Roman"/>
          <w:sz w:val="24"/>
          <w:szCs w:val="24"/>
        </w:rPr>
        <w:t xml:space="preserve">The timing and duration of spawning may affect larval dispersal and connectivity in areas with distinct daily or seasonal circulation patterns (e.g., Lett et al. 2010, Swearer et al. 2019). For many marine benthic </w:t>
      </w:r>
      <w:r w:rsidR="00A8523E" w:rsidRPr="009D4C49">
        <w:rPr>
          <w:rFonts w:ascii="Times New Roman" w:hAnsi="Times New Roman" w:cs="Times New Roman"/>
          <w:sz w:val="24"/>
          <w:szCs w:val="24"/>
        </w:rPr>
        <w:t>species,</w:t>
      </w:r>
      <w:r w:rsidRPr="009D4C49">
        <w:rPr>
          <w:rFonts w:ascii="Times New Roman" w:hAnsi="Times New Roman" w:cs="Times New Roman"/>
          <w:sz w:val="24"/>
          <w:szCs w:val="24"/>
        </w:rPr>
        <w:t xml:space="preserve"> the onset of spawning </w:t>
      </w:r>
      <w:r w:rsidR="0042653A">
        <w:rPr>
          <w:rFonts w:ascii="Times New Roman" w:hAnsi="Times New Roman" w:cs="Times New Roman"/>
          <w:sz w:val="24"/>
          <w:szCs w:val="24"/>
        </w:rPr>
        <w:t>is</w:t>
      </w:r>
      <w:r w:rsidRPr="009D4C49">
        <w:rPr>
          <w:rFonts w:ascii="Times New Roman" w:hAnsi="Times New Roman" w:cs="Times New Roman"/>
          <w:sz w:val="24"/>
          <w:szCs w:val="24"/>
        </w:rPr>
        <w:t xml:space="preserve"> strongly influenced and often triggered by temperature (</w:t>
      </w:r>
      <w:proofErr w:type="gramStart"/>
      <w:r w:rsidRPr="009D4C49">
        <w:rPr>
          <w:rFonts w:ascii="Times New Roman" w:hAnsi="Times New Roman" w:cs="Times New Roman"/>
          <w:sz w:val="24"/>
          <w:szCs w:val="24"/>
        </w:rPr>
        <w:t>e.g.</w:t>
      </w:r>
      <w:proofErr w:type="gramEnd"/>
      <w:r w:rsidRPr="009D4C49">
        <w:rPr>
          <w:rFonts w:ascii="Times New Roman" w:hAnsi="Times New Roman" w:cs="Times New Roman"/>
          <w:sz w:val="24"/>
          <w:szCs w:val="24"/>
        </w:rPr>
        <w:t xml:space="preserve"> Bernard et al. 2011, Zippay &amp; Helmuth 2012, Pastor-Rollan 2022). Thus, data on the timing and duration of spawning of NIS from other parts of the world, may need to be adjusted or estimated by considering any deviation from the seasonal temperature regime in the study area.   </w:t>
      </w:r>
    </w:p>
    <w:p w14:paraId="48CBDAD5" w14:textId="3000C9EB" w:rsidR="00ED150D" w:rsidRPr="009D4C49" w:rsidRDefault="00ED150D" w:rsidP="00ED150D">
      <w:pPr>
        <w:spacing w:line="360" w:lineRule="auto"/>
        <w:jc w:val="both"/>
        <w:rPr>
          <w:rFonts w:ascii="Times New Roman" w:hAnsi="Times New Roman" w:cs="Times New Roman"/>
          <w:i/>
          <w:iCs/>
          <w:sz w:val="24"/>
          <w:szCs w:val="24"/>
        </w:rPr>
      </w:pPr>
      <w:r w:rsidRPr="009D4C49">
        <w:rPr>
          <w:rFonts w:ascii="Times New Roman" w:hAnsi="Times New Roman" w:cs="Times New Roman"/>
          <w:i/>
          <w:iCs/>
          <w:sz w:val="24"/>
          <w:szCs w:val="24"/>
        </w:rPr>
        <w:t>Drift depth and vertical migration</w:t>
      </w:r>
    </w:p>
    <w:p w14:paraId="6A21A4D9" w14:textId="26AD8EF1" w:rsidR="00ED150D" w:rsidRPr="009D4C49" w:rsidRDefault="00ED150D" w:rsidP="00ED150D">
      <w:pPr>
        <w:spacing w:line="360" w:lineRule="auto"/>
        <w:jc w:val="both"/>
        <w:rPr>
          <w:rFonts w:ascii="Times New Roman" w:hAnsi="Times New Roman" w:cs="Times New Roman"/>
          <w:sz w:val="24"/>
          <w:szCs w:val="24"/>
        </w:rPr>
      </w:pPr>
      <w:r w:rsidRPr="009D4C49">
        <w:rPr>
          <w:rFonts w:ascii="Times New Roman" w:hAnsi="Times New Roman" w:cs="Times New Roman"/>
          <w:sz w:val="24"/>
          <w:szCs w:val="24"/>
        </w:rPr>
        <w:t>Biophysical modelling of pelagic life stages in the Baltic Sea showed that a decrease in drift depth can increase dispersal distance 2.5-fold thereby increasing connectivity” (Corell et al. 2012). While drift depth of pelagic life stages of marine species</w:t>
      </w:r>
      <w:r w:rsidR="00A8523E">
        <w:rPr>
          <w:rFonts w:ascii="Times New Roman" w:hAnsi="Times New Roman" w:cs="Times New Roman"/>
          <w:sz w:val="24"/>
          <w:szCs w:val="24"/>
        </w:rPr>
        <w:t xml:space="preserve"> </w:t>
      </w:r>
      <w:r w:rsidRPr="009D4C49">
        <w:rPr>
          <w:rFonts w:ascii="Times New Roman" w:hAnsi="Times New Roman" w:cs="Times New Roman"/>
          <w:sz w:val="24"/>
          <w:szCs w:val="24"/>
        </w:rPr>
        <w:t xml:space="preserve">may not be known some general information may exist from plankton survey data of the drift depth distribution of pelagic life stages of different taxonomic groups in the study area (as example, see: Corell et al. 2012) and based on this data an upper and or lower dispersal boundary can be set in the biophysical model to constrain the dispersal within these boundaries. </w:t>
      </w:r>
    </w:p>
    <w:p w14:paraId="27BE0B2D" w14:textId="77777777" w:rsidR="00ED150D" w:rsidRPr="009D4C49" w:rsidRDefault="00ED150D" w:rsidP="00ED150D">
      <w:pPr>
        <w:spacing w:line="360" w:lineRule="auto"/>
        <w:jc w:val="both"/>
        <w:rPr>
          <w:rFonts w:ascii="Times New Roman" w:hAnsi="Times New Roman" w:cs="Times New Roman"/>
          <w:i/>
          <w:iCs/>
          <w:sz w:val="24"/>
          <w:szCs w:val="24"/>
        </w:rPr>
      </w:pPr>
      <w:r w:rsidRPr="009D4C49">
        <w:rPr>
          <w:rFonts w:ascii="Times New Roman" w:hAnsi="Times New Roman" w:cs="Times New Roman"/>
          <w:sz w:val="24"/>
          <w:szCs w:val="24"/>
        </w:rPr>
        <w:t xml:space="preserve">Results from biophysical model simulations in previous studies indicate that vertical migration (VM) generally seems to reduce the overall dispersal distance (Jahnke and Jonsson 2022). However, VM behaviour by some species (e.g., </w:t>
      </w:r>
      <w:proofErr w:type="gramStart"/>
      <w:r w:rsidRPr="009D4C49">
        <w:rPr>
          <w:rFonts w:ascii="Times New Roman" w:hAnsi="Times New Roman" w:cs="Times New Roman"/>
          <w:sz w:val="24"/>
          <w:szCs w:val="24"/>
        </w:rPr>
        <w:t>tidal</w:t>
      </w:r>
      <w:proofErr w:type="gramEnd"/>
      <w:r w:rsidRPr="009D4C49">
        <w:rPr>
          <w:rFonts w:ascii="Times New Roman" w:hAnsi="Times New Roman" w:cs="Times New Roman"/>
          <w:sz w:val="24"/>
          <w:szCs w:val="24"/>
        </w:rPr>
        <w:t xml:space="preserve"> or counter tidal) may be synchronised to promote or inhibit dispersal distances (Hill, 1991). This type of information on VM will likely not be available for most </w:t>
      </w:r>
      <w:r w:rsidRPr="009D4C49">
        <w:rPr>
          <w:rFonts w:ascii="Times New Roman" w:hAnsi="Times New Roman" w:cs="Times New Roman"/>
          <w:sz w:val="24"/>
          <w:szCs w:val="24"/>
        </w:rPr>
        <w:lastRenderedPageBreak/>
        <w:t xml:space="preserve">NIS. To inform the SRA RA in strong tidal areas, analyses could be carried out to evaluate the implication of tidal or counter-tidal vertical migration behaviour on dispersal and connectivity (see </w:t>
      </w:r>
      <w:proofErr w:type="spellStart"/>
      <w:r w:rsidRPr="009D4C49">
        <w:rPr>
          <w:rFonts w:ascii="Times New Roman" w:hAnsi="Times New Roman" w:cs="Times New Roman"/>
          <w:sz w:val="24"/>
          <w:szCs w:val="24"/>
        </w:rPr>
        <w:t>Baetens</w:t>
      </w:r>
      <w:proofErr w:type="spellEnd"/>
      <w:r w:rsidRPr="009D4C49">
        <w:rPr>
          <w:rFonts w:ascii="Times New Roman" w:hAnsi="Times New Roman" w:cs="Times New Roman"/>
          <w:sz w:val="24"/>
          <w:szCs w:val="24"/>
        </w:rPr>
        <w:t xml:space="preserve"> et al. 2018). </w:t>
      </w:r>
    </w:p>
    <w:p w14:paraId="55C418F3" w14:textId="6EE0CFBD" w:rsidR="00ED150D" w:rsidRPr="009D4C49" w:rsidRDefault="00ED150D" w:rsidP="00ED150D">
      <w:pPr>
        <w:spacing w:line="360" w:lineRule="auto"/>
        <w:jc w:val="both"/>
        <w:rPr>
          <w:rFonts w:ascii="Times New Roman" w:hAnsi="Times New Roman" w:cs="Times New Roman"/>
          <w:i/>
          <w:iCs/>
          <w:sz w:val="24"/>
          <w:szCs w:val="24"/>
        </w:rPr>
      </w:pPr>
      <w:r w:rsidRPr="009D4C49">
        <w:rPr>
          <w:rFonts w:ascii="Times New Roman" w:hAnsi="Times New Roman" w:cs="Times New Roman"/>
          <w:i/>
          <w:iCs/>
          <w:sz w:val="24"/>
          <w:szCs w:val="24"/>
        </w:rPr>
        <w:t>Environmental tolerance</w:t>
      </w:r>
    </w:p>
    <w:p w14:paraId="40BF77DE" w14:textId="15AB2139" w:rsidR="00ED150D" w:rsidRPr="009D4C49" w:rsidRDefault="00ED150D" w:rsidP="00ED150D">
      <w:pPr>
        <w:spacing w:line="360" w:lineRule="auto"/>
        <w:jc w:val="both"/>
        <w:rPr>
          <w:rFonts w:ascii="Times New Roman" w:hAnsi="Times New Roman" w:cs="Times New Roman"/>
          <w:sz w:val="24"/>
          <w:szCs w:val="24"/>
        </w:rPr>
      </w:pPr>
      <w:r w:rsidRPr="009D4C49">
        <w:rPr>
          <w:rFonts w:ascii="Times New Roman" w:hAnsi="Times New Roman" w:cs="Times New Roman"/>
          <w:sz w:val="24"/>
          <w:szCs w:val="24"/>
        </w:rPr>
        <w:t>Marine larval stages</w:t>
      </w:r>
      <w:r w:rsidR="00A8523E">
        <w:rPr>
          <w:rFonts w:ascii="Times New Roman" w:hAnsi="Times New Roman" w:cs="Times New Roman"/>
          <w:sz w:val="24"/>
          <w:szCs w:val="24"/>
        </w:rPr>
        <w:t xml:space="preserve"> </w:t>
      </w:r>
      <w:r w:rsidRPr="009D4C49">
        <w:rPr>
          <w:rFonts w:ascii="Times New Roman" w:hAnsi="Times New Roman" w:cs="Times New Roman"/>
          <w:sz w:val="24"/>
          <w:szCs w:val="24"/>
        </w:rPr>
        <w:t xml:space="preserve">tolerate temperatures and salinities within certain ranges which are species specific, and in many cases the stress imposed by extreme salinities and temperatures together may interact synergistically or antagonistically (Torres et al. 2021). Outside the salinity or temperature optima survival may hypothetically respond in a dose-response matter, </w:t>
      </w:r>
      <w:r w:rsidR="003C2CFD" w:rsidRPr="009D4C49">
        <w:rPr>
          <w:rFonts w:ascii="Times New Roman" w:hAnsi="Times New Roman" w:cs="Times New Roman"/>
          <w:sz w:val="24"/>
          <w:szCs w:val="24"/>
        </w:rPr>
        <w:t>i.e.,</w:t>
      </w:r>
      <w:r w:rsidRPr="009D4C49">
        <w:rPr>
          <w:rFonts w:ascii="Times New Roman" w:hAnsi="Times New Roman" w:cs="Times New Roman"/>
          <w:sz w:val="24"/>
          <w:szCs w:val="24"/>
        </w:rPr>
        <w:t xml:space="preserve"> by increasing the mortality as the tolerance thresholds are exceeded by increasing magnitude, increasing frequency and/or increasing duration. While these types of complex interactions of stressors may not be available, ranges and thresholds for salinity and temperature tolerances are reported for many marine NIS (</w:t>
      </w:r>
      <w:r w:rsidR="003C2CFD" w:rsidRPr="009D4C49">
        <w:rPr>
          <w:rFonts w:ascii="Times New Roman" w:hAnsi="Times New Roman" w:cs="Times New Roman"/>
          <w:sz w:val="24"/>
          <w:szCs w:val="24"/>
        </w:rPr>
        <w:t>e.g.,</w:t>
      </w:r>
      <w:r w:rsidRPr="009D4C49">
        <w:rPr>
          <w:rFonts w:ascii="Times New Roman" w:hAnsi="Times New Roman" w:cs="Times New Roman"/>
          <w:sz w:val="24"/>
          <w:szCs w:val="24"/>
        </w:rPr>
        <w:t xml:space="preserve"> AquaNIS 2015, HELCOM/OSPAR 2020). </w:t>
      </w:r>
    </w:p>
    <w:p w14:paraId="0C66542C" w14:textId="106555D2" w:rsidR="00ED150D" w:rsidRPr="009D4C49" w:rsidRDefault="00ED150D" w:rsidP="00ED150D">
      <w:pPr>
        <w:spacing w:line="360" w:lineRule="auto"/>
        <w:jc w:val="both"/>
        <w:rPr>
          <w:rFonts w:ascii="Times New Roman" w:hAnsi="Times New Roman" w:cs="Times New Roman"/>
          <w:sz w:val="24"/>
          <w:szCs w:val="24"/>
        </w:rPr>
      </w:pPr>
      <w:r w:rsidRPr="009D4C49">
        <w:rPr>
          <w:rFonts w:ascii="Times New Roman" w:hAnsi="Times New Roman" w:cs="Times New Roman"/>
          <w:sz w:val="24"/>
          <w:szCs w:val="24"/>
        </w:rPr>
        <w:t xml:space="preserve">The salinity, temperature and/or hypoxia experienced by individual simulated pelagic life stages can be included in the biophysical model by keeping track of </w:t>
      </w:r>
      <w:r w:rsidR="00A8523E" w:rsidRPr="009D4C49">
        <w:rPr>
          <w:rFonts w:ascii="Times New Roman" w:hAnsi="Times New Roman" w:cs="Times New Roman"/>
          <w:sz w:val="24"/>
          <w:szCs w:val="24"/>
        </w:rPr>
        <w:t>e.g.,</w:t>
      </w:r>
      <w:r w:rsidRPr="009D4C49">
        <w:rPr>
          <w:rFonts w:ascii="Times New Roman" w:hAnsi="Times New Roman" w:cs="Times New Roman"/>
          <w:sz w:val="24"/>
          <w:szCs w:val="24"/>
        </w:rPr>
        <w:t xml:space="preserve"> the minimum and maximum exposure during drift (Lett et al. 2010, Hansen &amp; Christensen 2018, Pastor-Rollan et al. 2023) and/or the duration and frequency of exceedance. Simulated pelagic life stages can, as a simple assumption, be considered dead if thresholds are exceeded. Alternatively, to explicitly including the exposures in the biophysical model, general knowledge on salinity and temperature (</w:t>
      </w:r>
      <w:proofErr w:type="gramStart"/>
      <w:r w:rsidRPr="009D4C49">
        <w:rPr>
          <w:rFonts w:ascii="Times New Roman" w:hAnsi="Times New Roman" w:cs="Times New Roman"/>
          <w:sz w:val="24"/>
          <w:szCs w:val="24"/>
        </w:rPr>
        <w:t>e.g.</w:t>
      </w:r>
      <w:proofErr w:type="gramEnd"/>
      <w:r w:rsidRPr="009D4C49">
        <w:rPr>
          <w:rFonts w:ascii="Times New Roman" w:hAnsi="Times New Roman" w:cs="Times New Roman"/>
          <w:sz w:val="24"/>
          <w:szCs w:val="24"/>
        </w:rPr>
        <w:t xml:space="preserve"> measurements or maps) may be considered as part of the qualitative interpretation of the connectivity analysis results. </w:t>
      </w:r>
    </w:p>
    <w:p w14:paraId="2E5578E9" w14:textId="047211DE" w:rsidR="00ED150D" w:rsidRPr="009D4C49" w:rsidRDefault="00ED150D" w:rsidP="00ED150D">
      <w:pPr>
        <w:spacing w:line="360" w:lineRule="auto"/>
        <w:jc w:val="both"/>
        <w:rPr>
          <w:rFonts w:ascii="Times New Roman" w:hAnsi="Times New Roman" w:cs="Times New Roman"/>
          <w:i/>
          <w:iCs/>
          <w:sz w:val="24"/>
          <w:szCs w:val="24"/>
        </w:rPr>
      </w:pPr>
      <w:r w:rsidRPr="009D4C49">
        <w:rPr>
          <w:rFonts w:ascii="Times New Roman" w:hAnsi="Times New Roman" w:cs="Times New Roman"/>
          <w:i/>
          <w:iCs/>
          <w:sz w:val="24"/>
          <w:szCs w:val="24"/>
        </w:rPr>
        <w:t>Dispersion</w:t>
      </w:r>
    </w:p>
    <w:p w14:paraId="4CB7CB44" w14:textId="123C4CA8" w:rsidR="00ED150D" w:rsidRPr="009D4C49" w:rsidRDefault="00ED150D" w:rsidP="00ED150D">
      <w:pPr>
        <w:spacing w:line="360" w:lineRule="auto"/>
        <w:jc w:val="both"/>
        <w:rPr>
          <w:rFonts w:ascii="Times New Roman" w:hAnsi="Times New Roman" w:cs="Times New Roman"/>
          <w:sz w:val="24"/>
          <w:szCs w:val="24"/>
        </w:rPr>
      </w:pPr>
      <w:r w:rsidRPr="009D4C49">
        <w:rPr>
          <w:rFonts w:ascii="Times New Roman" w:hAnsi="Times New Roman" w:cs="Times New Roman"/>
          <w:sz w:val="24"/>
          <w:szCs w:val="24"/>
        </w:rPr>
        <w:t>Dispersion, also referred to as diffusivity, may be included in biophysical models to account for hydrodynamic processes unresolved by the spatial discretisation (</w:t>
      </w:r>
      <w:proofErr w:type="gramStart"/>
      <w:r w:rsidRPr="009D4C49">
        <w:rPr>
          <w:rFonts w:ascii="Times New Roman" w:hAnsi="Times New Roman" w:cs="Times New Roman"/>
          <w:sz w:val="24"/>
          <w:szCs w:val="24"/>
        </w:rPr>
        <w:t>i.e.</w:t>
      </w:r>
      <w:proofErr w:type="gramEnd"/>
      <w:r w:rsidRPr="009D4C49">
        <w:rPr>
          <w:rFonts w:ascii="Times New Roman" w:hAnsi="Times New Roman" w:cs="Times New Roman"/>
          <w:sz w:val="24"/>
          <w:szCs w:val="24"/>
        </w:rPr>
        <w:t xml:space="preserve"> the computational grid) of the hydrodynamic model. While unresolved hydrographic conditions may be highly variable within the study area represented by eddies, fronts or more stable flow dynamics, most biophysical model apply constant horizontal and vertical dispersion coefficients. Horizontal dispersion coefficients applied range between </w:t>
      </w:r>
      <w:proofErr w:type="spellStart"/>
      <w:r w:rsidRPr="009D4C49">
        <w:rPr>
          <w:rFonts w:ascii="Times New Roman" w:hAnsi="Times New Roman" w:cs="Times New Roman"/>
          <w:sz w:val="24"/>
          <w:szCs w:val="24"/>
        </w:rPr>
        <w:t>between</w:t>
      </w:r>
      <w:proofErr w:type="spellEnd"/>
      <w:r w:rsidRPr="009D4C49">
        <w:rPr>
          <w:rFonts w:ascii="Times New Roman" w:hAnsi="Times New Roman" w:cs="Times New Roman"/>
          <w:sz w:val="24"/>
          <w:szCs w:val="24"/>
        </w:rPr>
        <w:t xml:space="preserve"> 0 and 100 m2/s, with most studies applying values between 1-10 m2/s (</w:t>
      </w:r>
      <w:proofErr w:type="gramStart"/>
      <w:r w:rsidRPr="009D4C49">
        <w:rPr>
          <w:rFonts w:ascii="Times New Roman" w:hAnsi="Times New Roman" w:cs="Times New Roman"/>
          <w:sz w:val="24"/>
          <w:szCs w:val="24"/>
        </w:rPr>
        <w:t>e.g.</w:t>
      </w:r>
      <w:proofErr w:type="gramEnd"/>
      <w:r w:rsidRPr="009D4C49">
        <w:rPr>
          <w:rFonts w:ascii="Times New Roman" w:hAnsi="Times New Roman" w:cs="Times New Roman"/>
          <w:sz w:val="24"/>
          <w:szCs w:val="24"/>
        </w:rPr>
        <w:t xml:space="preserve"> Peliz et al. 2007, Rossi et al. 2014, Brennan et al. 2019, Hinata et al. 2020). Vertical dispersion coefficient may be in the order of 0.001 to 0.01 m2/s (Visser 1997).</w:t>
      </w:r>
    </w:p>
    <w:p w14:paraId="10DD1C81" w14:textId="77777777" w:rsidR="00930CD9" w:rsidRPr="009D4C49" w:rsidRDefault="00930CD9" w:rsidP="00ED150D">
      <w:pPr>
        <w:spacing w:line="360" w:lineRule="auto"/>
        <w:jc w:val="both"/>
        <w:rPr>
          <w:rFonts w:ascii="Times New Roman" w:hAnsi="Times New Roman" w:cs="Times New Roman"/>
          <w:sz w:val="24"/>
          <w:szCs w:val="24"/>
        </w:rPr>
      </w:pPr>
    </w:p>
    <w:p w14:paraId="35BB8C03" w14:textId="3294200D" w:rsidR="00394AAF" w:rsidRPr="009D4C49" w:rsidRDefault="00394AAF">
      <w:pPr>
        <w:rPr>
          <w:rFonts w:ascii="Times New Roman" w:hAnsi="Times New Roman" w:cs="Times New Roman"/>
          <w:sz w:val="24"/>
          <w:szCs w:val="24"/>
        </w:rPr>
      </w:pPr>
    </w:p>
    <w:sectPr w:rsidR="00394AAF" w:rsidRPr="009D4C49">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00FA"/>
    <w:rsid w:val="00006B76"/>
    <w:rsid w:val="000347C6"/>
    <w:rsid w:val="000512F4"/>
    <w:rsid w:val="000F7B1E"/>
    <w:rsid w:val="00293318"/>
    <w:rsid w:val="003700FA"/>
    <w:rsid w:val="00394AAF"/>
    <w:rsid w:val="003C2CFD"/>
    <w:rsid w:val="0042653A"/>
    <w:rsid w:val="004A0EF1"/>
    <w:rsid w:val="004E34FC"/>
    <w:rsid w:val="00920DE9"/>
    <w:rsid w:val="00930CD9"/>
    <w:rsid w:val="009B2E1A"/>
    <w:rsid w:val="009C5A38"/>
    <w:rsid w:val="009D4C49"/>
    <w:rsid w:val="009F4661"/>
    <w:rsid w:val="00A8523E"/>
    <w:rsid w:val="00AA57A5"/>
    <w:rsid w:val="00AE4D30"/>
    <w:rsid w:val="00B86ED2"/>
    <w:rsid w:val="00C163C2"/>
    <w:rsid w:val="00D724F5"/>
    <w:rsid w:val="00EC5B9B"/>
    <w:rsid w:val="00ED150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374726"/>
  <w15:chartTrackingRefBased/>
  <w15:docId w15:val="{2ED47933-7D22-424A-9912-19D730115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5B9B"/>
    <w:rPr>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EC5B9B"/>
    <w:rPr>
      <w:sz w:val="16"/>
      <w:szCs w:val="16"/>
    </w:rPr>
  </w:style>
  <w:style w:type="paragraph" w:styleId="CommentText">
    <w:name w:val="annotation text"/>
    <w:basedOn w:val="Normal"/>
    <w:link w:val="CommentTextChar"/>
    <w:uiPriority w:val="99"/>
    <w:unhideWhenUsed/>
    <w:rsid w:val="00EC5B9B"/>
    <w:pPr>
      <w:spacing w:line="240" w:lineRule="auto"/>
    </w:pPr>
    <w:rPr>
      <w:rFonts w:ascii="Calibri" w:eastAsia="Calibri" w:hAnsi="Calibri" w:cs="Times New Roman"/>
      <w:kern w:val="0"/>
      <w:sz w:val="20"/>
      <w:szCs w:val="20"/>
      <w:lang w:val="en-GB"/>
      <w14:ligatures w14:val="none"/>
    </w:rPr>
  </w:style>
  <w:style w:type="character" w:customStyle="1" w:styleId="CommentTextChar">
    <w:name w:val="Comment Text Char"/>
    <w:basedOn w:val="DefaultParagraphFont"/>
    <w:link w:val="CommentText"/>
    <w:uiPriority w:val="99"/>
    <w:rsid w:val="00EC5B9B"/>
    <w:rPr>
      <w:rFonts w:ascii="Calibri" w:eastAsia="Calibri" w:hAnsi="Calibri" w:cs="Times New Roman"/>
      <w:kern w:val="0"/>
      <w:sz w:val="20"/>
      <w:szCs w:val="20"/>
      <w:lang w:val="en-GB"/>
      <w14:ligatures w14:val="none"/>
    </w:rPr>
  </w:style>
  <w:style w:type="paragraph" w:styleId="Title">
    <w:name w:val="Title"/>
    <w:basedOn w:val="Normal"/>
    <w:next w:val="Normal"/>
    <w:link w:val="TitleChar"/>
    <w:uiPriority w:val="10"/>
    <w:qFormat/>
    <w:rsid w:val="00EC5B9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5B9B"/>
    <w:rPr>
      <w:rFonts w:asciiTheme="majorHAnsi" w:eastAsiaTheme="majorEastAsia" w:hAnsiTheme="majorHAnsi" w:cstheme="majorBidi"/>
      <w:spacing w:val="-10"/>
      <w:kern w:val="28"/>
      <w:sz w:val="56"/>
      <w:szCs w:val="56"/>
      <w:lang w:val="en-AU"/>
    </w:rPr>
  </w:style>
  <w:style w:type="table" w:styleId="PlainTable2">
    <w:name w:val="Plain Table 2"/>
    <w:basedOn w:val="TableNormal"/>
    <w:uiPriority w:val="42"/>
    <w:rsid w:val="00AE4D3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B86ED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611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3</Pages>
  <Words>930</Words>
  <Characters>5680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Flemming Thorbjorn Hansen</dc:creator>
  <cp:keywords/>
  <dc:description/>
  <cp:lastModifiedBy>Flemming Thorbjorn Hansen</cp:lastModifiedBy>
  <cp:revision>15</cp:revision>
  <dcterms:created xsi:type="dcterms:W3CDTF">2023-12-28T05:09:00Z</dcterms:created>
  <dcterms:modified xsi:type="dcterms:W3CDTF">2024-01-02T15:24:00Z</dcterms:modified>
</cp:coreProperties>
</file>