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Supplementary Information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Russian olive distribution and invasion dynamics along the Powder River, Montana and Wyoming, USA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S1. Remote Sensing of Russian Olive Cover </w:t>
      </w:r>
    </w:p>
    <w:p w:rsidR="00000000" w:rsidDel="00000000" w:rsidP="00000000" w:rsidRDefault="00000000" w:rsidRPr="00000000" w14:paraId="00000004">
      <w:pPr>
        <w:spacing w:after="160" w:line="256.7994545454545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3066743" cy="3433958"/>
            <wp:effectExtent b="0" l="0" r="0" t="0"/>
            <wp:docPr id="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66743" cy="343395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6214836" cy="2509838"/>
            <wp:effectExtent b="0" l="0" r="0" t="0"/>
            <wp:docPr id="3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14836" cy="25098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56.7994545454545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6.799454545454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Figure S1.1 A)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Variable importance plot for the remote sensing of Russian olive cover using the random forest algorithm. These are the six predictor variables used in the model, and their importance (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FA_TCG =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Fall tasseled cap greenness, SMmSP_TCB_diff = Tasseled cap brightness summer to spring difference, SP_TCW= Spring tasseled cap wetness, SMmFA_TCB_diff = Tasseled cap brightness summer to fall difference, FA_TCB = Fall tasseled cap brightness, and SMmSP_TCW_diff = Tasseled cap wetness summer to spring difference). The y-axis depicts the mean squared error (i.e. how much our model accuracy decreases if we leave out that variable).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B)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op three predictors and their partial dependence plots showing predicted Russian olive cover on the y-axis and the value of the predictor on the x-axis. 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Table S1.1</w:t>
      </w:r>
    </w:p>
    <w:tbl>
      <w:tblPr>
        <w:tblStyle w:val="Table1"/>
        <w:tblW w:w="1228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800"/>
        <w:gridCol w:w="3450"/>
        <w:gridCol w:w="4035"/>
        <w:tblGridChange w:id="0">
          <w:tblGrid>
            <w:gridCol w:w="4800"/>
            <w:gridCol w:w="3450"/>
            <w:gridCol w:w="403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Predictor Variable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Sensor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Citation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Elevation, northness, eastness, slope, landform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Shuttle Radar Topography Mission (SRTM)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National Elevation Dataset (Gesch et al., 2002)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Multi-scale topographic position index (MTPI)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Shuttle Radar Topography Mission (SRTM)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Weiss, 2001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Continuous heat-insolation load index (Chili)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Shuttle Radar Topography Mission (SRTM)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Weiss, 2001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Topographic diversity (TDIV)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Shuttle Radar Topography Mission (SRTM)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Weiss, 2001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PHYSD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Shuttle Radar Topography Mission (SRTM)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Weiss, 2001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rtl w:val="0"/>
              </w:rPr>
              <w:t xml:space="preserve">Normalized Difference Moisture Index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rtl w:val="0"/>
              </w:rPr>
              <w:t xml:space="preserve">(NDMI: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rtl w:val="0"/>
              </w:rPr>
              <w:t xml:space="preserve"> spring, summer, fall, summer to fall difference, summer to spring difference)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rtl w:val="0"/>
              </w:rPr>
              <w:t xml:space="preserve">Sentinel-2 MSI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rtl w:val="0"/>
              </w:rPr>
              <w:t xml:space="preserve">McFeeters, 1996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Normalized Difference Vegetation Index (NDVI: spring, summer, fall, summer to spring difference, summer to fall difference)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rtl w:val="0"/>
              </w:rPr>
              <w:t xml:space="preserve">Sentinel-2 MSI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rtl w:val="0"/>
              </w:rPr>
              <w:t xml:space="preserve">Kriegler et al, 1969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Normalized burn ratio (NBR: spring, summer, fall, summer to spring difference, summer to fall difference)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rtl w:val="0"/>
              </w:rPr>
              <w:t xml:space="preserve">Sentinel-2 MSI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rtl w:val="0"/>
              </w:rPr>
              <w:t xml:space="preserve">Key and Benson 2006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Shortwave infrared 1 band (SWIR1: spring, summer, fall)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rtl w:val="0"/>
              </w:rPr>
              <w:t xml:space="preserve">Sentinel-2 MSI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Copernicus Sentinel data, 2020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Shortwave infrared 2 band (SWIR2: spring, summer, fall)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rtl w:val="0"/>
              </w:rPr>
              <w:t xml:space="preserve">Sentinel-2 MSI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Copernicus Sentinel data, 2020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Tasseled cap greenness (TCG: spring, summer, fall, summer to spring difference, summer to fall difference)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rtl w:val="0"/>
              </w:rPr>
              <w:t xml:space="preserve">Sentinel-2 MSI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rtl w:val="0"/>
              </w:rPr>
              <w:t xml:space="preserve">Shi and Xu, 2019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Tasseled cap brightness (TCB: spring, summer, fall, summer to spring difference, summer to fall difference)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rtl w:val="0"/>
              </w:rPr>
              <w:t xml:space="preserve">Sentinel-2 MSI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rtl w:val="0"/>
              </w:rPr>
              <w:t xml:space="preserve">Shi and Xu, 2019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Tasseled cap wetness (TCW: spring, summer, fall, summer to spring difference, summer to fall difference)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rtl w:val="0"/>
              </w:rPr>
              <w:t xml:space="preserve">Sentinel-2 MSI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rtl w:val="0"/>
              </w:rPr>
              <w:t xml:space="preserve">Shi and Xu, 2019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Narrow Near Infrared (NarrowNIR: Summer, fall, spring)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rtl w:val="0"/>
              </w:rPr>
              <w:t xml:space="preserve">Sentinel-2 MSI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Copernicus Sentinel data, 2020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Near Infrared (NIR: summer, fall, spring)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rtl w:val="0"/>
              </w:rPr>
              <w:t xml:space="preserve">Sentinel-2 MSI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Copernicus Sentinel data, 2020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Simple Ratio (SR: spring, summer, fall, summer to spring difference, summer to fall difference)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rtl w:val="0"/>
              </w:rPr>
              <w:t xml:space="preserve">Sentinel-2 MSI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Copernicus Sentinel data, 2020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Green band (spring, summer, fall)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rtl w:val="0"/>
              </w:rPr>
              <w:t xml:space="preserve">Sentinel-2 MSI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Copernicus Sentinel data, 2020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Blue band (spring, summer, fall)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rtl w:val="0"/>
              </w:rPr>
              <w:t xml:space="preserve">Sentinel-2 MSI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Copernicus Sentinel data, 2020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Red band (spring, summer, fall)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rtl w:val="0"/>
              </w:rPr>
              <w:t xml:space="preserve">Sentinel-2 MSI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Copernicus Sentinel data, 2020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Red Edge 1 (fall, spring, summer)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rtl w:val="0"/>
              </w:rPr>
              <w:t xml:space="preserve">Sentinel-2 MSI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Copernicus Sentinel data, 202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Red Edge 2 (fall, spring, summer)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rtl w:val="0"/>
              </w:rPr>
              <w:t xml:space="preserve">Sentinel-2 MSI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Copernicus Sentinel data, 2020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Red Edge 3 (fall, spring, summer)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rtl w:val="0"/>
              </w:rPr>
              <w:t xml:space="preserve">Sentinel-2 MSI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Copernicus Sentinel data, 2020</w:t>
            </w:r>
          </w:p>
        </w:tc>
      </w:tr>
    </w:tbl>
    <w:p w:rsidR="00000000" w:rsidDel="00000000" w:rsidP="00000000" w:rsidRDefault="00000000" w:rsidRPr="00000000" w14:paraId="0000005B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40" w:lineRule="auto"/>
        <w:rPr>
          <w:rFonts w:ascii="Times New Roman" w:cs="Times New Roman" w:eastAsia="Times New Roman" w:hAnsi="Times New Roman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Table S1.2.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Table of variables from the cropland data layer that were not masked from the final model. All other cropland data layer values were masked from the final model.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highlight w:val="yellow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2"/>
        <w:tblW w:w="97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70"/>
        <w:gridCol w:w="6750"/>
        <w:tblGridChange w:id="0">
          <w:tblGrid>
            <w:gridCol w:w="2970"/>
            <w:gridCol w:w="6750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Cropland Data Layer Value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Land Cover Classification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“61”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Fallow/Idle Cropland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“63”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Forest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“64”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Shrubland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“65”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Barren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"81"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Clouds/No Data</w:t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“82”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Developed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"83"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Water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"87"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Wetlands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"88"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Nonag/Undefined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"92"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Aquaculture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"111"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Open Water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"112"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Perennial Ice/Snow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"121"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Developed/Open Space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"122"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Developed/Low Intensity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"123"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Developed/Med Intensity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"124"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Developed/High Intensity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"131"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Barren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"141"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Deciduous Forest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"142"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Evergreen Forest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"143"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Mixed Forest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“152”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Shrubland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“176”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Grassland/Pasture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“190”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Woody Wetlands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“195”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Herbaceous Wetlands</w:t>
            </w:r>
          </w:p>
        </w:tc>
      </w:tr>
    </w:tbl>
    <w:p w:rsidR="00000000" w:rsidDel="00000000" w:rsidP="00000000" w:rsidRDefault="00000000" w:rsidRPr="00000000" w14:paraId="00000098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S2.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Grouping Analysis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Table S2.1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Grouping analysis results from field-collected data showing mean and standard deviation (Std. Dev.) and partial R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for field-collected percent cover data, showing the results by group. Conducted in ArcGIS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k-means grouping analysis. </w:t>
      </w:r>
    </w:p>
    <w:p w:rsidR="00000000" w:rsidDel="00000000" w:rsidP="00000000" w:rsidRDefault="00000000" w:rsidRPr="00000000" w14:paraId="000000B0">
      <w:pPr>
        <w:spacing w:after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</w:rPr>
        <w:drawing>
          <wp:inline distB="114300" distT="114300" distL="114300" distR="114300">
            <wp:extent cx="2551932" cy="4681538"/>
            <wp:effectExtent b="0" l="0" r="0" t="0"/>
            <wp:docPr id="5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51932" cy="46815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24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943600" cy="382270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Figure S2.2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Pseudo F-Statistic as a function of number of groups from cluster analysis, showing three groups as the optimal number. Used to determine groups in Table S3.1.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S3. Habitat Suitability Model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line="240" w:lineRule="auto"/>
        <w:rPr>
          <w:rFonts w:ascii="Times New Roman" w:cs="Times New Roman" w:eastAsia="Times New Roman" w:hAnsi="Times New Roman"/>
          <w:b w:val="1"/>
          <w:highlight w:val="gree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Table S3.1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Spearman ranked c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orrelation coefficients for variables considered in the habitat suitability model, colored by correlation value.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</w:rPr>
        <w:drawing>
          <wp:inline distB="114300" distT="114300" distL="114300" distR="114300">
            <wp:extent cx="8229600" cy="2400300"/>
            <wp:effectExtent b="0" l="0" r="0" t="0"/>
            <wp:docPr id="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2400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Table S3.2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AICc criteria for model predicting percent Russian olive cover showing AICc, delta AICc, AICc Weight, Cumulative Weight, and Log-Likehood (LL) and candidate models. Those with delta AICc less than 3 are considered most probable.</w:t>
      </w:r>
    </w:p>
    <w:p w:rsidR="00000000" w:rsidDel="00000000" w:rsidP="00000000" w:rsidRDefault="00000000" w:rsidRPr="00000000" w14:paraId="000000D2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288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85"/>
        <w:gridCol w:w="930"/>
        <w:gridCol w:w="1110"/>
        <w:gridCol w:w="840"/>
        <w:gridCol w:w="795"/>
        <w:gridCol w:w="780"/>
        <w:gridCol w:w="795"/>
        <w:gridCol w:w="1245"/>
        <w:gridCol w:w="255"/>
        <w:gridCol w:w="1395"/>
        <w:gridCol w:w="255"/>
        <w:gridCol w:w="1260"/>
        <w:gridCol w:w="225"/>
        <w:gridCol w:w="930"/>
        <w:gridCol w:w="195"/>
        <w:gridCol w:w="1590"/>
        <w:tblGridChange w:id="0">
          <w:tblGrid>
            <w:gridCol w:w="285"/>
            <w:gridCol w:w="930"/>
            <w:gridCol w:w="1110"/>
            <w:gridCol w:w="840"/>
            <w:gridCol w:w="795"/>
            <w:gridCol w:w="780"/>
            <w:gridCol w:w="795"/>
            <w:gridCol w:w="1245"/>
            <w:gridCol w:w="255"/>
            <w:gridCol w:w="1395"/>
            <w:gridCol w:w="255"/>
            <w:gridCol w:w="1260"/>
            <w:gridCol w:w="225"/>
            <w:gridCol w:w="930"/>
            <w:gridCol w:w="195"/>
            <w:gridCol w:w="1590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AICc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Delta_AICc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AICcWt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Cum.Wt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LL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Number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Independent Variable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Model Parameters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1502.26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-741.91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Elevation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Soil Type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1502.57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-741.02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Elevation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Soil Type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mean Temperature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1502.91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-741.19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Elevation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Soil Type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min Temperature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1503.51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-741.49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Elevation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Soil Type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max Temperature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1505.61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3.34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-748.76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Elevation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1505.79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3.53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-742.63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Solar Radiation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Soil Type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min Temperature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1506.57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-744.06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Solar Radiation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Soil Type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1508.47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-743.97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Solar Radiation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Soil Type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mean Temperature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1508.52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6.26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-743.99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Solar Radiation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Soil Type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max Temperature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1508.91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6.65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-747.32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Elevation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Land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1509.35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-747.54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Solar Radiation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Land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1509.89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7.62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-746.77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Solar Radiation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Land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max Temperature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1510.38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-747.02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Solar Radiation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Land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mean Temperature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1510.68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8.42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-747.17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Elevation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Land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mean Temperature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1510.73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8.47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-747.19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Elevation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Land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max Temperature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1510.87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-747.26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Elevation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Land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min Temperature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1511.43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-747.54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Solar Radiation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Land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min Temperature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1511.75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9.48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-747.7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Elevation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Soil Type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1516.24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13.98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-750.99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Depth to Groundwater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Land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1517.28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-755.61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Elevation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1517.87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-750.76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Depth to Groundwater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Land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max Temperature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15.74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-750.83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Depth to Groundwater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Land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min Temperature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1518.23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15.97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-750.94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Depth to Groundwater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Land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mean Temperature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1518.32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-755.11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Elevation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max Temperature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1518.93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16.67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-755.42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Elevation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mean Temperature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1519.15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16.89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-755.53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Elevation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min Temperature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1520.51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-754.15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Elevation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Land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1522.84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-757.37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Solar Radiation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max Temperature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1523.06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-753.36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Solar Radiation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Soil Type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1524.34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22.08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-759.14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Solar Radiation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D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1525.03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22.77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-756.41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Solar Radiation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Land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1525.04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22.78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-756.42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Land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1525.25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22.99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-758.58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Solar Radiation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mean Temperature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F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F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F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F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F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1525.38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F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23.12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F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F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F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-758.64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F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F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F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F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Solar Radiation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F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F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min Temperature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F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0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0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0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0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0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1525.61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0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23.35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0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0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0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-758.76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0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0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0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0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0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0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Depth to Groundwater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0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1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1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1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1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1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1532.69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1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30.43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1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1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1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-760.24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1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1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1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1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Depth to Groundwater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1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1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Land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1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2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2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2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2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2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1532.76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2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30.49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2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2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2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-756.11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2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2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2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2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2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2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Depth to Groundwater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2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3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Soil Type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3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3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min Temperature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3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3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1534.55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3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32.29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3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3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3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-758.06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3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3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3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3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3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3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Depth to Groundwater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3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4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Soil Type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4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4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4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4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1536.05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4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33.79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4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4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4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-757.76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4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4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4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4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4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4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Depth to Groundwater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4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5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Soil Type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5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5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mean Temperature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5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5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1536.64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5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34.38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5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5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5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-758.05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5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5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5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5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5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5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Depth to Groundwater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5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6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Soil Type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6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6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max Temperature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6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6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1538.74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6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36.47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6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6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6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-764.3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6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6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6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6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Land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6D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6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6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7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7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7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7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7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1539.47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7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37.21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7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7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7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-763.64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7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7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7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7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Land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7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7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max Temperature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7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8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8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8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8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8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1539.9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8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37.64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8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8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8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-763.85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8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8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8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8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Land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8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8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mean Temperature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8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9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9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9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9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9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1540.26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9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37.99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9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9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9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-767.1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9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9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9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9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9D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9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9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A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A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A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A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A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1540.8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A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38.53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A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A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A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-764.3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A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A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A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A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Land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A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A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min Temperature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A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B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B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B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B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B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1541.77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B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39.51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B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B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B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-766.84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B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B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B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B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Depth to Groundwater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B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B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min Temperature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B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C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C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C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C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C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1542.23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C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39.97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C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C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C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-767.07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C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C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C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C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C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C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min Temperature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C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D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D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D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D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D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1542.24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D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39.97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D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D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D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-767.07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D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D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D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D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D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D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mean Temperature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D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E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E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E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E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E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1542.28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E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E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E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E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-767.09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E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E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E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E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E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E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max Temperature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E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F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F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F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F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F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1543.97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F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41.71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F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F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F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-763.81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F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F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F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F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Flow Accumulation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F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F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Soil Type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F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0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0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0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0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0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1544.66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0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42.39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0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0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0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-769.3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0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0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0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0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Depth to Groundwater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0D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0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0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1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1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1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1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1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1545.85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1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43.59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1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1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1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-768.88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1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1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1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1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Depth to Groundwater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1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1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max Temperature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1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2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2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2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2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2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1546.65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2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44.38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2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2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2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-769.28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2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2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2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2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Depth to Groundwater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2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2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mean Temperature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2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3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3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3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3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3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1553.05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3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50.78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3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3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3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-768.35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3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3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3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3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Depth to Groundwater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3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3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Soil Type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3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4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4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4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4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4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1556.08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4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53.82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4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4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4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-776.03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4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4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4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4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4D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4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4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5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5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5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5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5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1557.12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5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54.86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5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5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5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-775.53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5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5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5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5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Temperature min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5D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5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5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6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6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6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6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6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1557.81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6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55.55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6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6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6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-775.88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6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6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6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6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Temperature max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6D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6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6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7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7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7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7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7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1558.11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7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55.85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7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7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7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-776.03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7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7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7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7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Temperature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7D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7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7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8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8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8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8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8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1558.99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8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56.73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8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8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8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-771.32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8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8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8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8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Soil Type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8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8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min Temperature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8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9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9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9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9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9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1559.24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9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56.98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9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9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9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-772.49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9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9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9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9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Soil Type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9D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9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9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A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A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A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A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A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1560.57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A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58.31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A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A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A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-772.11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A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A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A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A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Soil Type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A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A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max Temperature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A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B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B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B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B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B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1561.32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B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59.06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B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B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B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-772.49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B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B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Russian Olive Cover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B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~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B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Soil Type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B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B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mean Temperature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B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C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C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C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C3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6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7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8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9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A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B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C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D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E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F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0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1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2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3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4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5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6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7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8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9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A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B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C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D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Table S3.3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Most probable model from Table S3.2 model results shown along with coefficients, estimate, standard deviation, error, and p-values.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F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4026282" cy="2004113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26282" cy="20041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0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1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Residual standard error: 1.42 on 414 degrees of freedom</w:t>
      </w:r>
    </w:p>
    <w:p w:rsidR="00000000" w:rsidDel="00000000" w:rsidP="00000000" w:rsidRDefault="00000000" w:rsidRPr="00000000" w14:paraId="000004E2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Multiple R-squared: 0.15, Adjusted R-squared: 0.14</w:t>
        <w:tab/>
        <w:tab/>
        <w:t xml:space="preserve"> </w:t>
      </w:r>
    </w:p>
    <w:p w:rsidR="00000000" w:rsidDel="00000000" w:rsidP="00000000" w:rsidRDefault="00000000" w:rsidRPr="00000000" w14:paraId="000004E3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F-statistic: 10.38 on 7 and 414 DF, p-value: &lt;0.001. </w:t>
      </w:r>
    </w:p>
    <w:p w:rsidR="00000000" w:rsidDel="00000000" w:rsidP="00000000" w:rsidRDefault="00000000" w:rsidRPr="00000000" w14:paraId="000004E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7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8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9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A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B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C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D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E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F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0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1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2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3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4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5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6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7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References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9">
      <w:pPr>
        <w:spacing w:line="240" w:lineRule="auto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Copernicus Sentinel data (2020) Retrieved from Google Earth Engine [15 June 2021], processed by European Space Agency.</w:t>
      </w:r>
    </w:p>
    <w:p w:rsidR="00000000" w:rsidDel="00000000" w:rsidP="00000000" w:rsidRDefault="00000000" w:rsidRPr="00000000" w14:paraId="000004FA">
      <w:pPr>
        <w:spacing w:line="240" w:lineRule="auto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B">
      <w:pPr>
        <w:spacing w:line="240" w:lineRule="auto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Gesch D, Oimoen M, Greenlee S, Nelson C, Steuck M, Tyler D (2002) The national elevation dataset.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Photogrammetric engineering and remote sensing 68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(1): 5-32.</w:t>
      </w:r>
    </w:p>
    <w:p w:rsidR="00000000" w:rsidDel="00000000" w:rsidP="00000000" w:rsidRDefault="00000000" w:rsidRPr="00000000" w14:paraId="000004FC">
      <w:pPr>
        <w:spacing w:line="240" w:lineRule="auto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D">
      <w:pPr>
        <w:spacing w:line="240" w:lineRule="auto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Key CH and Benson NC (2006) Landscape assessment (LA). FIREMON: Fire effects monitoring and inventory system, 164, LA-1. USDA Forest Service Gen. Tech. Rep. RMRS-GTR-164-CD. </w:t>
      </w:r>
    </w:p>
    <w:p w:rsidR="00000000" w:rsidDel="00000000" w:rsidP="00000000" w:rsidRDefault="00000000" w:rsidRPr="00000000" w14:paraId="000004FE">
      <w:pPr>
        <w:spacing w:line="240" w:lineRule="auto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F">
      <w:pPr>
        <w:spacing w:line="240" w:lineRule="auto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Kriegler FJ, Malila WA, Nalepka RF, Richardson W (1969) Preprocessing transformations and their effect on multispectral recognition.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Remote Sens Environ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 VI:97–132</w:t>
      </w:r>
    </w:p>
    <w:p w:rsidR="00000000" w:rsidDel="00000000" w:rsidP="00000000" w:rsidRDefault="00000000" w:rsidRPr="00000000" w14:paraId="00000500">
      <w:pPr>
        <w:spacing w:line="240" w:lineRule="auto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1">
      <w:pPr>
        <w:spacing w:line="240" w:lineRule="auto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McFeeters SK (1996) The use of the Normalized Difference Water Index (NDWI) in the delineation of open water features.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 International journal of remote sensing 17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(7): 1425-1432.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highlight w:val="white"/>
            <w:rtl w:val="0"/>
          </w:rPr>
          <w:t xml:space="preserve">https://doi.org/10.1080/01431169608948714</w:t>
        </w:r>
      </w:hyperlink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502">
      <w:pPr>
        <w:spacing w:line="240" w:lineRule="auto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3">
      <w:pPr>
        <w:spacing w:line="240" w:lineRule="auto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Shi T and Xu H (2019)Derivation of tasseled cap transformation coefficients for Sentinel-2 MSI At-Sensor Reflectance Data. Journal of Selected Topics in Applied Earth Observations and Remote Sensing 12(10): 4038-4048.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highlight w:val="white"/>
            <w:u w:val="single"/>
            <w:rtl w:val="0"/>
          </w:rPr>
          <w:t xml:space="preserve">https://doi.org/10.1109/JSTARS.2019.2938388</w:t>
        </w:r>
      </w:hyperlink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504">
      <w:pPr>
        <w:spacing w:line="240" w:lineRule="auto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Wilson EH and Sader SA (2002) Detection of forest harvest type using multiple dates of Landsat TM imagery. Remote Sensing of Environment 80: 385-396. 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highlight w:val="white"/>
            <w:u w:val="single"/>
            <w:rtl w:val="0"/>
          </w:rPr>
          <w:t xml:space="preserve">https://doi.org/10.1016/S0034-4257(01)00318-2</w:t>
        </w:r>
      </w:hyperlink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5.png"/><Relationship Id="rId13" Type="http://schemas.openxmlformats.org/officeDocument/2006/relationships/hyperlink" Target="https://doi.org/10.1109/JSTARS.2019.2938388" TargetMode="External"/><Relationship Id="rId12" Type="http://schemas.openxmlformats.org/officeDocument/2006/relationships/hyperlink" Target="https://doi.org/10.1080/01431169608948714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hyperlink" Target="https://doi.org/10.1016/S0034-4257(01)00318-2" TargetMode="Externa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6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