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16E" w:rsidRPr="0070516E" w:rsidRDefault="0070516E" w:rsidP="0070516E">
      <w:pPr>
        <w:spacing w:after="0" w:line="480" w:lineRule="auto"/>
        <w:jc w:val="center"/>
        <w:outlineLvl w:val="0"/>
        <w:rPr>
          <w:rFonts w:ascii="Times New Roman" w:hAnsi="Times New Roman"/>
          <w:sz w:val="24"/>
          <w:szCs w:val="24"/>
          <w:lang w:val="en-GB"/>
        </w:rPr>
      </w:pPr>
      <w:r w:rsidRPr="0070516E">
        <w:rPr>
          <w:rFonts w:ascii="Times New Roman" w:hAnsi="Times New Roman"/>
          <w:sz w:val="24"/>
          <w:szCs w:val="24"/>
          <w:lang w:val="en-GB"/>
        </w:rPr>
        <w:t xml:space="preserve">Appendix </w:t>
      </w:r>
      <w:r w:rsidR="00586158">
        <w:rPr>
          <w:rFonts w:ascii="Times New Roman" w:hAnsi="Times New Roman"/>
          <w:sz w:val="24"/>
          <w:szCs w:val="24"/>
          <w:lang w:val="en-GB"/>
        </w:rPr>
        <w:t>S</w:t>
      </w:r>
      <w:bookmarkStart w:id="0" w:name="_GoBack"/>
      <w:bookmarkEnd w:id="0"/>
      <w:r w:rsidRPr="0070516E">
        <w:rPr>
          <w:rFonts w:ascii="Times New Roman" w:hAnsi="Times New Roman"/>
          <w:sz w:val="24"/>
          <w:szCs w:val="24"/>
          <w:lang w:val="en-GB"/>
        </w:rPr>
        <w:t>2</w:t>
      </w:r>
    </w:p>
    <w:p w:rsidR="0070516E" w:rsidRPr="0070516E" w:rsidRDefault="0070516E" w:rsidP="0070516E">
      <w:pPr>
        <w:spacing w:after="0" w:line="480" w:lineRule="auto"/>
        <w:rPr>
          <w:rFonts w:ascii="Times New Roman" w:hAnsi="Times New Roman"/>
          <w:sz w:val="24"/>
          <w:szCs w:val="24"/>
          <w:lang w:val="en-GB"/>
        </w:rPr>
      </w:pPr>
    </w:p>
    <w:p w:rsidR="00113FC2" w:rsidRPr="00113FC2" w:rsidRDefault="00113FC2" w:rsidP="00113FC2">
      <w:pPr>
        <w:spacing w:after="0" w:line="480" w:lineRule="auto"/>
        <w:jc w:val="both"/>
        <w:rPr>
          <w:rFonts w:ascii="Times New Roman" w:hAnsi="Times New Roman"/>
          <w:i/>
          <w:sz w:val="24"/>
          <w:szCs w:val="24"/>
          <w:lang w:val="en-GB"/>
        </w:rPr>
      </w:pPr>
      <w:proofErr w:type="spellStart"/>
      <w:r w:rsidRPr="00113FC2">
        <w:rPr>
          <w:rFonts w:ascii="Times New Roman" w:hAnsi="Times New Roman"/>
          <w:i/>
          <w:sz w:val="24"/>
          <w:szCs w:val="24"/>
          <w:lang w:val="en-GB"/>
        </w:rPr>
        <w:t>Landcover</w:t>
      </w:r>
      <w:proofErr w:type="spellEnd"/>
      <w:r w:rsidRPr="00113FC2">
        <w:rPr>
          <w:rFonts w:ascii="Times New Roman" w:hAnsi="Times New Roman"/>
          <w:i/>
          <w:sz w:val="24"/>
          <w:szCs w:val="24"/>
          <w:lang w:val="en-GB"/>
        </w:rPr>
        <w:t xml:space="preserve"> and landscape configuration</w:t>
      </w:r>
    </w:p>
    <w:p w:rsidR="00113FC2" w:rsidRPr="00113FC2" w:rsidRDefault="00113FC2" w:rsidP="00113FC2">
      <w:pPr>
        <w:spacing w:after="0" w:line="480" w:lineRule="auto"/>
        <w:jc w:val="both"/>
        <w:rPr>
          <w:rFonts w:ascii="Times New Roman" w:hAnsi="Times New Roman"/>
          <w:sz w:val="24"/>
          <w:szCs w:val="24"/>
          <w:lang w:val="en-GB"/>
        </w:rPr>
      </w:pPr>
      <w:r w:rsidRPr="00113FC2">
        <w:rPr>
          <w:rFonts w:ascii="Times New Roman" w:hAnsi="Times New Roman"/>
          <w:sz w:val="24"/>
          <w:szCs w:val="24"/>
          <w:lang w:val="en-GB"/>
        </w:rPr>
        <w:t xml:space="preserve">Landcover assessment for the close vicinity (50m) buffer around each census plot revealed for the study area around </w:t>
      </w:r>
      <w:proofErr w:type="gramStart"/>
      <w:r w:rsidRPr="00113FC2">
        <w:rPr>
          <w:rFonts w:ascii="Times New Roman" w:hAnsi="Times New Roman"/>
          <w:sz w:val="24"/>
          <w:szCs w:val="24"/>
          <w:lang w:val="en-GB"/>
        </w:rPr>
        <w:t>Chawia, that</w:t>
      </w:r>
      <w:proofErr w:type="gramEnd"/>
      <w:r w:rsidRPr="00113FC2">
        <w:rPr>
          <w:rFonts w:ascii="Times New Roman" w:hAnsi="Times New Roman"/>
          <w:sz w:val="24"/>
          <w:szCs w:val="24"/>
          <w:lang w:val="en-GB"/>
        </w:rPr>
        <w:t xml:space="preserve"> around census plots the majority of landcover category was natural forest (25.52%), followed by cropland (19.82%) and mixed forest (18.09%). For the census plots in Ndiwenyi the three major landcover categories were mixed forest (32.02%), bushland (19.98% and cropland (14.47%) and in Fururu majority is surrounded by mixed forest (23.63%), bushland (23.30%) and cropland (13</w:t>
      </w:r>
      <w:proofErr w:type="gramStart"/>
      <w:r w:rsidRPr="00113FC2">
        <w:rPr>
          <w:rFonts w:ascii="Times New Roman" w:hAnsi="Times New Roman"/>
          <w:sz w:val="24"/>
          <w:szCs w:val="24"/>
          <w:lang w:val="en-GB"/>
        </w:rPr>
        <w:t>,54</w:t>
      </w:r>
      <w:proofErr w:type="gramEnd"/>
      <w:r w:rsidRPr="00113FC2">
        <w:rPr>
          <w:rFonts w:ascii="Times New Roman" w:hAnsi="Times New Roman"/>
          <w:sz w:val="24"/>
          <w:szCs w:val="24"/>
          <w:lang w:val="en-GB"/>
        </w:rPr>
        <w:t xml:space="preserve">%). Considering the preselected habitat types the majority of census plots in agricultural land </w:t>
      </w:r>
      <w:proofErr w:type="gramStart"/>
      <w:r w:rsidRPr="00113FC2">
        <w:rPr>
          <w:rFonts w:ascii="Times New Roman" w:hAnsi="Times New Roman"/>
          <w:sz w:val="24"/>
          <w:szCs w:val="24"/>
          <w:lang w:val="en-GB"/>
        </w:rPr>
        <w:t>are surrounded</w:t>
      </w:r>
      <w:proofErr w:type="gramEnd"/>
      <w:r w:rsidRPr="00113FC2">
        <w:rPr>
          <w:rFonts w:ascii="Times New Roman" w:hAnsi="Times New Roman"/>
          <w:sz w:val="24"/>
          <w:szCs w:val="24"/>
          <w:lang w:val="en-GB"/>
        </w:rPr>
        <w:t xml:space="preserve"> by cropland (36.97%), bushland (34.06%) and mixed forest (10.47%). Forest fragments </w:t>
      </w:r>
      <w:proofErr w:type="gramStart"/>
      <w:r w:rsidRPr="00113FC2">
        <w:rPr>
          <w:rFonts w:ascii="Times New Roman" w:hAnsi="Times New Roman"/>
          <w:sz w:val="24"/>
          <w:szCs w:val="24"/>
          <w:lang w:val="en-GB"/>
        </w:rPr>
        <w:t>were surrounded</w:t>
      </w:r>
      <w:proofErr w:type="gramEnd"/>
      <w:r w:rsidRPr="00113FC2">
        <w:rPr>
          <w:rFonts w:ascii="Times New Roman" w:hAnsi="Times New Roman"/>
          <w:sz w:val="24"/>
          <w:szCs w:val="24"/>
          <w:lang w:val="en-GB"/>
        </w:rPr>
        <w:t xml:space="preserve"> by natural forest (51.8%), mixed and exotic forests (20.77% and 20.41% resp). Overall, within the 50m radius of census plots the three major landcover categories were mixed forest (23.08%), natural forest (18.95%) and bushland (18.05%).</w:t>
      </w:r>
    </w:p>
    <w:p w:rsidR="00113FC2" w:rsidRPr="00113FC2" w:rsidRDefault="00113FC2" w:rsidP="00113FC2">
      <w:pPr>
        <w:spacing w:after="0" w:line="480" w:lineRule="auto"/>
        <w:jc w:val="both"/>
        <w:rPr>
          <w:rFonts w:ascii="Times New Roman" w:hAnsi="Times New Roman"/>
          <w:sz w:val="24"/>
          <w:szCs w:val="24"/>
          <w:lang w:val="en-GB"/>
        </w:rPr>
      </w:pPr>
      <w:r w:rsidRPr="00113FC2">
        <w:rPr>
          <w:rFonts w:ascii="Times New Roman" w:hAnsi="Times New Roman"/>
          <w:sz w:val="24"/>
          <w:szCs w:val="24"/>
          <w:lang w:val="en-GB"/>
        </w:rPr>
        <w:t xml:space="preserve">Considering the wider area around the census plots the major landcover categories in Chawia and Ndiwenyi area were bushland (26.33% and 26.73%), mixed forest (22.60% and 23.04%) and cropland (18.78% and 17.30% resp.). For Fururu the analysis showed the categories of bushland (27.65%), cropland (17.15%) and mixed forest (16.79%) as the dominant landcover categories. Regarding the preselection all habitat types showed similar majorities in landcover categories, dominated by bushland. Besides for census plots in agricultural land the second and third most dominant categories were mixed forest and cropland category. Only for agricultural </w:t>
      </w:r>
      <w:proofErr w:type="gramStart"/>
      <w:r w:rsidRPr="00113FC2">
        <w:rPr>
          <w:rFonts w:ascii="Times New Roman" w:hAnsi="Times New Roman"/>
          <w:sz w:val="24"/>
          <w:szCs w:val="24"/>
          <w:lang w:val="en-GB"/>
        </w:rPr>
        <w:t>land</w:t>
      </w:r>
      <w:proofErr w:type="gramEnd"/>
      <w:r w:rsidRPr="00113FC2">
        <w:rPr>
          <w:rFonts w:ascii="Times New Roman" w:hAnsi="Times New Roman"/>
          <w:sz w:val="24"/>
          <w:szCs w:val="24"/>
          <w:lang w:val="en-GB"/>
        </w:rPr>
        <w:t xml:space="preserve"> the category cropland was ranked above mixed forest category (details see Tab 4).</w:t>
      </w:r>
    </w:p>
    <w:p w:rsidR="00113FC2" w:rsidRPr="00113FC2" w:rsidRDefault="00113FC2" w:rsidP="00113FC2">
      <w:pPr>
        <w:spacing w:after="0" w:line="480" w:lineRule="auto"/>
        <w:jc w:val="both"/>
        <w:rPr>
          <w:rFonts w:ascii="Times New Roman" w:hAnsi="Times New Roman"/>
          <w:sz w:val="24"/>
          <w:szCs w:val="24"/>
          <w:lang w:val="en-GB"/>
        </w:rPr>
      </w:pPr>
    </w:p>
    <w:p w:rsidR="00113FC2" w:rsidRPr="00113FC2" w:rsidRDefault="00113FC2" w:rsidP="00113FC2">
      <w:pPr>
        <w:spacing w:after="0" w:line="480" w:lineRule="auto"/>
        <w:jc w:val="both"/>
        <w:rPr>
          <w:rFonts w:ascii="Times New Roman" w:hAnsi="Times New Roman"/>
          <w:sz w:val="24"/>
          <w:szCs w:val="24"/>
          <w:lang w:val="en-GB"/>
        </w:rPr>
      </w:pPr>
      <w:r w:rsidRPr="00113FC2">
        <w:rPr>
          <w:rFonts w:ascii="Times New Roman" w:hAnsi="Times New Roman"/>
          <w:sz w:val="24"/>
          <w:szCs w:val="24"/>
          <w:lang w:val="en-GB"/>
        </w:rPr>
        <w:t xml:space="preserve">Based on landcover classification analyses on landscape configuration in terms of fragmentation and physical connectedness </w:t>
      </w:r>
      <w:proofErr w:type="gramStart"/>
      <w:r w:rsidRPr="00113FC2">
        <w:rPr>
          <w:rFonts w:ascii="Times New Roman" w:hAnsi="Times New Roman"/>
          <w:sz w:val="24"/>
          <w:szCs w:val="24"/>
          <w:lang w:val="en-GB"/>
        </w:rPr>
        <w:t>were conducted</w:t>
      </w:r>
      <w:proofErr w:type="gramEnd"/>
      <w:r w:rsidRPr="00113FC2">
        <w:rPr>
          <w:rFonts w:ascii="Times New Roman" w:hAnsi="Times New Roman"/>
          <w:sz w:val="24"/>
          <w:szCs w:val="24"/>
          <w:lang w:val="en-GB"/>
        </w:rPr>
        <w:t xml:space="preserve">. Overall, the mean number of fragments of different landcover categories was 8638 and a mean cohesion score of 95.08 </w:t>
      </w:r>
      <w:proofErr w:type="gramStart"/>
      <w:r w:rsidRPr="00113FC2">
        <w:rPr>
          <w:rFonts w:ascii="Times New Roman" w:hAnsi="Times New Roman"/>
          <w:sz w:val="24"/>
          <w:szCs w:val="24"/>
          <w:lang w:val="en-GB"/>
        </w:rPr>
        <w:t xml:space="preserve">was </w:t>
      </w:r>
      <w:r w:rsidRPr="00113FC2">
        <w:rPr>
          <w:rFonts w:ascii="Times New Roman" w:hAnsi="Times New Roman"/>
          <w:sz w:val="24"/>
          <w:szCs w:val="24"/>
          <w:lang w:val="en-GB"/>
        </w:rPr>
        <w:lastRenderedPageBreak/>
        <w:t>achieved</w:t>
      </w:r>
      <w:proofErr w:type="gramEnd"/>
      <w:r w:rsidRPr="00113FC2">
        <w:rPr>
          <w:rFonts w:ascii="Times New Roman" w:hAnsi="Times New Roman"/>
          <w:sz w:val="24"/>
          <w:szCs w:val="24"/>
          <w:lang w:val="en-GB"/>
        </w:rPr>
        <w:t xml:space="preserve">. Differentiation to the study areas Chawia, Ndiwenyi and Fururu showed mean number of fragments of 9508, 8052 and 7566 respectively. Cohesion scores were 96.1, 94.7 and 93.5. Within </w:t>
      </w:r>
      <w:proofErr w:type="gramStart"/>
      <w:r w:rsidRPr="00113FC2">
        <w:rPr>
          <w:rFonts w:ascii="Times New Roman" w:hAnsi="Times New Roman"/>
          <w:sz w:val="24"/>
          <w:szCs w:val="24"/>
          <w:lang w:val="en-GB"/>
        </w:rPr>
        <w:t>Chawia</w:t>
      </w:r>
      <w:proofErr w:type="gramEnd"/>
      <w:r w:rsidRPr="00113FC2">
        <w:rPr>
          <w:rFonts w:ascii="Times New Roman" w:hAnsi="Times New Roman"/>
          <w:sz w:val="24"/>
          <w:szCs w:val="24"/>
          <w:lang w:val="en-GB"/>
        </w:rPr>
        <w:t xml:space="preserve"> census plots in agricultural land showed a mean number of 10092 fragments, in natural forest and plantations average numbers were 8895 and 10158. Mean cohesion scores ranged from 95.8 for agricultural land to 96.3 for natural forest. In Ndiwenyi number of fragments for census plots in agricultural land were lower than in Chawia with 8134, but higher than for Fururu (7459). Census plots in plantations showed lower mean number of fragments (7833) than in Chawia but compared to Fururu (7637) higher values. The mean number of fragments for the </w:t>
      </w:r>
      <w:proofErr w:type="gramStart"/>
      <w:r w:rsidRPr="00113FC2">
        <w:rPr>
          <w:rFonts w:ascii="Times New Roman" w:hAnsi="Times New Roman"/>
          <w:sz w:val="24"/>
          <w:szCs w:val="24"/>
          <w:lang w:val="en-GB"/>
        </w:rPr>
        <w:t>landcover category forest patch</w:t>
      </w:r>
      <w:proofErr w:type="gramEnd"/>
      <w:r w:rsidRPr="00113FC2">
        <w:rPr>
          <w:rFonts w:ascii="Times New Roman" w:hAnsi="Times New Roman"/>
          <w:sz w:val="24"/>
          <w:szCs w:val="24"/>
          <w:lang w:val="en-GB"/>
        </w:rPr>
        <w:t xml:space="preserve"> showed similar tendency with lower values in Fururu (7630) than in Ndiwenyi (8117).</w:t>
      </w:r>
    </w:p>
    <w:p w:rsidR="00113FC2" w:rsidRPr="00113FC2" w:rsidRDefault="00113FC2" w:rsidP="00113FC2">
      <w:pPr>
        <w:spacing w:after="0" w:line="480" w:lineRule="auto"/>
        <w:jc w:val="both"/>
        <w:rPr>
          <w:rFonts w:ascii="Times New Roman" w:hAnsi="Times New Roman"/>
          <w:sz w:val="24"/>
          <w:szCs w:val="24"/>
          <w:lang w:val="en-GB"/>
        </w:rPr>
      </w:pPr>
    </w:p>
    <w:p w:rsidR="00113FC2" w:rsidRPr="00113FC2" w:rsidRDefault="00113FC2" w:rsidP="00113FC2">
      <w:pPr>
        <w:spacing w:after="0" w:line="480" w:lineRule="auto"/>
        <w:jc w:val="both"/>
        <w:rPr>
          <w:rFonts w:ascii="Times New Roman" w:hAnsi="Times New Roman"/>
          <w:color w:val="000000"/>
          <w:sz w:val="24"/>
          <w:szCs w:val="24"/>
          <w:lang w:val="en-GB"/>
        </w:rPr>
      </w:pPr>
      <w:r w:rsidRPr="00113FC2">
        <w:rPr>
          <w:rFonts w:ascii="Times New Roman" w:hAnsi="Times New Roman"/>
          <w:sz w:val="24"/>
          <w:szCs w:val="24"/>
          <w:lang w:val="en-GB"/>
        </w:rPr>
        <w:t xml:space="preserve">Intersecting the census plots with </w:t>
      </w:r>
      <w:proofErr w:type="spellStart"/>
      <w:r w:rsidRPr="00113FC2">
        <w:rPr>
          <w:rFonts w:ascii="Times New Roman" w:hAnsi="Times New Roman"/>
          <w:sz w:val="24"/>
          <w:szCs w:val="24"/>
          <w:lang w:val="en-GB"/>
        </w:rPr>
        <w:t>landcover</w:t>
      </w:r>
      <w:proofErr w:type="spellEnd"/>
      <w:r w:rsidRPr="00113FC2">
        <w:rPr>
          <w:rFonts w:ascii="Times New Roman" w:hAnsi="Times New Roman"/>
          <w:sz w:val="24"/>
          <w:szCs w:val="24"/>
          <w:lang w:val="en-GB"/>
        </w:rPr>
        <w:t xml:space="preserve"> configuration within each </w:t>
      </w:r>
      <w:proofErr w:type="spellStart"/>
      <w:r w:rsidRPr="00113FC2">
        <w:rPr>
          <w:rFonts w:ascii="Times New Roman" w:hAnsi="Times New Roman"/>
          <w:sz w:val="24"/>
          <w:szCs w:val="24"/>
          <w:lang w:val="en-GB"/>
        </w:rPr>
        <w:t>landcover</w:t>
      </w:r>
      <w:proofErr w:type="spellEnd"/>
      <w:r w:rsidRPr="00113FC2">
        <w:rPr>
          <w:rFonts w:ascii="Times New Roman" w:hAnsi="Times New Roman"/>
          <w:sz w:val="24"/>
          <w:szCs w:val="24"/>
          <w:lang w:val="en-GB"/>
        </w:rPr>
        <w:t xml:space="preserve"> category in the 1000m buffer revealed similar results. Tab 5 shows the results for number of fragments, </w:t>
      </w:r>
      <w:proofErr w:type="spellStart"/>
      <w:r w:rsidRPr="00113FC2">
        <w:rPr>
          <w:rFonts w:ascii="Times New Roman" w:hAnsi="Times New Roman"/>
          <w:sz w:val="24"/>
          <w:szCs w:val="24"/>
          <w:lang w:val="en-GB"/>
        </w:rPr>
        <w:t>clumpiness</w:t>
      </w:r>
      <w:proofErr w:type="spellEnd"/>
      <w:r w:rsidRPr="00113FC2">
        <w:rPr>
          <w:rFonts w:ascii="Times New Roman" w:hAnsi="Times New Roman"/>
          <w:sz w:val="24"/>
          <w:szCs w:val="24"/>
          <w:lang w:val="en-GB"/>
        </w:rPr>
        <w:t xml:space="preserve"> and cohesion. Overall, the highest values for physical aggregation of </w:t>
      </w:r>
      <w:proofErr w:type="gramStart"/>
      <w:r w:rsidRPr="00113FC2">
        <w:rPr>
          <w:rFonts w:ascii="Times New Roman" w:hAnsi="Times New Roman"/>
          <w:sz w:val="24"/>
          <w:szCs w:val="24"/>
          <w:lang w:val="en-GB"/>
        </w:rPr>
        <w:t xml:space="preserve">one </w:t>
      </w:r>
      <w:proofErr w:type="spellStart"/>
      <w:r w:rsidRPr="00113FC2">
        <w:rPr>
          <w:rFonts w:ascii="Times New Roman" w:hAnsi="Times New Roman"/>
          <w:sz w:val="24"/>
          <w:szCs w:val="24"/>
          <w:lang w:val="en-GB"/>
        </w:rPr>
        <w:t>landcover</w:t>
      </w:r>
      <w:proofErr w:type="spellEnd"/>
      <w:proofErr w:type="gramEnd"/>
      <w:r w:rsidRPr="00113FC2">
        <w:rPr>
          <w:rFonts w:ascii="Times New Roman" w:hAnsi="Times New Roman"/>
          <w:sz w:val="24"/>
          <w:szCs w:val="24"/>
          <w:lang w:val="en-GB"/>
        </w:rPr>
        <w:t xml:space="preserve"> types could be found in </w:t>
      </w:r>
      <w:proofErr w:type="spellStart"/>
      <w:r w:rsidRPr="00113FC2">
        <w:rPr>
          <w:rFonts w:ascii="Times New Roman" w:hAnsi="Times New Roman"/>
          <w:sz w:val="24"/>
          <w:szCs w:val="24"/>
          <w:lang w:val="en-GB"/>
        </w:rPr>
        <w:t>Chawia</w:t>
      </w:r>
      <w:proofErr w:type="spellEnd"/>
      <w:r w:rsidRPr="00113FC2">
        <w:rPr>
          <w:rFonts w:ascii="Times New Roman" w:hAnsi="Times New Roman"/>
          <w:sz w:val="24"/>
          <w:szCs w:val="24"/>
          <w:lang w:val="en-GB"/>
        </w:rPr>
        <w:t xml:space="preserve"> area for the category of natural forest, ranging from 0.61 for census plots in natural forest, up to 0.63 for plots in agricultural land. Whereas in </w:t>
      </w:r>
      <w:proofErr w:type="spellStart"/>
      <w:r w:rsidRPr="00113FC2">
        <w:rPr>
          <w:rFonts w:ascii="Times New Roman" w:hAnsi="Times New Roman"/>
          <w:sz w:val="24"/>
          <w:szCs w:val="24"/>
          <w:lang w:val="en-GB"/>
        </w:rPr>
        <w:t>Chawia</w:t>
      </w:r>
      <w:proofErr w:type="spellEnd"/>
      <w:r w:rsidRPr="00113FC2">
        <w:rPr>
          <w:rFonts w:ascii="Times New Roman" w:hAnsi="Times New Roman"/>
          <w:sz w:val="24"/>
          <w:szCs w:val="24"/>
          <w:lang w:val="en-GB"/>
        </w:rPr>
        <w:t xml:space="preserve"> the category of natural forest showed highest values, in </w:t>
      </w:r>
      <w:proofErr w:type="spellStart"/>
      <w:r w:rsidRPr="00113FC2">
        <w:rPr>
          <w:rFonts w:ascii="Times New Roman" w:hAnsi="Times New Roman"/>
          <w:sz w:val="24"/>
          <w:szCs w:val="24"/>
          <w:lang w:val="en-GB"/>
        </w:rPr>
        <w:t>Ndiwenyi</w:t>
      </w:r>
      <w:proofErr w:type="spellEnd"/>
      <w:r w:rsidRPr="00113FC2">
        <w:rPr>
          <w:rFonts w:ascii="Times New Roman" w:hAnsi="Times New Roman"/>
          <w:sz w:val="24"/>
          <w:szCs w:val="24"/>
          <w:lang w:val="en-GB"/>
        </w:rPr>
        <w:t xml:space="preserve"> and </w:t>
      </w:r>
      <w:proofErr w:type="spellStart"/>
      <w:r w:rsidRPr="00113FC2">
        <w:rPr>
          <w:rFonts w:ascii="Times New Roman" w:hAnsi="Times New Roman"/>
          <w:sz w:val="24"/>
          <w:szCs w:val="24"/>
          <w:lang w:val="en-GB"/>
        </w:rPr>
        <w:t>Fururu</w:t>
      </w:r>
      <w:proofErr w:type="spellEnd"/>
      <w:r w:rsidRPr="00113FC2">
        <w:rPr>
          <w:rFonts w:ascii="Times New Roman" w:hAnsi="Times New Roman"/>
          <w:sz w:val="24"/>
          <w:szCs w:val="24"/>
          <w:lang w:val="en-GB"/>
        </w:rPr>
        <w:t xml:space="preserve"> highest aggregation values </w:t>
      </w:r>
      <w:proofErr w:type="gramStart"/>
      <w:r w:rsidRPr="00113FC2">
        <w:rPr>
          <w:rFonts w:ascii="Times New Roman" w:hAnsi="Times New Roman"/>
          <w:sz w:val="24"/>
          <w:szCs w:val="24"/>
          <w:lang w:val="en-GB"/>
        </w:rPr>
        <w:t>could be found</w:t>
      </w:r>
      <w:proofErr w:type="gramEnd"/>
      <w:r w:rsidRPr="00113FC2">
        <w:rPr>
          <w:rFonts w:ascii="Times New Roman" w:hAnsi="Times New Roman"/>
          <w:sz w:val="24"/>
          <w:szCs w:val="24"/>
          <w:lang w:val="en-GB"/>
        </w:rPr>
        <w:t xml:space="preserve"> for </w:t>
      </w:r>
      <w:r w:rsidRPr="00113FC2">
        <w:rPr>
          <w:rFonts w:ascii="Times New Roman" w:hAnsi="Times New Roman"/>
          <w:color w:val="000000"/>
          <w:sz w:val="24"/>
          <w:szCs w:val="24"/>
          <w:lang w:val="en-GB"/>
        </w:rPr>
        <w:t xml:space="preserve">Built-up area &amp; bare soil/rock and other unconsolidated material, ranging from 0.56 for census plots in forest fragments in </w:t>
      </w:r>
      <w:proofErr w:type="spellStart"/>
      <w:r w:rsidRPr="00113FC2">
        <w:rPr>
          <w:rFonts w:ascii="Times New Roman" w:hAnsi="Times New Roman"/>
          <w:color w:val="000000"/>
          <w:sz w:val="24"/>
          <w:szCs w:val="24"/>
          <w:lang w:val="en-GB"/>
        </w:rPr>
        <w:t>Ndiwenyi</w:t>
      </w:r>
      <w:proofErr w:type="spellEnd"/>
      <w:r w:rsidRPr="00113FC2">
        <w:rPr>
          <w:rFonts w:ascii="Times New Roman" w:hAnsi="Times New Roman"/>
          <w:color w:val="000000"/>
          <w:sz w:val="24"/>
          <w:szCs w:val="24"/>
          <w:lang w:val="en-GB"/>
        </w:rPr>
        <w:t xml:space="preserve">, up to 0.61 in </w:t>
      </w:r>
      <w:proofErr w:type="spellStart"/>
      <w:r w:rsidRPr="00113FC2">
        <w:rPr>
          <w:rFonts w:ascii="Times New Roman" w:hAnsi="Times New Roman"/>
          <w:color w:val="000000"/>
          <w:sz w:val="24"/>
          <w:szCs w:val="24"/>
          <w:lang w:val="en-GB"/>
        </w:rPr>
        <w:t>Fururu</w:t>
      </w:r>
      <w:proofErr w:type="spellEnd"/>
      <w:r w:rsidRPr="00113FC2">
        <w:rPr>
          <w:rFonts w:ascii="Times New Roman" w:hAnsi="Times New Roman"/>
          <w:color w:val="000000"/>
          <w:sz w:val="24"/>
          <w:szCs w:val="24"/>
          <w:lang w:val="en-GB"/>
        </w:rPr>
        <w:t xml:space="preserve"> for plots in agricultural land. As patch cohesion measures the physical connectedness of </w:t>
      </w:r>
      <w:proofErr w:type="spellStart"/>
      <w:r w:rsidRPr="00113FC2">
        <w:rPr>
          <w:rFonts w:ascii="Times New Roman" w:hAnsi="Times New Roman"/>
          <w:color w:val="000000"/>
          <w:sz w:val="24"/>
          <w:szCs w:val="24"/>
          <w:lang w:val="en-GB"/>
        </w:rPr>
        <w:t>landcover</w:t>
      </w:r>
      <w:proofErr w:type="spellEnd"/>
      <w:r w:rsidRPr="00113FC2">
        <w:rPr>
          <w:rFonts w:ascii="Times New Roman" w:hAnsi="Times New Roman"/>
          <w:color w:val="000000"/>
          <w:sz w:val="24"/>
          <w:szCs w:val="24"/>
          <w:lang w:val="en-GB"/>
        </w:rPr>
        <w:t xml:space="preserve"> categories, the highest values </w:t>
      </w:r>
      <w:proofErr w:type="gramStart"/>
      <w:r w:rsidRPr="00113FC2">
        <w:rPr>
          <w:rFonts w:ascii="Times New Roman" w:hAnsi="Times New Roman"/>
          <w:color w:val="000000"/>
          <w:sz w:val="24"/>
          <w:szCs w:val="24"/>
          <w:lang w:val="en-GB"/>
        </w:rPr>
        <w:t>could be found</w:t>
      </w:r>
      <w:proofErr w:type="gramEnd"/>
      <w:r w:rsidRPr="00113FC2">
        <w:rPr>
          <w:rFonts w:ascii="Times New Roman" w:hAnsi="Times New Roman"/>
          <w:color w:val="000000"/>
          <w:sz w:val="24"/>
          <w:szCs w:val="24"/>
          <w:lang w:val="en-GB"/>
        </w:rPr>
        <w:t xml:space="preserve"> in </w:t>
      </w:r>
      <w:proofErr w:type="spellStart"/>
      <w:r w:rsidRPr="00113FC2">
        <w:rPr>
          <w:rFonts w:ascii="Times New Roman" w:hAnsi="Times New Roman"/>
          <w:color w:val="000000"/>
          <w:sz w:val="24"/>
          <w:szCs w:val="24"/>
          <w:lang w:val="en-GB"/>
        </w:rPr>
        <w:t>Fururu</w:t>
      </w:r>
      <w:proofErr w:type="spellEnd"/>
      <w:r w:rsidRPr="00113FC2">
        <w:rPr>
          <w:rFonts w:ascii="Times New Roman" w:hAnsi="Times New Roman"/>
          <w:color w:val="000000"/>
          <w:sz w:val="24"/>
          <w:szCs w:val="24"/>
          <w:lang w:val="en-GB"/>
        </w:rPr>
        <w:t xml:space="preserve"> for census plots in agricultural land, showing the highest physical connectedness for bushland (95.77), mixed forest (93.55) and Exotic tree plantation category (88.27). Lowest values </w:t>
      </w:r>
      <w:proofErr w:type="gramStart"/>
      <w:r w:rsidRPr="00113FC2">
        <w:rPr>
          <w:rFonts w:ascii="Times New Roman" w:hAnsi="Times New Roman"/>
          <w:color w:val="000000"/>
          <w:sz w:val="24"/>
          <w:szCs w:val="24"/>
          <w:lang w:val="en-GB"/>
        </w:rPr>
        <w:t>were achieved</w:t>
      </w:r>
      <w:proofErr w:type="gramEnd"/>
      <w:r w:rsidRPr="00113FC2">
        <w:rPr>
          <w:rFonts w:ascii="Times New Roman" w:hAnsi="Times New Roman"/>
          <w:color w:val="000000"/>
          <w:sz w:val="24"/>
          <w:szCs w:val="24"/>
          <w:lang w:val="en-GB"/>
        </w:rPr>
        <w:t xml:space="preserve"> in </w:t>
      </w:r>
      <w:proofErr w:type="spellStart"/>
      <w:r w:rsidRPr="00113FC2">
        <w:rPr>
          <w:rFonts w:ascii="Times New Roman" w:hAnsi="Times New Roman"/>
          <w:color w:val="000000"/>
          <w:sz w:val="24"/>
          <w:szCs w:val="24"/>
          <w:lang w:val="en-GB"/>
        </w:rPr>
        <w:t>Chawia</w:t>
      </w:r>
      <w:proofErr w:type="spellEnd"/>
      <w:r w:rsidRPr="00113FC2">
        <w:rPr>
          <w:rFonts w:ascii="Times New Roman" w:hAnsi="Times New Roman"/>
          <w:color w:val="000000"/>
          <w:sz w:val="24"/>
          <w:szCs w:val="24"/>
          <w:lang w:val="en-GB"/>
        </w:rPr>
        <w:t xml:space="preserve"> for census plots in plantations for the category of grassland, followed by the same category for plots in agriculture (58.28) and natural forest (60.32).</w:t>
      </w:r>
    </w:p>
    <w:p w:rsidR="00113FC2" w:rsidRDefault="00113FC2" w:rsidP="00113FC2">
      <w:pPr>
        <w:spacing w:after="0" w:line="480" w:lineRule="auto"/>
        <w:jc w:val="both"/>
        <w:rPr>
          <w:rFonts w:ascii="Times New Roman" w:hAnsi="Times New Roman"/>
          <w:sz w:val="24"/>
          <w:szCs w:val="24"/>
          <w:lang w:val="en-GB"/>
        </w:rPr>
      </w:pPr>
    </w:p>
    <w:p w:rsidR="004964FB" w:rsidRPr="004964FB" w:rsidRDefault="0070516E" w:rsidP="004964FB">
      <w:pPr>
        <w:spacing w:after="0" w:line="240" w:lineRule="auto"/>
        <w:rPr>
          <w:rFonts w:ascii="Times New Roman" w:hAnsi="Times New Roman"/>
          <w:sz w:val="24"/>
          <w:szCs w:val="24"/>
          <w:lang w:val="en-GB"/>
        </w:rPr>
      </w:pPr>
      <w:r>
        <w:rPr>
          <w:rFonts w:ascii="Times New Roman" w:hAnsi="Times New Roman"/>
          <w:sz w:val="24"/>
          <w:szCs w:val="24"/>
          <w:lang w:val="en-GB"/>
        </w:rPr>
        <w:lastRenderedPageBreak/>
        <w:t>Table A1: S</w:t>
      </w:r>
      <w:r w:rsidR="004964FB" w:rsidRPr="004964FB">
        <w:rPr>
          <w:rFonts w:ascii="Times New Roman" w:hAnsi="Times New Roman"/>
          <w:sz w:val="24"/>
          <w:szCs w:val="24"/>
          <w:lang w:val="en-GB"/>
        </w:rPr>
        <w:t>hare of landcover categories within the study areas and habitat types.</w:t>
      </w:r>
    </w:p>
    <w:p w:rsidR="004964FB" w:rsidRPr="004964FB" w:rsidRDefault="004964FB" w:rsidP="004964FB">
      <w:pPr>
        <w:spacing w:after="0" w:line="240" w:lineRule="auto"/>
        <w:rPr>
          <w:rFonts w:ascii="Times New Roman" w:hAnsi="Times New Roman"/>
          <w:sz w:val="24"/>
          <w:szCs w:val="24"/>
          <w:lang w:val="en-GB"/>
        </w:rPr>
      </w:pPr>
    </w:p>
    <w:tbl>
      <w:tblPr>
        <w:tblW w:w="8504" w:type="dxa"/>
        <w:tblCellMar>
          <w:left w:w="70" w:type="dxa"/>
          <w:right w:w="70" w:type="dxa"/>
        </w:tblCellMar>
        <w:tblLook w:val="04A0" w:firstRow="1" w:lastRow="0" w:firstColumn="1" w:lastColumn="0" w:noHBand="0" w:noVBand="1"/>
      </w:tblPr>
      <w:tblGrid>
        <w:gridCol w:w="1625"/>
        <w:gridCol w:w="927"/>
        <w:gridCol w:w="850"/>
        <w:gridCol w:w="851"/>
        <w:gridCol w:w="1074"/>
        <w:gridCol w:w="1063"/>
        <w:gridCol w:w="984"/>
        <w:gridCol w:w="1130"/>
      </w:tblGrid>
      <w:tr w:rsidR="004964FB" w:rsidTr="004964FB">
        <w:trPr>
          <w:trHeight w:val="300"/>
        </w:trPr>
        <w:tc>
          <w:tcPr>
            <w:tcW w:w="1625" w:type="dxa"/>
            <w:tcBorders>
              <w:top w:val="nil"/>
              <w:left w:val="nil"/>
              <w:bottom w:val="single" w:sz="4" w:space="0" w:color="auto"/>
              <w:right w:val="nil"/>
            </w:tcBorders>
            <w:noWrap/>
            <w:vAlign w:val="bottom"/>
            <w:hideMark/>
          </w:tcPr>
          <w:p w:rsidR="004964FB" w:rsidRDefault="004964FB">
            <w:pPr>
              <w:spacing w:after="0" w:line="240" w:lineRule="auto"/>
              <w:rPr>
                <w:rFonts w:ascii="Calibri" w:eastAsia="Times New Roman" w:hAnsi="Calibri" w:cs="Calibri"/>
                <w:lang w:val="de-DE" w:eastAsia="de-DE"/>
              </w:rPr>
            </w:pPr>
            <w:r>
              <w:rPr>
                <w:rFonts w:eastAsia="Times New Roman" w:cs="Calibri"/>
                <w:b/>
                <w:lang w:val="de-DE" w:eastAsia="de-DE"/>
              </w:rPr>
              <w:t xml:space="preserve">Study </w:t>
            </w:r>
            <w:proofErr w:type="spellStart"/>
            <w:r>
              <w:rPr>
                <w:rFonts w:eastAsia="Times New Roman" w:cs="Calibri"/>
                <w:b/>
                <w:lang w:val="de-DE" w:eastAsia="de-DE"/>
              </w:rPr>
              <w:t>area</w:t>
            </w:r>
            <w:proofErr w:type="spellEnd"/>
            <w:r>
              <w:rPr>
                <w:rFonts w:eastAsia="Times New Roman" w:cs="Calibri"/>
                <w:lang w:val="de-DE" w:eastAsia="de-DE"/>
              </w:rPr>
              <w:t xml:space="preserve">/ </w:t>
            </w:r>
            <w:proofErr w:type="spellStart"/>
            <w:r>
              <w:rPr>
                <w:rFonts w:eastAsia="Times New Roman" w:cs="Calibri"/>
                <w:lang w:val="de-DE" w:eastAsia="de-DE"/>
              </w:rPr>
              <w:t>habitat</w:t>
            </w:r>
            <w:proofErr w:type="spellEnd"/>
            <w:r>
              <w:rPr>
                <w:rFonts w:eastAsia="Times New Roman" w:cs="Calibri"/>
                <w:lang w:val="de-DE" w:eastAsia="de-DE"/>
              </w:rPr>
              <w:t xml:space="preserve"> type</w:t>
            </w:r>
          </w:p>
        </w:tc>
        <w:tc>
          <w:tcPr>
            <w:tcW w:w="927"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 xml:space="preserve">Natural </w:t>
            </w:r>
            <w:proofErr w:type="spellStart"/>
            <w:r>
              <w:rPr>
                <w:rFonts w:eastAsia="Times New Roman" w:cs="Calibri"/>
                <w:lang w:val="de-DE" w:eastAsia="de-DE"/>
              </w:rPr>
              <w:t>forest</w:t>
            </w:r>
            <w:proofErr w:type="spellEnd"/>
          </w:p>
        </w:tc>
        <w:tc>
          <w:tcPr>
            <w:tcW w:w="85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proofErr w:type="spellStart"/>
            <w:r>
              <w:rPr>
                <w:rFonts w:eastAsia="Times New Roman" w:cs="Calibri"/>
                <w:lang w:val="de-DE" w:eastAsia="de-DE"/>
              </w:rPr>
              <w:t>Exotic</w:t>
            </w:r>
            <w:proofErr w:type="spellEnd"/>
            <w:r>
              <w:rPr>
                <w:rFonts w:eastAsia="Times New Roman" w:cs="Calibri"/>
                <w:lang w:val="de-DE" w:eastAsia="de-DE"/>
              </w:rPr>
              <w:t xml:space="preserve"> </w:t>
            </w:r>
            <w:proofErr w:type="spellStart"/>
            <w:r>
              <w:rPr>
                <w:rFonts w:eastAsia="Times New Roman" w:cs="Calibri"/>
                <w:lang w:val="de-DE" w:eastAsia="de-DE"/>
              </w:rPr>
              <w:t>forest</w:t>
            </w:r>
            <w:proofErr w:type="spellEnd"/>
          </w:p>
        </w:tc>
        <w:tc>
          <w:tcPr>
            <w:tcW w:w="851"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 xml:space="preserve">Mixed </w:t>
            </w:r>
            <w:proofErr w:type="spellStart"/>
            <w:r>
              <w:rPr>
                <w:rFonts w:eastAsia="Times New Roman" w:cs="Calibri"/>
                <w:lang w:val="de-DE" w:eastAsia="de-DE"/>
              </w:rPr>
              <w:t>forest</w:t>
            </w:r>
            <w:proofErr w:type="spellEnd"/>
          </w:p>
        </w:tc>
        <w:tc>
          <w:tcPr>
            <w:tcW w:w="107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proofErr w:type="spellStart"/>
            <w:r>
              <w:rPr>
                <w:rFonts w:eastAsia="Times New Roman" w:cs="Calibri"/>
                <w:lang w:val="de-DE" w:eastAsia="de-DE"/>
              </w:rPr>
              <w:t>Bushland</w:t>
            </w:r>
            <w:proofErr w:type="spellEnd"/>
          </w:p>
        </w:tc>
        <w:tc>
          <w:tcPr>
            <w:tcW w:w="1063"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proofErr w:type="spellStart"/>
            <w:r>
              <w:rPr>
                <w:rFonts w:eastAsia="Times New Roman" w:cs="Calibri"/>
                <w:lang w:val="de-DE" w:eastAsia="de-DE"/>
              </w:rPr>
              <w:t>Cropland</w:t>
            </w:r>
            <w:proofErr w:type="spellEnd"/>
          </w:p>
        </w:tc>
        <w:tc>
          <w:tcPr>
            <w:tcW w:w="98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proofErr w:type="spellStart"/>
            <w:r>
              <w:rPr>
                <w:rFonts w:eastAsia="Times New Roman" w:cs="Calibri"/>
                <w:lang w:val="de-DE" w:eastAsia="de-DE"/>
              </w:rPr>
              <w:t>Built-Up</w:t>
            </w:r>
            <w:proofErr w:type="spellEnd"/>
          </w:p>
        </w:tc>
        <w:tc>
          <w:tcPr>
            <w:tcW w:w="113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proofErr w:type="spellStart"/>
            <w:r>
              <w:rPr>
                <w:rFonts w:eastAsia="Times New Roman" w:cs="Calibri"/>
                <w:lang w:val="de-DE" w:eastAsia="de-DE"/>
              </w:rPr>
              <w:t>Grassland</w:t>
            </w:r>
            <w:proofErr w:type="spellEnd"/>
          </w:p>
        </w:tc>
      </w:tr>
      <w:tr w:rsidR="004964FB" w:rsidTr="004964FB">
        <w:trPr>
          <w:trHeight w:val="300"/>
        </w:trPr>
        <w:tc>
          <w:tcPr>
            <w:tcW w:w="1625" w:type="dxa"/>
            <w:tcBorders>
              <w:top w:val="single" w:sz="4" w:space="0" w:color="auto"/>
              <w:left w:val="nil"/>
              <w:bottom w:val="nil"/>
              <w:right w:val="nil"/>
            </w:tcBorders>
            <w:noWrap/>
            <w:vAlign w:val="bottom"/>
            <w:hideMark/>
          </w:tcPr>
          <w:p w:rsidR="004964FB" w:rsidRDefault="004964FB">
            <w:pPr>
              <w:spacing w:after="0" w:line="240" w:lineRule="auto"/>
              <w:rPr>
                <w:rFonts w:eastAsia="Times New Roman" w:cs="Calibri"/>
                <w:b/>
                <w:bCs/>
                <w:lang w:val="de-DE" w:eastAsia="de-DE"/>
              </w:rPr>
            </w:pPr>
            <w:proofErr w:type="spellStart"/>
            <w:r>
              <w:rPr>
                <w:rFonts w:eastAsia="Times New Roman" w:cs="Calibri"/>
                <w:b/>
                <w:bCs/>
                <w:lang w:val="de-DE" w:eastAsia="de-DE"/>
              </w:rPr>
              <w:t>Chawia</w:t>
            </w:r>
            <w:proofErr w:type="spellEnd"/>
          </w:p>
        </w:tc>
        <w:tc>
          <w:tcPr>
            <w:tcW w:w="927"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11.18%</w:t>
            </w:r>
          </w:p>
        </w:tc>
        <w:tc>
          <w:tcPr>
            <w:tcW w:w="85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9.83%</w:t>
            </w:r>
          </w:p>
        </w:tc>
        <w:tc>
          <w:tcPr>
            <w:tcW w:w="851"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22.60%</w:t>
            </w:r>
          </w:p>
        </w:tc>
        <w:tc>
          <w:tcPr>
            <w:tcW w:w="107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26.33%</w:t>
            </w:r>
          </w:p>
        </w:tc>
        <w:tc>
          <w:tcPr>
            <w:tcW w:w="1063"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18.78%</w:t>
            </w:r>
          </w:p>
        </w:tc>
        <w:tc>
          <w:tcPr>
            <w:tcW w:w="98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5.10%</w:t>
            </w:r>
          </w:p>
        </w:tc>
        <w:tc>
          <w:tcPr>
            <w:tcW w:w="113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5.16%</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Agricultural</w:t>
            </w:r>
            <w:proofErr w:type="spellEnd"/>
            <w:r>
              <w:rPr>
                <w:rFonts w:eastAsia="Times New Roman" w:cs="Calibri"/>
                <w:lang w:val="de-DE" w:eastAsia="de-DE"/>
              </w:rPr>
              <w:t xml:space="preserve"> </w:t>
            </w:r>
            <w:proofErr w:type="spellStart"/>
            <w:r>
              <w:rPr>
                <w:rFonts w:eastAsia="Times New Roman" w:cs="Calibri"/>
                <w:lang w:val="de-DE" w:eastAsia="de-DE"/>
              </w:rPr>
              <w:t>land</w:t>
            </w:r>
            <w:proofErr w:type="spellEnd"/>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11.52%</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9.37%</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22.19%</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24.99%</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20.99%</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5.30%</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5.63%</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r>
              <w:rPr>
                <w:rFonts w:eastAsia="Times New Roman" w:cs="Calibri"/>
                <w:lang w:val="de-DE" w:eastAsia="de-DE"/>
              </w:rPr>
              <w:t xml:space="preserve">Primary </w:t>
            </w:r>
            <w:proofErr w:type="spellStart"/>
            <w:r>
              <w:rPr>
                <w:rFonts w:eastAsia="Times New Roman" w:cs="Calibri"/>
                <w:lang w:val="de-DE" w:eastAsia="de-DE"/>
              </w:rPr>
              <w:t>forest</w:t>
            </w:r>
            <w:proofErr w:type="spellEnd"/>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11.68%</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10.65%</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23.50%</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27.39%</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15.55%</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4.67%</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4.54%</w:t>
            </w:r>
          </w:p>
        </w:tc>
      </w:tr>
      <w:tr w:rsidR="004964FB" w:rsidTr="004964FB">
        <w:trPr>
          <w:trHeight w:val="300"/>
        </w:trPr>
        <w:tc>
          <w:tcPr>
            <w:tcW w:w="1625" w:type="dxa"/>
            <w:tcBorders>
              <w:top w:val="nil"/>
              <w:left w:val="nil"/>
              <w:bottom w:val="single" w:sz="4" w:space="0" w:color="auto"/>
              <w:right w:val="nil"/>
            </w:tcBorders>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Plantation</w:t>
            </w:r>
            <w:proofErr w:type="spellEnd"/>
          </w:p>
        </w:tc>
        <w:tc>
          <w:tcPr>
            <w:tcW w:w="927"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9.67%</w:t>
            </w:r>
          </w:p>
        </w:tc>
        <w:tc>
          <w:tcPr>
            <w:tcW w:w="85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8.57%</w:t>
            </w:r>
          </w:p>
        </w:tc>
        <w:tc>
          <w:tcPr>
            <w:tcW w:w="851"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21.13%</w:t>
            </w:r>
          </w:p>
        </w:tc>
        <w:tc>
          <w:tcPr>
            <w:tcW w:w="107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25.59%</w:t>
            </w:r>
          </w:p>
        </w:tc>
        <w:tc>
          <w:tcPr>
            <w:tcW w:w="1063"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23.25%</w:t>
            </w:r>
          </w:p>
        </w:tc>
        <w:tc>
          <w:tcPr>
            <w:tcW w:w="98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5.80%</w:t>
            </w:r>
          </w:p>
        </w:tc>
        <w:tc>
          <w:tcPr>
            <w:tcW w:w="113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5.95%</w:t>
            </w:r>
          </w:p>
        </w:tc>
      </w:tr>
      <w:tr w:rsidR="004964FB" w:rsidTr="004964FB">
        <w:trPr>
          <w:trHeight w:val="300"/>
        </w:trPr>
        <w:tc>
          <w:tcPr>
            <w:tcW w:w="1625" w:type="dxa"/>
            <w:tcBorders>
              <w:top w:val="single" w:sz="4" w:space="0" w:color="auto"/>
              <w:left w:val="nil"/>
              <w:bottom w:val="nil"/>
              <w:right w:val="nil"/>
            </w:tcBorders>
            <w:noWrap/>
            <w:vAlign w:val="bottom"/>
            <w:hideMark/>
          </w:tcPr>
          <w:p w:rsidR="004964FB" w:rsidRDefault="004964FB">
            <w:pPr>
              <w:spacing w:after="0" w:line="240" w:lineRule="auto"/>
              <w:rPr>
                <w:rFonts w:eastAsia="Times New Roman" w:cs="Calibri"/>
                <w:b/>
                <w:bCs/>
                <w:lang w:val="de-DE" w:eastAsia="de-DE"/>
              </w:rPr>
            </w:pPr>
            <w:proofErr w:type="spellStart"/>
            <w:r>
              <w:rPr>
                <w:rFonts w:eastAsia="Times New Roman" w:cs="Calibri"/>
                <w:b/>
                <w:bCs/>
                <w:lang w:val="de-DE" w:eastAsia="de-DE"/>
              </w:rPr>
              <w:t>Fururu</w:t>
            </w:r>
            <w:proofErr w:type="spellEnd"/>
          </w:p>
        </w:tc>
        <w:tc>
          <w:tcPr>
            <w:tcW w:w="927"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2.88%</w:t>
            </w:r>
          </w:p>
        </w:tc>
        <w:tc>
          <w:tcPr>
            <w:tcW w:w="85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4.64%</w:t>
            </w:r>
          </w:p>
        </w:tc>
        <w:tc>
          <w:tcPr>
            <w:tcW w:w="851"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16.79%</w:t>
            </w:r>
          </w:p>
        </w:tc>
        <w:tc>
          <w:tcPr>
            <w:tcW w:w="107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27.65%</w:t>
            </w:r>
          </w:p>
        </w:tc>
        <w:tc>
          <w:tcPr>
            <w:tcW w:w="1063"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17.15%</w:t>
            </w:r>
          </w:p>
        </w:tc>
        <w:tc>
          <w:tcPr>
            <w:tcW w:w="98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6.25%</w:t>
            </w:r>
          </w:p>
        </w:tc>
        <w:tc>
          <w:tcPr>
            <w:tcW w:w="113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5.43%</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Agricultural</w:t>
            </w:r>
            <w:proofErr w:type="spellEnd"/>
            <w:r>
              <w:rPr>
                <w:rFonts w:eastAsia="Times New Roman" w:cs="Calibri"/>
                <w:lang w:val="de-DE" w:eastAsia="de-DE"/>
              </w:rPr>
              <w:t xml:space="preserve"> </w:t>
            </w:r>
            <w:proofErr w:type="spellStart"/>
            <w:r>
              <w:rPr>
                <w:rFonts w:eastAsia="Times New Roman" w:cs="Calibri"/>
                <w:lang w:val="de-DE" w:eastAsia="de-DE"/>
              </w:rPr>
              <w:t>land</w:t>
            </w:r>
            <w:proofErr w:type="spellEnd"/>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2.96%</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4.74%</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16.41%</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26.93%</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16.67%</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6.34%</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5.43%</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Forest</w:t>
            </w:r>
            <w:proofErr w:type="spellEnd"/>
            <w:r>
              <w:rPr>
                <w:rFonts w:eastAsia="Times New Roman" w:cs="Calibri"/>
                <w:lang w:val="de-DE" w:eastAsia="de-DE"/>
              </w:rPr>
              <w:t xml:space="preserve"> Patch</w:t>
            </w:r>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2.85%</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4.51%</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16.71%</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27.82%</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17.40%</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6.30%</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5.56%</w:t>
            </w:r>
          </w:p>
        </w:tc>
      </w:tr>
      <w:tr w:rsidR="004964FB" w:rsidTr="004964FB">
        <w:trPr>
          <w:trHeight w:val="300"/>
        </w:trPr>
        <w:tc>
          <w:tcPr>
            <w:tcW w:w="1625" w:type="dxa"/>
            <w:tcBorders>
              <w:top w:val="nil"/>
              <w:left w:val="nil"/>
              <w:bottom w:val="single" w:sz="4" w:space="0" w:color="auto"/>
              <w:right w:val="nil"/>
            </w:tcBorders>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Plantation</w:t>
            </w:r>
            <w:proofErr w:type="spellEnd"/>
          </w:p>
        </w:tc>
        <w:tc>
          <w:tcPr>
            <w:tcW w:w="927"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2.76%</w:t>
            </w:r>
          </w:p>
        </w:tc>
        <w:tc>
          <w:tcPr>
            <w:tcW w:w="85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4.72%</w:t>
            </w:r>
          </w:p>
        </w:tc>
        <w:tc>
          <w:tcPr>
            <w:tcW w:w="851"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17.80%</w:t>
            </w:r>
          </w:p>
        </w:tc>
        <w:tc>
          <w:tcPr>
            <w:tcW w:w="107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28.89%</w:t>
            </w:r>
          </w:p>
        </w:tc>
        <w:tc>
          <w:tcPr>
            <w:tcW w:w="1063"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17.67%</w:t>
            </w:r>
          </w:p>
        </w:tc>
        <w:tc>
          <w:tcPr>
            <w:tcW w:w="98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5.94%</w:t>
            </w:r>
          </w:p>
        </w:tc>
        <w:tc>
          <w:tcPr>
            <w:tcW w:w="113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5.13%</w:t>
            </w:r>
          </w:p>
        </w:tc>
      </w:tr>
      <w:tr w:rsidR="004964FB" w:rsidTr="004964FB">
        <w:trPr>
          <w:trHeight w:val="300"/>
        </w:trPr>
        <w:tc>
          <w:tcPr>
            <w:tcW w:w="1625" w:type="dxa"/>
            <w:tcBorders>
              <w:top w:val="single" w:sz="4" w:space="0" w:color="auto"/>
              <w:left w:val="nil"/>
              <w:bottom w:val="nil"/>
              <w:right w:val="nil"/>
            </w:tcBorders>
            <w:noWrap/>
            <w:vAlign w:val="bottom"/>
            <w:hideMark/>
          </w:tcPr>
          <w:p w:rsidR="004964FB" w:rsidRDefault="004964FB">
            <w:pPr>
              <w:spacing w:after="0" w:line="240" w:lineRule="auto"/>
              <w:rPr>
                <w:rFonts w:eastAsia="Times New Roman" w:cs="Calibri"/>
                <w:b/>
                <w:bCs/>
                <w:lang w:val="de-DE" w:eastAsia="de-DE"/>
              </w:rPr>
            </w:pPr>
            <w:proofErr w:type="spellStart"/>
            <w:r>
              <w:rPr>
                <w:rFonts w:eastAsia="Times New Roman" w:cs="Calibri"/>
                <w:b/>
                <w:bCs/>
                <w:lang w:val="de-DE" w:eastAsia="de-DE"/>
              </w:rPr>
              <w:t>Ndiwenyi</w:t>
            </w:r>
            <w:proofErr w:type="spellEnd"/>
          </w:p>
        </w:tc>
        <w:tc>
          <w:tcPr>
            <w:tcW w:w="927"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4.16%</w:t>
            </w:r>
          </w:p>
        </w:tc>
        <w:tc>
          <w:tcPr>
            <w:tcW w:w="85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8.05%</w:t>
            </w:r>
          </w:p>
        </w:tc>
        <w:tc>
          <w:tcPr>
            <w:tcW w:w="851"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23.04%</w:t>
            </w:r>
          </w:p>
        </w:tc>
        <w:tc>
          <w:tcPr>
            <w:tcW w:w="107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26.73%</w:t>
            </w:r>
          </w:p>
        </w:tc>
        <w:tc>
          <w:tcPr>
            <w:tcW w:w="1063"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17.30%</w:t>
            </w:r>
          </w:p>
        </w:tc>
        <w:tc>
          <w:tcPr>
            <w:tcW w:w="98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5.14%</w:t>
            </w:r>
          </w:p>
        </w:tc>
        <w:tc>
          <w:tcPr>
            <w:tcW w:w="113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4.58%</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Agricultural</w:t>
            </w:r>
            <w:proofErr w:type="spellEnd"/>
            <w:r>
              <w:rPr>
                <w:rFonts w:eastAsia="Times New Roman" w:cs="Calibri"/>
                <w:lang w:val="de-DE" w:eastAsia="de-DE"/>
              </w:rPr>
              <w:t xml:space="preserve"> </w:t>
            </w:r>
            <w:proofErr w:type="spellStart"/>
            <w:r>
              <w:rPr>
                <w:rFonts w:eastAsia="Times New Roman" w:cs="Calibri"/>
                <w:lang w:val="de-DE" w:eastAsia="de-DE"/>
              </w:rPr>
              <w:t>land</w:t>
            </w:r>
            <w:proofErr w:type="spellEnd"/>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1.93%</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3.12%</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16.15%</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33.16%</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23.03%</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7.54%</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5.65%</w:t>
            </w:r>
          </w:p>
        </w:tc>
      </w:tr>
      <w:tr w:rsidR="004964FB" w:rsidTr="004964FB">
        <w:trPr>
          <w:trHeight w:val="300"/>
        </w:trPr>
        <w:tc>
          <w:tcPr>
            <w:tcW w:w="1625" w:type="dxa"/>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Forest</w:t>
            </w:r>
            <w:proofErr w:type="spellEnd"/>
            <w:r>
              <w:rPr>
                <w:rFonts w:eastAsia="Times New Roman" w:cs="Calibri"/>
                <w:lang w:val="de-DE" w:eastAsia="de-DE"/>
              </w:rPr>
              <w:t xml:space="preserve"> Patch</w:t>
            </w:r>
          </w:p>
        </w:tc>
        <w:tc>
          <w:tcPr>
            <w:tcW w:w="927"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4.48%</w:t>
            </w:r>
          </w:p>
        </w:tc>
        <w:tc>
          <w:tcPr>
            <w:tcW w:w="85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9.24%</w:t>
            </w:r>
          </w:p>
        </w:tc>
        <w:tc>
          <w:tcPr>
            <w:tcW w:w="851"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24.65%</w:t>
            </w:r>
          </w:p>
        </w:tc>
        <w:tc>
          <w:tcPr>
            <w:tcW w:w="107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25.75%</w:t>
            </w:r>
          </w:p>
        </w:tc>
        <w:tc>
          <w:tcPr>
            <w:tcW w:w="1063"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16.27%</w:t>
            </w:r>
          </w:p>
        </w:tc>
        <w:tc>
          <w:tcPr>
            <w:tcW w:w="984"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4.64%</w:t>
            </w:r>
          </w:p>
        </w:tc>
        <w:tc>
          <w:tcPr>
            <w:tcW w:w="1130" w:type="dxa"/>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4.43%</w:t>
            </w:r>
          </w:p>
        </w:tc>
      </w:tr>
      <w:tr w:rsidR="004964FB" w:rsidTr="004964FB">
        <w:trPr>
          <w:trHeight w:val="300"/>
        </w:trPr>
        <w:tc>
          <w:tcPr>
            <w:tcW w:w="1625" w:type="dxa"/>
            <w:tcBorders>
              <w:top w:val="nil"/>
              <w:left w:val="nil"/>
              <w:bottom w:val="single" w:sz="4" w:space="0" w:color="auto"/>
              <w:right w:val="nil"/>
            </w:tcBorders>
            <w:noWrap/>
            <w:vAlign w:val="bottom"/>
            <w:hideMark/>
          </w:tcPr>
          <w:p w:rsidR="004964FB" w:rsidRDefault="004964FB">
            <w:pPr>
              <w:spacing w:after="0" w:line="240" w:lineRule="auto"/>
              <w:rPr>
                <w:rFonts w:eastAsia="Times New Roman" w:cs="Calibri"/>
                <w:lang w:val="de-DE" w:eastAsia="de-DE"/>
              </w:rPr>
            </w:pPr>
            <w:proofErr w:type="spellStart"/>
            <w:r>
              <w:rPr>
                <w:rFonts w:eastAsia="Times New Roman" w:cs="Calibri"/>
                <w:lang w:val="de-DE" w:eastAsia="de-DE"/>
              </w:rPr>
              <w:t>Plantation</w:t>
            </w:r>
            <w:proofErr w:type="spellEnd"/>
          </w:p>
        </w:tc>
        <w:tc>
          <w:tcPr>
            <w:tcW w:w="927"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5.18%</w:t>
            </w:r>
          </w:p>
        </w:tc>
        <w:tc>
          <w:tcPr>
            <w:tcW w:w="85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9.11%</w:t>
            </w:r>
          </w:p>
        </w:tc>
        <w:tc>
          <w:tcPr>
            <w:tcW w:w="851"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24.67%</w:t>
            </w:r>
          </w:p>
        </w:tc>
        <w:tc>
          <w:tcPr>
            <w:tcW w:w="107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23.91%</w:t>
            </w:r>
          </w:p>
        </w:tc>
        <w:tc>
          <w:tcPr>
            <w:tcW w:w="1063"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15.20%</w:t>
            </w:r>
          </w:p>
        </w:tc>
        <w:tc>
          <w:tcPr>
            <w:tcW w:w="984"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4.44%</w:t>
            </w:r>
          </w:p>
        </w:tc>
        <w:tc>
          <w:tcPr>
            <w:tcW w:w="1130" w:type="dxa"/>
            <w:tcBorders>
              <w:top w:val="nil"/>
              <w:left w:val="nil"/>
              <w:bottom w:val="single" w:sz="4" w:space="0" w:color="auto"/>
              <w:right w:val="nil"/>
            </w:tcBorders>
            <w:noWrap/>
            <w:vAlign w:val="center"/>
            <w:hideMark/>
          </w:tcPr>
          <w:p w:rsidR="004964FB" w:rsidRDefault="004964FB">
            <w:pPr>
              <w:spacing w:after="0" w:line="240" w:lineRule="auto"/>
              <w:jc w:val="center"/>
              <w:rPr>
                <w:rFonts w:eastAsia="Times New Roman" w:cs="Calibri"/>
                <w:lang w:val="de-DE" w:eastAsia="de-DE"/>
              </w:rPr>
            </w:pPr>
            <w:r>
              <w:rPr>
                <w:rFonts w:eastAsia="Times New Roman" w:cs="Calibri"/>
                <w:lang w:val="de-DE" w:eastAsia="de-DE"/>
              </w:rPr>
              <w:t>4.10%</w:t>
            </w:r>
          </w:p>
        </w:tc>
      </w:tr>
      <w:tr w:rsidR="004964FB" w:rsidTr="004964FB">
        <w:trPr>
          <w:trHeight w:val="300"/>
        </w:trPr>
        <w:tc>
          <w:tcPr>
            <w:tcW w:w="1625" w:type="dxa"/>
            <w:tcBorders>
              <w:top w:val="single" w:sz="4" w:space="0" w:color="auto"/>
              <w:left w:val="nil"/>
              <w:bottom w:val="nil"/>
              <w:right w:val="nil"/>
            </w:tcBorders>
            <w:noWrap/>
            <w:vAlign w:val="bottom"/>
            <w:hideMark/>
          </w:tcPr>
          <w:p w:rsidR="004964FB" w:rsidRDefault="004964FB">
            <w:pPr>
              <w:spacing w:after="0" w:line="240" w:lineRule="auto"/>
              <w:rPr>
                <w:rFonts w:eastAsia="Times New Roman" w:cs="Calibri"/>
                <w:b/>
                <w:bCs/>
                <w:lang w:val="de-DE" w:eastAsia="de-DE"/>
              </w:rPr>
            </w:pPr>
            <w:r>
              <w:rPr>
                <w:rFonts w:eastAsia="Times New Roman" w:cs="Calibri"/>
                <w:b/>
                <w:bCs/>
                <w:lang w:val="de-DE" w:eastAsia="de-DE"/>
              </w:rPr>
              <w:t>Total</w:t>
            </w:r>
          </w:p>
        </w:tc>
        <w:tc>
          <w:tcPr>
            <w:tcW w:w="927"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7.20%</w:t>
            </w:r>
          </w:p>
        </w:tc>
        <w:tc>
          <w:tcPr>
            <w:tcW w:w="85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8.00%</w:t>
            </w:r>
          </w:p>
        </w:tc>
        <w:tc>
          <w:tcPr>
            <w:tcW w:w="851"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21.17%</w:t>
            </w:r>
          </w:p>
        </w:tc>
        <w:tc>
          <w:tcPr>
            <w:tcW w:w="107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26.78%</w:t>
            </w:r>
          </w:p>
        </w:tc>
        <w:tc>
          <w:tcPr>
            <w:tcW w:w="1063"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17.97%</w:t>
            </w:r>
          </w:p>
        </w:tc>
        <w:tc>
          <w:tcPr>
            <w:tcW w:w="984"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5.41%</w:t>
            </w:r>
          </w:p>
        </w:tc>
        <w:tc>
          <w:tcPr>
            <w:tcW w:w="1130" w:type="dxa"/>
            <w:tcBorders>
              <w:top w:val="single" w:sz="4" w:space="0" w:color="auto"/>
              <w:left w:val="nil"/>
              <w:bottom w:val="nil"/>
              <w:right w:val="nil"/>
            </w:tcBorders>
            <w:noWrap/>
            <w:vAlign w:val="center"/>
            <w:hideMark/>
          </w:tcPr>
          <w:p w:rsidR="004964FB" w:rsidRDefault="004964FB">
            <w:pPr>
              <w:spacing w:after="0" w:line="240" w:lineRule="auto"/>
              <w:jc w:val="center"/>
              <w:rPr>
                <w:rFonts w:eastAsia="Times New Roman" w:cs="Calibri"/>
                <w:b/>
                <w:bCs/>
                <w:lang w:val="de-DE" w:eastAsia="de-DE"/>
              </w:rPr>
            </w:pPr>
            <w:r>
              <w:rPr>
                <w:rFonts w:eastAsia="Times New Roman" w:cs="Calibri"/>
                <w:b/>
                <w:bCs/>
                <w:lang w:val="de-DE" w:eastAsia="de-DE"/>
              </w:rPr>
              <w:t>5.09%</w:t>
            </w:r>
          </w:p>
        </w:tc>
      </w:tr>
    </w:tbl>
    <w:p w:rsidR="004964FB" w:rsidRDefault="004964FB" w:rsidP="004964FB">
      <w:pPr>
        <w:spacing w:after="0" w:line="240" w:lineRule="auto"/>
        <w:rPr>
          <w:rFonts w:ascii="Times New Roman" w:eastAsia="Calibri" w:hAnsi="Times New Roman" w:cs="Times New Roman"/>
          <w:sz w:val="24"/>
          <w:szCs w:val="24"/>
          <w:lang w:val="en-US"/>
        </w:rPr>
      </w:pPr>
      <w:r>
        <w:rPr>
          <w:rFonts w:ascii="Times New Roman" w:hAnsi="Times New Roman"/>
          <w:sz w:val="24"/>
          <w:szCs w:val="24"/>
        </w:rPr>
        <w:br w:type="page"/>
      </w:r>
    </w:p>
    <w:p w:rsidR="004964FB" w:rsidRPr="004964FB" w:rsidRDefault="0070516E" w:rsidP="004964FB">
      <w:pPr>
        <w:spacing w:after="0" w:line="480" w:lineRule="auto"/>
        <w:rPr>
          <w:rFonts w:ascii="Times New Roman" w:hAnsi="Times New Roman"/>
          <w:sz w:val="24"/>
          <w:szCs w:val="24"/>
          <w:lang w:val="en-GB"/>
        </w:rPr>
      </w:pPr>
      <w:r>
        <w:rPr>
          <w:rFonts w:ascii="Times New Roman" w:hAnsi="Times New Roman"/>
          <w:sz w:val="24"/>
          <w:szCs w:val="24"/>
          <w:lang w:val="en-GB"/>
        </w:rPr>
        <w:lastRenderedPageBreak/>
        <w:t>Table A2: L</w:t>
      </w:r>
      <w:r w:rsidR="004964FB" w:rsidRPr="004964FB">
        <w:rPr>
          <w:rFonts w:ascii="Times New Roman" w:hAnsi="Times New Roman"/>
          <w:sz w:val="24"/>
          <w:szCs w:val="24"/>
          <w:lang w:val="en-GB"/>
        </w:rPr>
        <w:t>andscape configuration for study areas, habitat types and landcover categories, summarizing the mean number of patches, mean values for CLUMPINESS including standard deviation in brackets and patch cohesion scores</w:t>
      </w:r>
    </w:p>
    <w:tbl>
      <w:tblPr>
        <w:tblW w:w="7590" w:type="dxa"/>
        <w:tblCellMar>
          <w:left w:w="70" w:type="dxa"/>
          <w:right w:w="70" w:type="dxa"/>
        </w:tblCellMar>
        <w:tblLook w:val="04A0" w:firstRow="1" w:lastRow="0" w:firstColumn="1" w:lastColumn="0" w:noHBand="0" w:noVBand="1"/>
      </w:tblPr>
      <w:tblGrid>
        <w:gridCol w:w="1959"/>
        <w:gridCol w:w="1148"/>
        <w:gridCol w:w="2725"/>
        <w:gridCol w:w="1758"/>
      </w:tblGrid>
      <w:tr w:rsidR="004964FB" w:rsidTr="004964FB">
        <w:trPr>
          <w:trHeight w:val="300"/>
        </w:trPr>
        <w:tc>
          <w:tcPr>
            <w:tcW w:w="1959" w:type="dxa"/>
            <w:noWrap/>
            <w:vAlign w:val="bottom"/>
            <w:hideMark/>
          </w:tcPr>
          <w:p w:rsidR="004964FB" w:rsidRDefault="004964FB">
            <w:pPr>
              <w:spacing w:after="0" w:line="240" w:lineRule="auto"/>
              <w:rPr>
                <w:rFonts w:ascii="Calibri" w:eastAsia="Times New Roman" w:hAnsi="Calibri" w:cs="Calibri"/>
                <w:b/>
                <w:bCs/>
                <w:color w:val="000000"/>
                <w:lang w:val="en-GB" w:eastAsia="de-DE"/>
              </w:rPr>
            </w:pPr>
            <w:r>
              <w:rPr>
                <w:rFonts w:eastAsia="Times New Roman" w:cs="Calibri"/>
                <w:b/>
                <w:bCs/>
                <w:color w:val="000000"/>
                <w:u w:val="single"/>
                <w:lang w:val="en-GB" w:eastAsia="de-DE"/>
              </w:rPr>
              <w:t>Study area</w:t>
            </w:r>
            <w:r>
              <w:rPr>
                <w:rFonts w:eastAsia="Times New Roman" w:cs="Calibri"/>
                <w:b/>
                <w:bCs/>
                <w:color w:val="000000"/>
                <w:lang w:val="en-GB" w:eastAsia="de-DE"/>
              </w:rPr>
              <w:t>/</w:t>
            </w:r>
          </w:p>
          <w:p w:rsidR="004964FB" w:rsidRDefault="004964FB">
            <w:pPr>
              <w:spacing w:after="0" w:line="240" w:lineRule="auto"/>
              <w:rPr>
                <w:rFonts w:eastAsia="Times New Roman" w:cs="Calibri"/>
                <w:color w:val="000000"/>
                <w:lang w:val="en-GB" w:eastAsia="de-DE"/>
              </w:rPr>
            </w:pPr>
            <w:r>
              <w:rPr>
                <w:rFonts w:eastAsia="Times New Roman" w:cs="Calibri"/>
                <w:b/>
                <w:bCs/>
                <w:color w:val="000000"/>
                <w:lang w:val="en-GB" w:eastAsia="de-DE"/>
              </w:rPr>
              <w:t>habitat type</w:t>
            </w:r>
            <w:r>
              <w:rPr>
                <w:rFonts w:eastAsia="Times New Roman" w:cs="Calibri"/>
                <w:color w:val="000000"/>
                <w:lang w:val="en-GB" w:eastAsia="de-DE"/>
              </w:rPr>
              <w:t>/</w:t>
            </w:r>
          </w:p>
          <w:p w:rsidR="004964FB" w:rsidRDefault="004964FB">
            <w:pPr>
              <w:spacing w:after="0" w:line="240" w:lineRule="auto"/>
              <w:rPr>
                <w:rFonts w:eastAsia="Times New Roman" w:cs="Calibri"/>
                <w:color w:val="000000"/>
                <w:lang w:val="en-GB" w:eastAsia="de-DE"/>
              </w:rPr>
            </w:pPr>
            <w:proofErr w:type="spellStart"/>
            <w:r>
              <w:rPr>
                <w:rFonts w:eastAsia="Times New Roman" w:cs="Calibri"/>
                <w:color w:val="000000"/>
                <w:lang w:val="en-GB" w:eastAsia="de-DE"/>
              </w:rPr>
              <w:t>landcover</w:t>
            </w:r>
            <w:proofErr w:type="spellEnd"/>
            <w:r>
              <w:rPr>
                <w:rFonts w:eastAsia="Times New Roman" w:cs="Calibri"/>
                <w:color w:val="000000"/>
                <w:lang w:val="en-GB" w:eastAsia="de-DE"/>
              </w:rPr>
              <w:t xml:space="preserve"> category</w:t>
            </w:r>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NPs</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CLUMPINESS (STDEV)</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COHESION</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u w:val="single"/>
                <w:lang w:val="de-DE" w:eastAsia="de-DE"/>
              </w:rPr>
            </w:pPr>
            <w:proofErr w:type="spellStart"/>
            <w:r>
              <w:rPr>
                <w:rFonts w:eastAsia="Times New Roman" w:cs="Calibri"/>
                <w:b/>
                <w:bCs/>
                <w:color w:val="000000"/>
                <w:u w:val="single"/>
                <w:lang w:val="de-DE" w:eastAsia="de-DE"/>
              </w:rPr>
              <w:t>Chawia</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944.14</w:t>
            </w:r>
          </w:p>
        </w:tc>
        <w:tc>
          <w:tcPr>
            <w:tcW w:w="2725"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0.47 (0.113)</w:t>
            </w:r>
          </w:p>
        </w:tc>
        <w:tc>
          <w:tcPr>
            <w:tcW w:w="175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83.00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Agriculture</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1012.69</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0.46 (0.11)</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81.94</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813.00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(0.005)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77.16</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1848.09</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 (0.025)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89.02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805.45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0.44 (0.013)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97.48</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1139.64</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0.39 (0.003)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86.52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1596.55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0.27 (0.008)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58.28</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334.18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0.63 (0.007)</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99.13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1559.36</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0.44 (0.013)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92.30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873.56</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0.49 (0.111)</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83.97</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513.30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0.52 (0.034)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80.26</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1577.15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0.52 (0.056)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92.99</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803.05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94.91</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1180.60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 (0.004)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88.59</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1145.20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 (0.015)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60.32</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406.15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0.61 (0.05)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97.37</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1355.30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(0.028)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96.75</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Plantation</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1017.18</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0.45 (0.115)</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82.14</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879.22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(0.023)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76.82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1865.67</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0.38 (0.017)</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89.75</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813.00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0.43 (0.022)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97.84</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1046.22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0.39 (0.006)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87.57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1714.89</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0.27 (0.011)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58.13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306.67</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0.62 (0.028)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98.77</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1507.00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0.45 (0.028)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91.69</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u w:val="single"/>
                <w:lang w:val="de-DE" w:eastAsia="de-DE"/>
              </w:rPr>
            </w:pPr>
            <w:proofErr w:type="spellStart"/>
            <w:r>
              <w:rPr>
                <w:rFonts w:eastAsia="Times New Roman" w:cs="Calibri"/>
                <w:b/>
                <w:bCs/>
                <w:color w:val="000000"/>
                <w:u w:val="single"/>
                <w:lang w:val="de-DE" w:eastAsia="de-DE"/>
              </w:rPr>
              <w:t>Fururu</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722.50</w:t>
            </w:r>
          </w:p>
        </w:tc>
        <w:tc>
          <w:tcPr>
            <w:tcW w:w="2725"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0.53 (0.18)</w:t>
            </w:r>
          </w:p>
        </w:tc>
        <w:tc>
          <w:tcPr>
            <w:tcW w:w="175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87.03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Agriculture</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709.39</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0.53 (0.18)</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87.63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461.50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0.61 (0.006)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87.87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1026.50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0.54 (0.008)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95.77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1183.00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0.41 (0.003)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88.20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601.63</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0.42 (0.008)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88.27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1198.50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0.33 (0.004)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66.00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420.63</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0.46 (0.004)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82.36</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757.38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0.54 (0.001)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93.55</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Forest</w:t>
            </w:r>
            <w:proofErr w:type="spellEnd"/>
            <w:r>
              <w:rPr>
                <w:rFonts w:eastAsia="Times New Roman" w:cs="Calibri"/>
                <w:b/>
                <w:bCs/>
                <w:color w:val="000000"/>
                <w:lang w:val="de-DE" w:eastAsia="de-DE"/>
              </w:rPr>
              <w:t xml:space="preserve"> Patch</w:t>
            </w:r>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728.58</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0.53 (0.182)</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86.91</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523.89</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0.6 (0.016)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88.05</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1074.78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0.52 (0.019)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95.52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1188.22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0.41 (0.009)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90.52</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577.22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0.41 (0.021)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84.27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lastRenderedPageBreak/>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1288.67</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0.33 (0.006)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65.09</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401.22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0.45 (0.013)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79.52</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750.00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0.55 (0.003)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93.46</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Plantation</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735.03</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0.52 (0.177)</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86.08</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510.75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0.59 (0.009)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87.30</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1097.25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0.51 (0.033)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95.68</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1180.25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0.41 (0.007)</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90.95</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594.50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0.39 (0.029)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80.49</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1277.75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0.33 (0.014)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64.46</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401.25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0.45 (0.025)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79.13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790.50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0.54 (0.006)</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92.90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u w:val="single"/>
                <w:lang w:val="de-DE" w:eastAsia="de-DE"/>
              </w:rPr>
            </w:pPr>
            <w:proofErr w:type="spellStart"/>
            <w:r>
              <w:rPr>
                <w:rFonts w:eastAsia="Times New Roman" w:cs="Calibri"/>
                <w:b/>
                <w:bCs/>
                <w:color w:val="000000"/>
                <w:u w:val="single"/>
                <w:lang w:val="de-DE" w:eastAsia="de-DE"/>
              </w:rPr>
              <w:t>Ndiwenyi</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795.67</w:t>
            </w:r>
          </w:p>
        </w:tc>
        <w:tc>
          <w:tcPr>
            <w:tcW w:w="2725"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0.51 (0.169)</w:t>
            </w:r>
          </w:p>
        </w:tc>
        <w:tc>
          <w:tcPr>
            <w:tcW w:w="1758" w:type="dxa"/>
            <w:noWrap/>
            <w:vAlign w:val="bottom"/>
            <w:hideMark/>
          </w:tcPr>
          <w:p w:rsidR="004964FB" w:rsidRDefault="004964FB">
            <w:pPr>
              <w:spacing w:after="0" w:line="240" w:lineRule="auto"/>
              <w:jc w:val="center"/>
              <w:rPr>
                <w:rFonts w:eastAsia="Times New Roman" w:cs="Calibri"/>
                <w:b/>
                <w:bCs/>
                <w:color w:val="000000"/>
                <w:u w:val="single"/>
                <w:lang w:val="de-DE" w:eastAsia="de-DE"/>
              </w:rPr>
            </w:pPr>
            <w:r>
              <w:rPr>
                <w:rFonts w:eastAsia="Times New Roman" w:cs="Calibri"/>
                <w:b/>
                <w:bCs/>
                <w:color w:val="000000"/>
                <w:u w:val="single"/>
                <w:lang w:val="de-DE" w:eastAsia="de-DE"/>
              </w:rPr>
              <w:t>86.56</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Agriculture</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804.31</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 (0.172)</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84.25</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635.50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0.58 (0.002)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88.61</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1272.00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0.48 (0.003)</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96.32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1275.75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 (0.002)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94.69</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550.75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0.36 (0.004)</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70.80</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1446.00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0.31 (0.007)</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63.02</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381.50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 (0.001)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71.68</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832.75</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0.55 (0.002)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93.41</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Forest</w:t>
            </w:r>
            <w:proofErr w:type="spellEnd"/>
            <w:r>
              <w:rPr>
                <w:rFonts w:eastAsia="Times New Roman" w:cs="Calibri"/>
                <w:b/>
                <w:bCs/>
                <w:color w:val="000000"/>
                <w:lang w:val="de-DE" w:eastAsia="de-DE"/>
              </w:rPr>
              <w:t xml:space="preserve"> Patch</w:t>
            </w:r>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799.41</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0.51 (0.168)</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86.63</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411.92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0.56 (0.031)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81.83</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1358.08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(0.009)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91.94</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1048.58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0.43 (0.017)</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90.77</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902.58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0.41 (0.031)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87.53</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1147.83</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0.31 (0.012)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63.51</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613.08</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0.47 (0.028)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84.19</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885.42</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0.51 (0.029)</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96.32</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b/>
                <w:bCs/>
                <w:color w:val="000000"/>
                <w:lang w:val="de-DE" w:eastAsia="de-DE"/>
              </w:rPr>
            </w:pPr>
            <w:proofErr w:type="spellStart"/>
            <w:r>
              <w:rPr>
                <w:rFonts w:eastAsia="Times New Roman" w:cs="Calibri"/>
                <w:b/>
                <w:bCs/>
                <w:color w:val="000000"/>
                <w:lang w:val="de-DE" w:eastAsia="de-DE"/>
              </w:rPr>
              <w:t>Plantation</w:t>
            </w:r>
            <w:proofErr w:type="spellEnd"/>
          </w:p>
        </w:tc>
        <w:tc>
          <w:tcPr>
            <w:tcW w:w="114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779.80</w:t>
            </w:r>
          </w:p>
        </w:tc>
        <w:tc>
          <w:tcPr>
            <w:tcW w:w="2725"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0.52 (0.169)</w:t>
            </w:r>
          </w:p>
        </w:tc>
        <w:tc>
          <w:tcPr>
            <w:tcW w:w="1758" w:type="dxa"/>
            <w:noWrap/>
            <w:vAlign w:val="bottom"/>
            <w:hideMark/>
          </w:tcPr>
          <w:p w:rsidR="004964FB" w:rsidRDefault="004964FB">
            <w:pPr>
              <w:spacing w:after="0" w:line="240" w:lineRule="auto"/>
              <w:jc w:val="center"/>
              <w:rPr>
                <w:rFonts w:eastAsia="Times New Roman" w:cs="Calibri"/>
                <w:b/>
                <w:bCs/>
                <w:color w:val="000000"/>
                <w:lang w:val="de-DE" w:eastAsia="de-DE"/>
              </w:rPr>
            </w:pPr>
            <w:r>
              <w:rPr>
                <w:rFonts w:eastAsia="Times New Roman" w:cs="Calibri"/>
                <w:b/>
                <w:bCs/>
                <w:color w:val="000000"/>
                <w:lang w:val="de-DE" w:eastAsia="de-DE"/>
              </w:rPr>
              <w:t>88.24</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built-up</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407.40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0.58 (0.018)</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84.44</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B</w:t>
            </w:r>
            <w:r w:rsidR="004964FB">
              <w:rPr>
                <w:rFonts w:eastAsia="Times New Roman" w:cs="Calibri"/>
                <w:color w:val="000000"/>
                <w:lang w:val="de-DE" w:eastAsia="de-DE"/>
              </w:rPr>
              <w:t>ushland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1335.60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0.48 (0.011)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91.67</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C</w:t>
            </w:r>
            <w:r w:rsidR="004964FB">
              <w:rPr>
                <w:rFonts w:eastAsia="Times New Roman" w:cs="Calibri"/>
                <w:color w:val="000000"/>
                <w:lang w:val="de-DE" w:eastAsia="de-DE"/>
              </w:rPr>
              <w:t>ropland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977.40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0.44 (0.005)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91.10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exotic</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868.40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0.43 (0.02)</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91.12</w:t>
            </w:r>
          </w:p>
        </w:tc>
      </w:tr>
      <w:tr w:rsidR="004964FB" w:rsidTr="004964FB">
        <w:trPr>
          <w:trHeight w:val="300"/>
        </w:trPr>
        <w:tc>
          <w:tcPr>
            <w:tcW w:w="1959" w:type="dxa"/>
            <w:noWrap/>
            <w:vAlign w:val="bottom"/>
            <w:hideMark/>
          </w:tcPr>
          <w:p w:rsidR="004964FB" w:rsidRDefault="0070516E">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G</w:t>
            </w:r>
            <w:r w:rsidR="004964FB">
              <w:rPr>
                <w:rFonts w:eastAsia="Times New Roman" w:cs="Calibri"/>
                <w:color w:val="000000"/>
                <w:lang w:val="de-DE" w:eastAsia="de-DE"/>
              </w:rPr>
              <w:t>rassland</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1125.20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0.32 (0.011)</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65.10</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indigenous</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602.60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 (0.015)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88.29</w:t>
            </w:r>
          </w:p>
        </w:tc>
      </w:tr>
      <w:tr w:rsidR="004964FB" w:rsidTr="004964FB">
        <w:trPr>
          <w:trHeight w:val="300"/>
        </w:trPr>
        <w:tc>
          <w:tcPr>
            <w:tcW w:w="1959" w:type="dxa"/>
            <w:noWrap/>
            <w:vAlign w:val="bottom"/>
            <w:hideMark/>
          </w:tcPr>
          <w:p w:rsidR="004964FB" w:rsidRDefault="004964FB">
            <w:pPr>
              <w:spacing w:after="0" w:line="240" w:lineRule="auto"/>
              <w:rPr>
                <w:rFonts w:eastAsia="Times New Roman" w:cs="Calibri"/>
                <w:color w:val="000000"/>
                <w:lang w:val="de-DE" w:eastAsia="de-DE"/>
              </w:rPr>
            </w:pPr>
            <w:proofErr w:type="spellStart"/>
            <w:r>
              <w:rPr>
                <w:rFonts w:eastAsia="Times New Roman" w:cs="Calibri"/>
                <w:color w:val="000000"/>
                <w:lang w:val="de-DE" w:eastAsia="de-DE"/>
              </w:rPr>
              <w:t>mixed</w:t>
            </w:r>
            <w:proofErr w:type="spellEnd"/>
            <w:r>
              <w:rPr>
                <w:rFonts w:eastAsia="Times New Roman" w:cs="Calibri"/>
                <w:color w:val="000000"/>
                <w:lang w:val="de-DE" w:eastAsia="de-DE"/>
              </w:rPr>
              <w:t xml:space="preserve"> </w:t>
            </w:r>
            <w:proofErr w:type="spellStart"/>
            <w:r>
              <w:rPr>
                <w:rFonts w:eastAsia="Times New Roman" w:cs="Calibri"/>
                <w:color w:val="000000"/>
                <w:lang w:val="de-DE" w:eastAsia="de-DE"/>
              </w:rPr>
              <w:t>forest</w:t>
            </w:r>
            <w:proofErr w:type="spellEnd"/>
          </w:p>
        </w:tc>
        <w:tc>
          <w:tcPr>
            <w:tcW w:w="114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900.80</w:t>
            </w:r>
          </w:p>
        </w:tc>
        <w:tc>
          <w:tcPr>
            <w:tcW w:w="2725"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0.52 (0.025)</w:t>
            </w:r>
          </w:p>
        </w:tc>
        <w:tc>
          <w:tcPr>
            <w:tcW w:w="1758" w:type="dxa"/>
            <w:noWrap/>
            <w:vAlign w:val="bottom"/>
            <w:hideMark/>
          </w:tcPr>
          <w:p w:rsidR="004964FB" w:rsidRDefault="004964FB">
            <w:pPr>
              <w:spacing w:after="0" w:line="240" w:lineRule="auto"/>
              <w:jc w:val="center"/>
              <w:rPr>
                <w:rFonts w:eastAsia="Times New Roman" w:cs="Calibri"/>
                <w:color w:val="000000"/>
                <w:lang w:val="de-DE" w:eastAsia="de-DE"/>
              </w:rPr>
            </w:pPr>
            <w:r>
              <w:rPr>
                <w:rFonts w:eastAsia="Times New Roman" w:cs="Calibri"/>
                <w:color w:val="000000"/>
                <w:lang w:val="de-DE" w:eastAsia="de-DE"/>
              </w:rPr>
              <w:t>96.39</w:t>
            </w:r>
          </w:p>
        </w:tc>
      </w:tr>
    </w:tbl>
    <w:p w:rsidR="00113FC2" w:rsidRPr="0070516E" w:rsidRDefault="00113FC2" w:rsidP="0070516E">
      <w:pPr>
        <w:spacing w:after="0" w:line="480" w:lineRule="auto"/>
        <w:rPr>
          <w:rFonts w:ascii="Times New Roman" w:eastAsia="Calibri" w:hAnsi="Times New Roman" w:cs="Times New Roman"/>
          <w:color w:val="000000"/>
          <w:sz w:val="24"/>
          <w:szCs w:val="24"/>
          <w:lang w:val="en-US"/>
        </w:rPr>
      </w:pPr>
    </w:p>
    <w:sectPr w:rsidR="00113FC2" w:rsidRPr="0070516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C2"/>
    <w:rsid w:val="00113FC2"/>
    <w:rsid w:val="004964FB"/>
    <w:rsid w:val="00586158"/>
    <w:rsid w:val="0070516E"/>
    <w:rsid w:val="009A2C6D"/>
    <w:rsid w:val="00F52F4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1614F"/>
  <w15:chartTrackingRefBased/>
  <w15:docId w15:val="{059FAC49-81A1-48CB-837D-571E6196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92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7144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Universität Salzburg</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Christian Habel</dc:creator>
  <cp:keywords/>
  <dc:description/>
  <cp:lastModifiedBy>Habel Jan Christian</cp:lastModifiedBy>
  <cp:revision>5</cp:revision>
  <dcterms:created xsi:type="dcterms:W3CDTF">2020-04-20T06:07:00Z</dcterms:created>
  <dcterms:modified xsi:type="dcterms:W3CDTF">2020-10-26T08:55:00Z</dcterms:modified>
</cp:coreProperties>
</file>