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5E05" w14:textId="77777777" w:rsidR="00CD5B9A" w:rsidRPr="000D59D8" w:rsidRDefault="00CD5B9A" w:rsidP="00CD5B9A">
      <w:pPr>
        <w:widowControl w:val="0"/>
        <w:spacing w:line="480" w:lineRule="auto"/>
        <w:rPr>
          <w:b/>
          <w:color w:val="000000" w:themeColor="text1"/>
          <w:sz w:val="20"/>
          <w:szCs w:val="20"/>
        </w:rPr>
      </w:pPr>
      <w:r w:rsidRPr="000D59D8">
        <w:rPr>
          <w:b/>
          <w:color w:val="000000" w:themeColor="text1"/>
          <w:sz w:val="20"/>
          <w:szCs w:val="20"/>
        </w:rPr>
        <w:t>SUPPLEMENTAL MATERIALS</w:t>
      </w:r>
    </w:p>
    <w:p w14:paraId="583AD96E" w14:textId="77777777" w:rsidR="00CD5B9A" w:rsidRPr="000D59D8" w:rsidRDefault="00CD5B9A" w:rsidP="00CD5B9A">
      <w:pPr>
        <w:widowControl w:val="0"/>
        <w:spacing w:line="480" w:lineRule="auto"/>
        <w:rPr>
          <w:b/>
          <w:color w:val="000000" w:themeColor="text1"/>
          <w:sz w:val="20"/>
          <w:szCs w:val="20"/>
        </w:rPr>
      </w:pPr>
      <w:r w:rsidRPr="000D59D8">
        <w:rPr>
          <w:b/>
          <w:color w:val="000000" w:themeColor="text1"/>
          <w:sz w:val="20"/>
          <w:szCs w:val="20"/>
        </w:rPr>
        <w:t>Habitat Patch Delineation Data a</w:t>
      </w:r>
      <w:bookmarkStart w:id="0" w:name="_GoBack"/>
      <w:bookmarkEnd w:id="0"/>
      <w:r w:rsidRPr="000D59D8">
        <w:rPr>
          <w:b/>
          <w:color w:val="000000" w:themeColor="text1"/>
          <w:sz w:val="20"/>
          <w:szCs w:val="20"/>
        </w:rPr>
        <w:t>nd Methods</w:t>
      </w:r>
    </w:p>
    <w:p w14:paraId="64B4354A" w14:textId="77777777" w:rsidR="00CD5B9A" w:rsidRPr="000D59D8" w:rsidRDefault="00CD5B9A" w:rsidP="00CD5B9A">
      <w:pPr>
        <w:widowControl w:val="0"/>
        <w:spacing w:line="480" w:lineRule="auto"/>
        <w:ind w:firstLine="720"/>
        <w:rPr>
          <w:color w:val="000000" w:themeColor="text1"/>
          <w:sz w:val="20"/>
          <w:szCs w:val="20"/>
        </w:rPr>
      </w:pPr>
      <w:r w:rsidRPr="000D59D8">
        <w:rPr>
          <w:color w:val="000000" w:themeColor="text1"/>
          <w:sz w:val="20"/>
          <w:szCs w:val="20"/>
        </w:rPr>
        <w:t>Potential puma reestablishment areas were delineated by selecting suitable areas defined by individual habitat components. Suitable land cover was delineated by selecting viable land cover classes from the MOD12Q1 land cover dataset for 2019 (</w:t>
      </w:r>
      <w:proofErr w:type="spellStart"/>
      <w:r w:rsidRPr="000D59D8">
        <w:rPr>
          <w:color w:val="000000" w:themeColor="text1"/>
          <w:sz w:val="20"/>
          <w:szCs w:val="20"/>
        </w:rPr>
        <w:t>Friedl</w:t>
      </w:r>
      <w:proofErr w:type="spellEnd"/>
      <w:r w:rsidRPr="000D59D8">
        <w:rPr>
          <w:color w:val="000000" w:themeColor="text1"/>
          <w:sz w:val="20"/>
          <w:szCs w:val="20"/>
        </w:rPr>
        <w:t xml:space="preserve"> and Sulla-</w:t>
      </w:r>
      <w:proofErr w:type="spellStart"/>
      <w:r w:rsidRPr="000D59D8">
        <w:rPr>
          <w:color w:val="000000" w:themeColor="text1"/>
          <w:sz w:val="20"/>
          <w:szCs w:val="20"/>
        </w:rPr>
        <w:t>Manashe</w:t>
      </w:r>
      <w:proofErr w:type="spellEnd"/>
      <w:r w:rsidRPr="000D59D8">
        <w:rPr>
          <w:color w:val="000000" w:themeColor="text1"/>
          <w:sz w:val="20"/>
          <w:szCs w:val="20"/>
        </w:rPr>
        <w:t xml:space="preserve"> 2019). These were evergreen needleleaf forest, evergreen broadleaf forest, deciduous needleleaf forest, deciduous broadleaf forest, mixed forest, closed and open shrublands, wooded savanna, and savanna. Forest cover was incorporated by selecting areas within these viable land cover classes with tree canopy cover greater than or equal to 53% using the Global Forest Cover layer (Hansen et al. 2013). Using the 2016 National Land Cover Database (NLCD) areas within 600 m of built-up land cover (low, medium, and high intensity developed) were removed (Yang et al. 2018). Areas with high housing density (&gt;0.68 units/ha) were eliminated using the Integrated Climate and Land Use Scenarios dataset (U.S. EPA 2010). This categorical dataset provides binned levels of housing density, thus areas with densities over “suburban” (1 unit per 0.6 acres) were removed.  Areas within 170 m of interstate highways were removed by buffering interstates by 170 m from the TIGER US Census Roads dataset (U.S. Census Bureau 2016). Using the SNODAS snowpack dataset, areas with a mean winter snowpack of greater than 0.5 m were eliminated (National Operational Hydrologic Remote Sensing Center, 2004).  Finally, areas with a livestock density above 14.5 animals/km</w:t>
      </w:r>
      <w:r w:rsidRPr="000D59D8">
        <w:rPr>
          <w:color w:val="000000" w:themeColor="text1"/>
          <w:sz w:val="20"/>
          <w:szCs w:val="20"/>
          <w:vertAlign w:val="superscript"/>
        </w:rPr>
        <w:t>2</w:t>
      </w:r>
      <w:r w:rsidRPr="000D59D8">
        <w:rPr>
          <w:color w:val="000000" w:themeColor="text1"/>
          <w:sz w:val="20"/>
          <w:szCs w:val="20"/>
        </w:rPr>
        <w:t xml:space="preserve"> were eliminated by including densities of cattle, sheep, goats, and pigs using a global livestock distribution dataset (Robinson et al. 2014). The resulting viable areas were converted to connected habitat patches. </w:t>
      </w:r>
    </w:p>
    <w:p w14:paraId="706D3A09" w14:textId="77777777" w:rsidR="00CD5B9A" w:rsidRPr="000D59D8" w:rsidRDefault="00CD5B9A" w:rsidP="00CD5B9A">
      <w:pPr>
        <w:widowControl w:val="0"/>
        <w:spacing w:line="480" w:lineRule="auto"/>
        <w:rPr>
          <w:color w:val="000000" w:themeColor="text1"/>
          <w:sz w:val="20"/>
          <w:szCs w:val="20"/>
        </w:rPr>
      </w:pPr>
      <w:r w:rsidRPr="000D59D8">
        <w:rPr>
          <w:color w:val="000000" w:themeColor="text1"/>
          <w:sz w:val="20"/>
          <w:szCs w:val="20"/>
        </w:rPr>
        <w:t xml:space="preserve"> </w:t>
      </w:r>
    </w:p>
    <w:p w14:paraId="29586987" w14:textId="77777777" w:rsidR="00CD5B9A" w:rsidRPr="000D59D8" w:rsidRDefault="00CD5B9A" w:rsidP="00CD5B9A">
      <w:pPr>
        <w:widowControl w:val="0"/>
        <w:spacing w:before="220" w:after="220" w:line="480" w:lineRule="auto"/>
        <w:rPr>
          <w:b/>
          <w:color w:val="000000" w:themeColor="text1"/>
          <w:sz w:val="20"/>
          <w:szCs w:val="20"/>
        </w:rPr>
      </w:pPr>
      <w:r w:rsidRPr="000D59D8">
        <w:rPr>
          <w:b/>
          <w:color w:val="000000" w:themeColor="text1"/>
          <w:sz w:val="20"/>
          <w:szCs w:val="20"/>
        </w:rPr>
        <w:t>References</w:t>
      </w:r>
    </w:p>
    <w:p w14:paraId="3FD51611" w14:textId="77777777" w:rsidR="00CD5B9A" w:rsidRPr="000D59D8" w:rsidRDefault="00CD5B9A" w:rsidP="00CD5B9A">
      <w:pPr>
        <w:widowControl w:val="0"/>
        <w:shd w:val="clear" w:color="auto" w:fill="FFFFFF"/>
        <w:spacing w:line="480" w:lineRule="auto"/>
        <w:ind w:left="720" w:hanging="720"/>
        <w:rPr>
          <w:color w:val="000000" w:themeColor="text1"/>
          <w:sz w:val="20"/>
          <w:szCs w:val="20"/>
        </w:rPr>
      </w:pPr>
      <w:r w:rsidRPr="000D59D8">
        <w:rPr>
          <w:color w:val="000000" w:themeColor="text1"/>
          <w:sz w:val="20"/>
          <w:szCs w:val="20"/>
        </w:rPr>
        <w:t xml:space="preserve">Center for International Earth Science Information Network, Columbia University. (2018). Gridded Population of the World, Version 4 (GPWv4): Population Density, Revision 11. Palisades, NY: NASA Socioeconomic Data and Applications Center (SEDAC). </w:t>
      </w:r>
      <w:hyperlink r:id="rId6">
        <w:r w:rsidRPr="000D59D8">
          <w:rPr>
            <w:color w:val="000000" w:themeColor="text1"/>
            <w:sz w:val="20"/>
            <w:szCs w:val="20"/>
          </w:rPr>
          <w:t>https://doi.org/10.7927/H49C6VHW</w:t>
        </w:r>
      </w:hyperlink>
      <w:r w:rsidRPr="000D59D8">
        <w:rPr>
          <w:color w:val="000000" w:themeColor="text1"/>
          <w:sz w:val="20"/>
          <w:szCs w:val="20"/>
        </w:rPr>
        <w:t>.</w:t>
      </w:r>
    </w:p>
    <w:p w14:paraId="6CBC6297" w14:textId="77777777" w:rsidR="00CD5B9A" w:rsidRPr="000D59D8" w:rsidRDefault="00CD5B9A" w:rsidP="00CD5B9A">
      <w:pPr>
        <w:widowControl w:val="0"/>
        <w:shd w:val="clear" w:color="auto" w:fill="FFFFFF"/>
        <w:spacing w:line="480" w:lineRule="auto"/>
        <w:ind w:left="720" w:hanging="720"/>
        <w:rPr>
          <w:color w:val="000000" w:themeColor="text1"/>
          <w:sz w:val="20"/>
          <w:szCs w:val="20"/>
        </w:rPr>
      </w:pPr>
      <w:r w:rsidRPr="000D59D8">
        <w:rPr>
          <w:color w:val="000000" w:themeColor="text1"/>
          <w:sz w:val="20"/>
          <w:szCs w:val="20"/>
        </w:rPr>
        <w:t>Conservation Biology Institute. (2012). PAD-US (CBI Edition) Version 2. Conservation Biology Institute, Corvallis, Oregon, USA.</w:t>
      </w:r>
    </w:p>
    <w:p w14:paraId="121F2196" w14:textId="77777777" w:rsidR="00CD5B9A" w:rsidRPr="000D59D8" w:rsidRDefault="00CD5B9A" w:rsidP="00CD5B9A">
      <w:pPr>
        <w:widowControl w:val="0"/>
        <w:shd w:val="clear" w:color="auto" w:fill="FFFFFF"/>
        <w:spacing w:line="480" w:lineRule="auto"/>
        <w:ind w:left="720" w:hanging="720"/>
        <w:rPr>
          <w:color w:val="000000" w:themeColor="text1"/>
          <w:sz w:val="20"/>
          <w:szCs w:val="20"/>
        </w:rPr>
      </w:pPr>
      <w:proofErr w:type="spellStart"/>
      <w:r w:rsidRPr="000D59D8">
        <w:rPr>
          <w:color w:val="000000" w:themeColor="text1"/>
          <w:sz w:val="20"/>
          <w:szCs w:val="20"/>
        </w:rPr>
        <w:t>Friedl</w:t>
      </w:r>
      <w:proofErr w:type="spellEnd"/>
      <w:r w:rsidRPr="000D59D8">
        <w:rPr>
          <w:color w:val="000000" w:themeColor="text1"/>
          <w:sz w:val="20"/>
          <w:szCs w:val="20"/>
        </w:rPr>
        <w:t xml:space="preserve">, M., Sulla-Menashe, D. (2019). </w:t>
      </w:r>
      <w:r w:rsidRPr="000D59D8">
        <w:rPr>
          <w:i/>
          <w:color w:val="000000" w:themeColor="text1"/>
          <w:sz w:val="20"/>
          <w:szCs w:val="20"/>
        </w:rPr>
        <w:t>MCD12Q1 MODIS/</w:t>
      </w:r>
      <w:proofErr w:type="spellStart"/>
      <w:r w:rsidRPr="000D59D8">
        <w:rPr>
          <w:i/>
          <w:color w:val="000000" w:themeColor="text1"/>
          <w:sz w:val="20"/>
          <w:szCs w:val="20"/>
        </w:rPr>
        <w:t>Terra+Aqua</w:t>
      </w:r>
      <w:proofErr w:type="spellEnd"/>
      <w:r w:rsidRPr="000D59D8">
        <w:rPr>
          <w:i/>
          <w:color w:val="000000" w:themeColor="text1"/>
          <w:sz w:val="20"/>
          <w:szCs w:val="20"/>
        </w:rPr>
        <w:t xml:space="preserve"> Land Cover Type Yearly L3 Global 500m SIN Grid V006</w:t>
      </w:r>
      <w:r w:rsidRPr="000D59D8">
        <w:rPr>
          <w:color w:val="000000" w:themeColor="text1"/>
          <w:sz w:val="20"/>
          <w:szCs w:val="20"/>
        </w:rPr>
        <w:t xml:space="preserve"> [Data set]. NASA EOSDIS Land Processes DAAC. </w:t>
      </w:r>
    </w:p>
    <w:p w14:paraId="4F582C2B" w14:textId="77777777" w:rsidR="00CD5B9A" w:rsidRPr="000D59D8" w:rsidRDefault="00CD5B9A" w:rsidP="00CD5B9A">
      <w:pPr>
        <w:widowControl w:val="0"/>
        <w:shd w:val="clear" w:color="auto" w:fill="FFFFFF"/>
        <w:spacing w:line="480" w:lineRule="auto"/>
        <w:ind w:left="720" w:hanging="720"/>
        <w:rPr>
          <w:color w:val="000000" w:themeColor="text1"/>
          <w:sz w:val="20"/>
          <w:szCs w:val="20"/>
        </w:rPr>
      </w:pPr>
      <w:r w:rsidRPr="000D59D8">
        <w:rPr>
          <w:color w:val="000000" w:themeColor="text1"/>
          <w:sz w:val="20"/>
          <w:szCs w:val="20"/>
        </w:rPr>
        <w:lastRenderedPageBreak/>
        <w:t xml:space="preserve">Hansen, M.C., </w:t>
      </w:r>
      <w:proofErr w:type="spellStart"/>
      <w:r w:rsidRPr="000D59D8">
        <w:rPr>
          <w:color w:val="000000" w:themeColor="text1"/>
          <w:sz w:val="20"/>
          <w:szCs w:val="20"/>
        </w:rPr>
        <w:t>Potapov</w:t>
      </w:r>
      <w:proofErr w:type="spellEnd"/>
      <w:r w:rsidRPr="000D59D8">
        <w:rPr>
          <w:color w:val="000000" w:themeColor="text1"/>
          <w:sz w:val="20"/>
          <w:szCs w:val="20"/>
        </w:rPr>
        <w:t xml:space="preserve">, P.V., Moore, R., </w:t>
      </w:r>
      <w:proofErr w:type="spellStart"/>
      <w:r w:rsidRPr="000D59D8">
        <w:rPr>
          <w:color w:val="000000" w:themeColor="text1"/>
          <w:sz w:val="20"/>
          <w:szCs w:val="20"/>
        </w:rPr>
        <w:t>Hancher</w:t>
      </w:r>
      <w:proofErr w:type="spellEnd"/>
      <w:r w:rsidRPr="000D59D8">
        <w:rPr>
          <w:color w:val="000000" w:themeColor="text1"/>
          <w:sz w:val="20"/>
          <w:szCs w:val="20"/>
        </w:rPr>
        <w:t xml:space="preserve">, M., </w:t>
      </w:r>
      <w:proofErr w:type="spellStart"/>
      <w:r w:rsidRPr="000D59D8">
        <w:rPr>
          <w:color w:val="000000" w:themeColor="text1"/>
          <w:sz w:val="20"/>
          <w:szCs w:val="20"/>
        </w:rPr>
        <w:t>Turubanova</w:t>
      </w:r>
      <w:proofErr w:type="spellEnd"/>
      <w:r w:rsidRPr="000D59D8">
        <w:rPr>
          <w:color w:val="000000" w:themeColor="text1"/>
          <w:sz w:val="20"/>
          <w:szCs w:val="20"/>
        </w:rPr>
        <w:t xml:space="preserve">, S.A., </w:t>
      </w:r>
      <w:proofErr w:type="spellStart"/>
      <w:r w:rsidRPr="000D59D8">
        <w:rPr>
          <w:color w:val="000000" w:themeColor="text1"/>
          <w:sz w:val="20"/>
          <w:szCs w:val="20"/>
        </w:rPr>
        <w:t>Tyukavina</w:t>
      </w:r>
      <w:proofErr w:type="spellEnd"/>
      <w:r w:rsidRPr="000D59D8">
        <w:rPr>
          <w:color w:val="000000" w:themeColor="text1"/>
          <w:sz w:val="20"/>
          <w:szCs w:val="20"/>
        </w:rPr>
        <w:t xml:space="preserve">, A., </w:t>
      </w:r>
      <w:proofErr w:type="spellStart"/>
      <w:r w:rsidRPr="000D59D8">
        <w:rPr>
          <w:color w:val="000000" w:themeColor="text1"/>
          <w:sz w:val="20"/>
          <w:szCs w:val="20"/>
        </w:rPr>
        <w:t>Thau</w:t>
      </w:r>
      <w:proofErr w:type="spellEnd"/>
      <w:r w:rsidRPr="000D59D8">
        <w:rPr>
          <w:color w:val="000000" w:themeColor="text1"/>
          <w:sz w:val="20"/>
          <w:szCs w:val="20"/>
        </w:rPr>
        <w:t xml:space="preserve">, D., Stehman, S.V., Goetz, S.J., Loveland, T.R. and </w:t>
      </w:r>
      <w:proofErr w:type="spellStart"/>
      <w:r w:rsidRPr="000D59D8">
        <w:rPr>
          <w:color w:val="000000" w:themeColor="text1"/>
          <w:sz w:val="20"/>
          <w:szCs w:val="20"/>
        </w:rPr>
        <w:t>Kommareddy</w:t>
      </w:r>
      <w:proofErr w:type="spellEnd"/>
      <w:r w:rsidRPr="000D59D8">
        <w:rPr>
          <w:color w:val="000000" w:themeColor="text1"/>
          <w:sz w:val="20"/>
          <w:szCs w:val="20"/>
        </w:rPr>
        <w:t xml:space="preserve">, A., (2013). High-resolution global maps of 21st-century forest cover change. </w:t>
      </w:r>
      <w:r w:rsidRPr="000D59D8">
        <w:rPr>
          <w:i/>
          <w:color w:val="000000" w:themeColor="text1"/>
          <w:sz w:val="20"/>
          <w:szCs w:val="20"/>
        </w:rPr>
        <w:t>Science</w:t>
      </w:r>
      <w:r w:rsidRPr="000D59D8">
        <w:rPr>
          <w:color w:val="000000" w:themeColor="text1"/>
          <w:sz w:val="20"/>
          <w:szCs w:val="20"/>
        </w:rPr>
        <w:t xml:space="preserve">, </w:t>
      </w:r>
      <w:r w:rsidRPr="000D59D8">
        <w:rPr>
          <w:i/>
          <w:color w:val="000000" w:themeColor="text1"/>
          <w:sz w:val="20"/>
          <w:szCs w:val="20"/>
        </w:rPr>
        <w:t>342</w:t>
      </w:r>
      <w:r w:rsidRPr="000D59D8">
        <w:rPr>
          <w:color w:val="000000" w:themeColor="text1"/>
          <w:sz w:val="20"/>
          <w:szCs w:val="20"/>
        </w:rPr>
        <w:t>(6160), pp.850-853.</w:t>
      </w:r>
    </w:p>
    <w:p w14:paraId="04A33BB3" w14:textId="77777777" w:rsidR="00CD5B9A" w:rsidRPr="000D59D8" w:rsidRDefault="00CD5B9A" w:rsidP="00CD5B9A">
      <w:pPr>
        <w:widowControl w:val="0"/>
        <w:shd w:val="clear" w:color="auto" w:fill="FFFFFF"/>
        <w:spacing w:line="480" w:lineRule="auto"/>
        <w:ind w:left="720" w:hanging="720"/>
        <w:rPr>
          <w:color w:val="000000" w:themeColor="text1"/>
          <w:sz w:val="20"/>
          <w:szCs w:val="20"/>
        </w:rPr>
      </w:pPr>
      <w:r w:rsidRPr="000D59D8">
        <w:rPr>
          <w:color w:val="000000" w:themeColor="text1"/>
          <w:sz w:val="20"/>
          <w:szCs w:val="20"/>
        </w:rPr>
        <w:t xml:space="preserve">National Operational Hydrologic Remote Sensing Center. 2004. </w:t>
      </w:r>
      <w:r w:rsidRPr="000D59D8">
        <w:rPr>
          <w:i/>
          <w:color w:val="000000" w:themeColor="text1"/>
          <w:sz w:val="20"/>
          <w:szCs w:val="20"/>
        </w:rPr>
        <w:t>Snow Data Assimilation System (SNODAS) Data Products at NSIDC, Version 1</w:t>
      </w:r>
      <w:r w:rsidRPr="000D59D8">
        <w:rPr>
          <w:color w:val="000000" w:themeColor="text1"/>
          <w:sz w:val="20"/>
          <w:szCs w:val="20"/>
        </w:rPr>
        <w:t xml:space="preserve">. Boulder, Colorado USA. NSIDC: National Snow and Ice Data Center. </w:t>
      </w:r>
      <w:proofErr w:type="spellStart"/>
      <w:r w:rsidRPr="000D59D8">
        <w:rPr>
          <w:color w:val="000000" w:themeColor="text1"/>
          <w:sz w:val="20"/>
          <w:szCs w:val="20"/>
        </w:rPr>
        <w:t>doi</w:t>
      </w:r>
      <w:proofErr w:type="spellEnd"/>
      <w:r w:rsidRPr="000D59D8">
        <w:rPr>
          <w:color w:val="000000" w:themeColor="text1"/>
          <w:sz w:val="20"/>
          <w:szCs w:val="20"/>
        </w:rPr>
        <w:t xml:space="preserve">: </w:t>
      </w:r>
      <w:hyperlink r:id="rId7">
        <w:r w:rsidRPr="000D59D8">
          <w:rPr>
            <w:color w:val="000000" w:themeColor="text1"/>
            <w:sz w:val="20"/>
            <w:szCs w:val="20"/>
          </w:rPr>
          <w:t>https://doi.org/10.7265/N5TB14TC</w:t>
        </w:r>
      </w:hyperlink>
      <w:r w:rsidRPr="000D59D8">
        <w:rPr>
          <w:color w:val="000000" w:themeColor="text1"/>
          <w:sz w:val="20"/>
          <w:szCs w:val="20"/>
        </w:rPr>
        <w:t>. October, 2021.</w:t>
      </w:r>
    </w:p>
    <w:p w14:paraId="0535FFD9" w14:textId="77777777" w:rsidR="00CD5B9A" w:rsidRPr="000D59D8" w:rsidRDefault="00CD5B9A" w:rsidP="00CD5B9A">
      <w:pPr>
        <w:widowControl w:val="0"/>
        <w:spacing w:line="480" w:lineRule="auto"/>
        <w:ind w:left="720" w:hanging="720"/>
        <w:rPr>
          <w:color w:val="000000" w:themeColor="text1"/>
          <w:sz w:val="20"/>
          <w:szCs w:val="20"/>
        </w:rPr>
      </w:pPr>
      <w:r w:rsidRPr="000D59D8">
        <w:rPr>
          <w:color w:val="000000" w:themeColor="text1"/>
          <w:sz w:val="20"/>
          <w:szCs w:val="20"/>
        </w:rPr>
        <w:t xml:space="preserve">Robinson, T.P., </w:t>
      </w:r>
      <w:proofErr w:type="spellStart"/>
      <w:r w:rsidRPr="000D59D8">
        <w:rPr>
          <w:color w:val="000000" w:themeColor="text1"/>
          <w:sz w:val="20"/>
          <w:szCs w:val="20"/>
        </w:rPr>
        <w:t>Wint</w:t>
      </w:r>
      <w:proofErr w:type="spellEnd"/>
      <w:r w:rsidRPr="000D59D8">
        <w:rPr>
          <w:color w:val="000000" w:themeColor="text1"/>
          <w:sz w:val="20"/>
          <w:szCs w:val="20"/>
        </w:rPr>
        <w:t xml:space="preserve">, G.W., </w:t>
      </w:r>
      <w:proofErr w:type="spellStart"/>
      <w:r w:rsidRPr="000D59D8">
        <w:rPr>
          <w:color w:val="000000" w:themeColor="text1"/>
          <w:sz w:val="20"/>
          <w:szCs w:val="20"/>
        </w:rPr>
        <w:t>Conchedda</w:t>
      </w:r>
      <w:proofErr w:type="spellEnd"/>
      <w:r w:rsidRPr="000D59D8">
        <w:rPr>
          <w:color w:val="000000" w:themeColor="text1"/>
          <w:sz w:val="20"/>
          <w:szCs w:val="20"/>
        </w:rPr>
        <w:t xml:space="preserve">, G., Van </w:t>
      </w:r>
      <w:proofErr w:type="spellStart"/>
      <w:r w:rsidRPr="000D59D8">
        <w:rPr>
          <w:color w:val="000000" w:themeColor="text1"/>
          <w:sz w:val="20"/>
          <w:szCs w:val="20"/>
        </w:rPr>
        <w:t>Boeckel</w:t>
      </w:r>
      <w:proofErr w:type="spellEnd"/>
      <w:r w:rsidRPr="000D59D8">
        <w:rPr>
          <w:color w:val="000000" w:themeColor="text1"/>
          <w:sz w:val="20"/>
          <w:szCs w:val="20"/>
        </w:rPr>
        <w:t xml:space="preserve">, T.P., </w:t>
      </w:r>
      <w:proofErr w:type="spellStart"/>
      <w:r w:rsidRPr="000D59D8">
        <w:rPr>
          <w:color w:val="000000" w:themeColor="text1"/>
          <w:sz w:val="20"/>
          <w:szCs w:val="20"/>
        </w:rPr>
        <w:t>Ercoli</w:t>
      </w:r>
      <w:proofErr w:type="spellEnd"/>
      <w:r w:rsidRPr="000D59D8">
        <w:rPr>
          <w:color w:val="000000" w:themeColor="text1"/>
          <w:sz w:val="20"/>
          <w:szCs w:val="20"/>
        </w:rPr>
        <w:t xml:space="preserve">, V., </w:t>
      </w:r>
      <w:proofErr w:type="spellStart"/>
      <w:r w:rsidRPr="000D59D8">
        <w:rPr>
          <w:color w:val="000000" w:themeColor="text1"/>
          <w:sz w:val="20"/>
          <w:szCs w:val="20"/>
        </w:rPr>
        <w:t>Palamara</w:t>
      </w:r>
      <w:proofErr w:type="spellEnd"/>
      <w:r w:rsidRPr="000D59D8">
        <w:rPr>
          <w:color w:val="000000" w:themeColor="text1"/>
          <w:sz w:val="20"/>
          <w:szCs w:val="20"/>
        </w:rPr>
        <w:t xml:space="preserve">, E., </w:t>
      </w:r>
      <w:proofErr w:type="spellStart"/>
      <w:r w:rsidRPr="000D59D8">
        <w:rPr>
          <w:color w:val="000000" w:themeColor="text1"/>
          <w:sz w:val="20"/>
          <w:szCs w:val="20"/>
        </w:rPr>
        <w:t>Cinardi</w:t>
      </w:r>
      <w:proofErr w:type="spellEnd"/>
      <w:r w:rsidRPr="000D59D8">
        <w:rPr>
          <w:color w:val="000000" w:themeColor="text1"/>
          <w:sz w:val="20"/>
          <w:szCs w:val="20"/>
        </w:rPr>
        <w:t xml:space="preserve">, G., </w:t>
      </w:r>
      <w:proofErr w:type="spellStart"/>
      <w:r w:rsidRPr="000D59D8">
        <w:rPr>
          <w:color w:val="000000" w:themeColor="text1"/>
          <w:sz w:val="20"/>
          <w:szCs w:val="20"/>
        </w:rPr>
        <w:t>D'Aietti</w:t>
      </w:r>
      <w:proofErr w:type="spellEnd"/>
      <w:r w:rsidRPr="000D59D8">
        <w:rPr>
          <w:color w:val="000000" w:themeColor="text1"/>
          <w:sz w:val="20"/>
          <w:szCs w:val="20"/>
        </w:rPr>
        <w:t xml:space="preserve">, L., Hay, S.I. and Gilbert, M., (2014). Mapping the global distribution of livestock. </w:t>
      </w:r>
      <w:proofErr w:type="spellStart"/>
      <w:r w:rsidRPr="000D59D8">
        <w:rPr>
          <w:i/>
          <w:color w:val="000000" w:themeColor="text1"/>
          <w:sz w:val="20"/>
          <w:szCs w:val="20"/>
        </w:rPr>
        <w:t>PloS</w:t>
      </w:r>
      <w:proofErr w:type="spellEnd"/>
      <w:r w:rsidRPr="000D59D8">
        <w:rPr>
          <w:i/>
          <w:color w:val="000000" w:themeColor="text1"/>
          <w:sz w:val="20"/>
          <w:szCs w:val="20"/>
        </w:rPr>
        <w:t xml:space="preserve"> one</w:t>
      </w:r>
      <w:r w:rsidRPr="000D59D8">
        <w:rPr>
          <w:color w:val="000000" w:themeColor="text1"/>
          <w:sz w:val="20"/>
          <w:szCs w:val="20"/>
        </w:rPr>
        <w:t xml:space="preserve">, </w:t>
      </w:r>
      <w:r w:rsidRPr="000D59D8">
        <w:rPr>
          <w:i/>
          <w:color w:val="000000" w:themeColor="text1"/>
          <w:sz w:val="20"/>
          <w:szCs w:val="20"/>
        </w:rPr>
        <w:t>9</w:t>
      </w:r>
      <w:r w:rsidRPr="000D59D8">
        <w:rPr>
          <w:color w:val="000000" w:themeColor="text1"/>
          <w:sz w:val="20"/>
          <w:szCs w:val="20"/>
        </w:rPr>
        <w:t>(5), p.e96084.</w:t>
      </w:r>
    </w:p>
    <w:p w14:paraId="03A4D5B1" w14:textId="77777777" w:rsidR="00CD5B9A" w:rsidRPr="000D59D8" w:rsidRDefault="00CD5B9A" w:rsidP="00CD5B9A">
      <w:pPr>
        <w:widowControl w:val="0"/>
        <w:spacing w:line="480" w:lineRule="auto"/>
        <w:ind w:left="720" w:hanging="720"/>
        <w:rPr>
          <w:color w:val="000000" w:themeColor="text1"/>
          <w:sz w:val="20"/>
          <w:szCs w:val="20"/>
        </w:rPr>
      </w:pPr>
      <w:r w:rsidRPr="000D59D8">
        <w:rPr>
          <w:color w:val="000000" w:themeColor="text1"/>
          <w:sz w:val="20"/>
          <w:szCs w:val="20"/>
        </w:rPr>
        <w:t xml:space="preserve">U.S. Census Bureau. (2016) TIGER/Line Shapefiles Technical Documentation, </w:t>
      </w:r>
      <w:hyperlink r:id="rId8">
        <w:r w:rsidRPr="000D59D8">
          <w:rPr>
            <w:color w:val="000000" w:themeColor="text1"/>
            <w:sz w:val="20"/>
            <w:szCs w:val="20"/>
            <w:u w:val="single"/>
          </w:rPr>
          <w:t>https://assets.nhgis.org/original-data/gis/TIGER_2016_TechDoc.pdf</w:t>
        </w:r>
      </w:hyperlink>
    </w:p>
    <w:p w14:paraId="65A6A112" w14:textId="77777777" w:rsidR="00CD5B9A" w:rsidRPr="000D59D8" w:rsidRDefault="00CD5B9A" w:rsidP="00CD5B9A">
      <w:pPr>
        <w:widowControl w:val="0"/>
        <w:spacing w:line="480" w:lineRule="auto"/>
        <w:ind w:left="720" w:hanging="720"/>
        <w:rPr>
          <w:color w:val="000000" w:themeColor="text1"/>
          <w:sz w:val="20"/>
          <w:szCs w:val="20"/>
        </w:rPr>
      </w:pPr>
      <w:r w:rsidRPr="000D59D8">
        <w:rPr>
          <w:color w:val="000000" w:themeColor="text1"/>
          <w:sz w:val="20"/>
          <w:szCs w:val="20"/>
        </w:rPr>
        <w:t>U.S. Environmental Protection Agency. (2010). Integrated Climate and Land-Use Scenarios (</w:t>
      </w:r>
      <w:proofErr w:type="spellStart"/>
      <w:r w:rsidRPr="000D59D8">
        <w:rPr>
          <w:color w:val="000000" w:themeColor="text1"/>
          <w:sz w:val="20"/>
          <w:szCs w:val="20"/>
        </w:rPr>
        <w:t>Iclus</w:t>
      </w:r>
      <w:proofErr w:type="spellEnd"/>
      <w:r w:rsidRPr="000D59D8">
        <w:rPr>
          <w:color w:val="000000" w:themeColor="text1"/>
          <w:sz w:val="20"/>
          <w:szCs w:val="20"/>
        </w:rPr>
        <w:t xml:space="preserve">) V1.3 User’s Manual: </w:t>
      </w:r>
      <w:proofErr w:type="spellStart"/>
      <w:r w:rsidRPr="000D59D8">
        <w:rPr>
          <w:color w:val="000000" w:themeColor="text1"/>
          <w:sz w:val="20"/>
          <w:szCs w:val="20"/>
        </w:rPr>
        <w:t>Arcgis</w:t>
      </w:r>
      <w:proofErr w:type="spellEnd"/>
      <w:r w:rsidRPr="000D59D8">
        <w:rPr>
          <w:color w:val="000000" w:themeColor="text1"/>
          <w:sz w:val="20"/>
          <w:szCs w:val="20"/>
        </w:rPr>
        <w:t xml:space="preserve"> Tools and Datasets for Modeling US Housing Density Growth. U.S. Environmental Protection Agency, Washington, DC, USA.</w:t>
      </w:r>
    </w:p>
    <w:p w14:paraId="447E0B1A" w14:textId="77777777" w:rsidR="00CD5B9A" w:rsidRPr="000D59D8" w:rsidRDefault="00CD5B9A" w:rsidP="00CD5B9A">
      <w:pPr>
        <w:widowControl w:val="0"/>
        <w:spacing w:line="480" w:lineRule="auto"/>
        <w:ind w:left="720" w:hanging="720"/>
        <w:rPr>
          <w:color w:val="000000" w:themeColor="text1"/>
          <w:sz w:val="20"/>
          <w:szCs w:val="20"/>
        </w:rPr>
      </w:pPr>
      <w:r w:rsidRPr="000D59D8">
        <w:rPr>
          <w:color w:val="000000" w:themeColor="text1"/>
          <w:sz w:val="20"/>
          <w:szCs w:val="20"/>
        </w:rPr>
        <w:t xml:space="preserve">Yang, L., </w:t>
      </w:r>
      <w:proofErr w:type="spellStart"/>
      <w:r w:rsidRPr="000D59D8">
        <w:rPr>
          <w:color w:val="000000" w:themeColor="text1"/>
          <w:sz w:val="20"/>
          <w:szCs w:val="20"/>
        </w:rPr>
        <w:t>Jin</w:t>
      </w:r>
      <w:proofErr w:type="spellEnd"/>
      <w:r w:rsidRPr="000D59D8">
        <w:rPr>
          <w:color w:val="000000" w:themeColor="text1"/>
          <w:sz w:val="20"/>
          <w:szCs w:val="20"/>
        </w:rPr>
        <w:t xml:space="preserve">, S., Danielson, P., Homer, C., </w:t>
      </w:r>
      <w:proofErr w:type="spellStart"/>
      <w:r w:rsidRPr="000D59D8">
        <w:rPr>
          <w:color w:val="000000" w:themeColor="text1"/>
          <w:sz w:val="20"/>
          <w:szCs w:val="20"/>
        </w:rPr>
        <w:t>Gass</w:t>
      </w:r>
      <w:proofErr w:type="spellEnd"/>
      <w:r w:rsidRPr="000D59D8">
        <w:rPr>
          <w:color w:val="000000" w:themeColor="text1"/>
          <w:sz w:val="20"/>
          <w:szCs w:val="20"/>
        </w:rPr>
        <w:t xml:space="preserve">, L., Bender, S.M., Case, A., Costello, C., </w:t>
      </w:r>
      <w:proofErr w:type="spellStart"/>
      <w:r w:rsidRPr="000D59D8">
        <w:rPr>
          <w:color w:val="000000" w:themeColor="text1"/>
          <w:sz w:val="20"/>
          <w:szCs w:val="20"/>
        </w:rPr>
        <w:t>Dewitz</w:t>
      </w:r>
      <w:proofErr w:type="spellEnd"/>
      <w:r w:rsidRPr="000D59D8">
        <w:rPr>
          <w:color w:val="000000" w:themeColor="text1"/>
          <w:sz w:val="20"/>
          <w:szCs w:val="20"/>
        </w:rPr>
        <w:t xml:space="preserve">, J., Fry, J. and Funk, M., (2018). A new generation of the United States National Land Cover Database: Requirements, research priorities, design, and implementation strategies. </w:t>
      </w:r>
      <w:r w:rsidRPr="000D59D8">
        <w:rPr>
          <w:i/>
          <w:color w:val="000000" w:themeColor="text1"/>
          <w:sz w:val="20"/>
          <w:szCs w:val="20"/>
        </w:rPr>
        <w:t>ISPRS journal of photogrammetry and remote sensing</w:t>
      </w:r>
      <w:r w:rsidRPr="000D59D8">
        <w:rPr>
          <w:color w:val="000000" w:themeColor="text1"/>
          <w:sz w:val="20"/>
          <w:szCs w:val="20"/>
        </w:rPr>
        <w:t xml:space="preserve">, </w:t>
      </w:r>
      <w:r w:rsidRPr="000D59D8">
        <w:rPr>
          <w:i/>
          <w:color w:val="000000" w:themeColor="text1"/>
          <w:sz w:val="20"/>
          <w:szCs w:val="20"/>
        </w:rPr>
        <w:t>146</w:t>
      </w:r>
      <w:r w:rsidRPr="000D59D8">
        <w:rPr>
          <w:color w:val="000000" w:themeColor="text1"/>
          <w:sz w:val="20"/>
          <w:szCs w:val="20"/>
        </w:rPr>
        <w:t>,108-123.</w:t>
      </w:r>
    </w:p>
    <w:p w14:paraId="6D4C702C" w14:textId="77777777" w:rsidR="00CD5B9A" w:rsidRPr="000D59D8" w:rsidRDefault="00CD5B9A">
      <w:pPr>
        <w:rPr>
          <w:color w:val="000000" w:themeColor="text1"/>
        </w:rPr>
      </w:pPr>
    </w:p>
    <w:sectPr w:rsidR="00CD5B9A" w:rsidRPr="000D59D8" w:rsidSect="000D59D8">
      <w:headerReference w:type="default" r:id="rId9"/>
      <w:footerReference w:type="even" r:id="rId10"/>
      <w:footerReference w:type="default" r:id="rId11"/>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E2B81" w14:textId="77777777" w:rsidR="006B3558" w:rsidRDefault="006B3558" w:rsidP="006A2C45">
      <w:r>
        <w:separator/>
      </w:r>
    </w:p>
  </w:endnote>
  <w:endnote w:type="continuationSeparator" w:id="0">
    <w:p w14:paraId="78E693C8" w14:textId="77777777" w:rsidR="006B3558" w:rsidRDefault="006B3558" w:rsidP="006A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87241616"/>
      <w:docPartObj>
        <w:docPartGallery w:val="Page Numbers (Bottom of Page)"/>
        <w:docPartUnique/>
      </w:docPartObj>
    </w:sdtPr>
    <w:sdtEndPr>
      <w:rPr>
        <w:rStyle w:val="PageNumber"/>
      </w:rPr>
    </w:sdtEndPr>
    <w:sdtContent>
      <w:p w14:paraId="11B860DC" w14:textId="6BF7AB5E" w:rsidR="00FF2900" w:rsidRDefault="00FF2900" w:rsidP="009D75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45B833" w14:textId="77777777" w:rsidR="00FF2900" w:rsidRDefault="00FF29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2155359"/>
      <w:docPartObj>
        <w:docPartGallery w:val="Page Numbers (Bottom of Page)"/>
        <w:docPartUnique/>
      </w:docPartObj>
    </w:sdtPr>
    <w:sdtEndPr>
      <w:rPr>
        <w:rStyle w:val="PageNumber"/>
      </w:rPr>
    </w:sdtEndPr>
    <w:sdtContent>
      <w:p w14:paraId="7A48D659" w14:textId="4872EB52" w:rsidR="00FF2900" w:rsidRDefault="00FF2900" w:rsidP="009D75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D59D8">
          <w:rPr>
            <w:rStyle w:val="PageNumber"/>
            <w:noProof/>
          </w:rPr>
          <w:t>2</w:t>
        </w:r>
        <w:r>
          <w:rPr>
            <w:rStyle w:val="PageNumber"/>
          </w:rPr>
          <w:fldChar w:fldCharType="end"/>
        </w:r>
      </w:p>
    </w:sdtContent>
  </w:sdt>
  <w:p w14:paraId="432EED0D" w14:textId="77777777" w:rsidR="00FF2900" w:rsidRDefault="00FF2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A5704" w14:textId="77777777" w:rsidR="006B3558" w:rsidRDefault="006B3558" w:rsidP="006A2C45">
      <w:r>
        <w:separator/>
      </w:r>
    </w:p>
  </w:footnote>
  <w:footnote w:type="continuationSeparator" w:id="0">
    <w:p w14:paraId="72F03453" w14:textId="77777777" w:rsidR="006B3558" w:rsidRDefault="006B3558" w:rsidP="006A2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1E40C" w14:textId="77777777" w:rsidR="006A2C45" w:rsidRPr="00F55AAB" w:rsidRDefault="006A2C45" w:rsidP="006A2C45">
    <w:pPr>
      <w:spacing w:line="480" w:lineRule="auto"/>
      <w:jc w:val="right"/>
      <w:rPr>
        <w:b/>
        <w:sz w:val="20"/>
        <w:szCs w:val="20"/>
      </w:rPr>
    </w:pPr>
    <w:r w:rsidRPr="00F55AAB">
      <w:rPr>
        <w:b/>
        <w:sz w:val="20"/>
        <w:szCs w:val="20"/>
      </w:rPr>
      <w:t>Determining Puma Habitat Suitability in the Eastern USA</w:t>
    </w:r>
  </w:p>
  <w:p w14:paraId="121682E3" w14:textId="77777777" w:rsidR="006A2C45" w:rsidRDefault="006A2C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9A"/>
    <w:rsid w:val="000D59D8"/>
    <w:rsid w:val="006A2C45"/>
    <w:rsid w:val="006B3558"/>
    <w:rsid w:val="00CD5B9A"/>
    <w:rsid w:val="00FF2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C4C6D"/>
  <w15:chartTrackingRefBased/>
  <w15:docId w15:val="{20DDD097-3F04-ED46-8155-2B4EC164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B9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D5B9A"/>
  </w:style>
  <w:style w:type="paragraph" w:styleId="Header">
    <w:name w:val="header"/>
    <w:basedOn w:val="Normal"/>
    <w:link w:val="HeaderChar"/>
    <w:uiPriority w:val="99"/>
    <w:unhideWhenUsed/>
    <w:rsid w:val="006A2C45"/>
    <w:pPr>
      <w:tabs>
        <w:tab w:val="center" w:pos="4680"/>
        <w:tab w:val="right" w:pos="9360"/>
      </w:tabs>
    </w:pPr>
  </w:style>
  <w:style w:type="character" w:customStyle="1" w:styleId="HeaderChar">
    <w:name w:val="Header Char"/>
    <w:basedOn w:val="DefaultParagraphFont"/>
    <w:link w:val="Header"/>
    <w:uiPriority w:val="99"/>
    <w:rsid w:val="006A2C45"/>
    <w:rPr>
      <w:rFonts w:ascii="Times New Roman" w:eastAsia="Times New Roman" w:hAnsi="Times New Roman" w:cs="Times New Roman"/>
    </w:rPr>
  </w:style>
  <w:style w:type="paragraph" w:styleId="Footer">
    <w:name w:val="footer"/>
    <w:basedOn w:val="Normal"/>
    <w:link w:val="FooterChar"/>
    <w:uiPriority w:val="99"/>
    <w:unhideWhenUsed/>
    <w:rsid w:val="006A2C45"/>
    <w:pPr>
      <w:tabs>
        <w:tab w:val="center" w:pos="4680"/>
        <w:tab w:val="right" w:pos="9360"/>
      </w:tabs>
    </w:pPr>
  </w:style>
  <w:style w:type="character" w:customStyle="1" w:styleId="FooterChar">
    <w:name w:val="Footer Char"/>
    <w:basedOn w:val="DefaultParagraphFont"/>
    <w:link w:val="Footer"/>
    <w:uiPriority w:val="99"/>
    <w:rsid w:val="006A2C45"/>
    <w:rPr>
      <w:rFonts w:ascii="Times New Roman" w:eastAsia="Times New Roman" w:hAnsi="Times New Roman" w:cs="Times New Roman"/>
    </w:rPr>
  </w:style>
  <w:style w:type="character" w:styleId="PageNumber">
    <w:name w:val="page number"/>
    <w:basedOn w:val="DefaultParagraphFont"/>
    <w:uiPriority w:val="99"/>
    <w:semiHidden/>
    <w:unhideWhenUsed/>
    <w:rsid w:val="00FF2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nhgis.org/original-data/gis/TIGER_2016_TechDoc.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7265/N5TB14T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7927/H49C6VHW"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Yovovich</dc:creator>
  <cp:keywords/>
  <dc:description/>
  <cp:lastModifiedBy>Vigneshwaran Jayapal</cp:lastModifiedBy>
  <cp:revision>4</cp:revision>
  <dcterms:created xsi:type="dcterms:W3CDTF">2022-06-16T18:27:00Z</dcterms:created>
  <dcterms:modified xsi:type="dcterms:W3CDTF">2022-12-03T14:22:00Z</dcterms:modified>
</cp:coreProperties>
</file>