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b w:val="1"/>
          <w:sz w:val="32"/>
          <w:szCs w:val="32"/>
        </w:rPr>
      </w:pPr>
      <w:r w:rsidDel="00000000" w:rsidR="00000000" w:rsidRPr="00000000">
        <w:rPr>
          <w:b w:val="1"/>
          <w:sz w:val="32"/>
          <w:szCs w:val="32"/>
          <w:rtl w:val="0"/>
        </w:rPr>
        <w:t xml:space="preserve">Taxonomic bias towards charismatic and easy-to-find mammals </w:t>
      </w:r>
    </w:p>
    <w:p w:rsidR="00000000" w:rsidDel="00000000" w:rsidP="00000000" w:rsidRDefault="00000000" w:rsidRPr="00000000" w14:paraId="00000002">
      <w:pPr>
        <w:spacing w:line="480" w:lineRule="auto"/>
        <w:jc w:val="center"/>
        <w:rPr>
          <w:sz w:val="22"/>
          <w:szCs w:val="22"/>
          <w:highlight w:val="white"/>
        </w:rPr>
      </w:pPr>
      <w:r w:rsidDel="00000000" w:rsidR="00000000" w:rsidRPr="00000000">
        <w:rPr>
          <w:b w:val="1"/>
          <w:sz w:val="32"/>
          <w:szCs w:val="32"/>
          <w:rtl w:val="0"/>
        </w:rPr>
        <w:t xml:space="preserve">shapes knowledge of parasites</w:t>
      </w:r>
      <w:r w:rsidDel="00000000" w:rsidR="00000000" w:rsidRPr="00000000">
        <w:rPr>
          <w:rtl w:val="0"/>
        </w:rPr>
      </w:r>
    </w:p>
    <w:p w:rsidR="00000000" w:rsidDel="00000000" w:rsidP="00000000" w:rsidRDefault="00000000" w:rsidRPr="00000000" w14:paraId="00000003">
      <w:pPr>
        <w:spacing w:after="0" w:line="480" w:lineRule="auto"/>
        <w:rPr/>
      </w:pPr>
      <w:r w:rsidDel="00000000" w:rsidR="00000000" w:rsidRPr="00000000">
        <w:rPr>
          <w:rtl w:val="0"/>
        </w:rPr>
      </w:r>
    </w:p>
    <w:p w:rsidR="00000000" w:rsidDel="00000000" w:rsidP="00000000" w:rsidRDefault="00000000" w:rsidRPr="00000000" w14:paraId="00000004">
      <w:pPr>
        <w:spacing w:line="480" w:lineRule="auto"/>
        <w:jc w:val="center"/>
        <w:rPr>
          <w:b w:val="1"/>
        </w:rPr>
      </w:pPr>
      <w:r w:rsidDel="00000000" w:rsidR="00000000" w:rsidRPr="00000000">
        <w:rPr>
          <w:rtl w:val="0"/>
        </w:rPr>
      </w:r>
    </w:p>
    <w:p w:rsidR="00000000" w:rsidDel="00000000" w:rsidP="00000000" w:rsidRDefault="00000000" w:rsidRPr="00000000" w14:paraId="00000005">
      <w:pPr>
        <w:spacing w:line="480" w:lineRule="auto"/>
        <w:jc w:val="left"/>
        <w:rPr>
          <w:b w:val="1"/>
        </w:rPr>
      </w:pPr>
      <w:r w:rsidDel="00000000" w:rsidR="00000000" w:rsidRPr="00000000">
        <w:rPr>
          <w:b w:val="1"/>
          <w:rtl w:val="0"/>
        </w:rPr>
        <w:t xml:space="preserve">SUPPLEMENTARY MATERIALS</w:t>
      </w:r>
    </w:p>
    <w:p w:rsidR="00000000" w:rsidDel="00000000" w:rsidP="00000000" w:rsidRDefault="00000000" w:rsidRPr="00000000" w14:paraId="00000006">
      <w:pPr>
        <w:spacing w:line="480" w:lineRule="auto"/>
        <w:jc w:val="left"/>
        <w:rPr/>
      </w:pPr>
      <w:r w:rsidDel="00000000" w:rsidR="00000000" w:rsidRPr="00000000">
        <w:rPr>
          <w:rtl w:val="0"/>
        </w:rPr>
        <w:t xml:space="preserve">Figures S1 to S7</w:t>
      </w:r>
    </w:p>
    <w:p w:rsidR="00000000" w:rsidDel="00000000" w:rsidP="00000000" w:rsidRDefault="00000000" w:rsidRPr="00000000" w14:paraId="00000007">
      <w:pPr>
        <w:spacing w:line="480" w:lineRule="auto"/>
        <w:jc w:val="left"/>
        <w:rPr/>
      </w:pPr>
      <w:r w:rsidDel="00000000" w:rsidR="00000000" w:rsidRPr="00000000">
        <w:rPr>
          <w:rtl w:val="0"/>
        </w:rPr>
        <w:t xml:space="preserve">Table S1</w:t>
      </w:r>
      <w:r w:rsidDel="00000000" w:rsidR="00000000" w:rsidRPr="00000000">
        <w:rPr>
          <w:rtl w:val="0"/>
        </w:rPr>
      </w:r>
    </w:p>
    <w:p w:rsidR="00000000" w:rsidDel="00000000" w:rsidP="00000000" w:rsidRDefault="00000000" w:rsidRPr="00000000" w14:paraId="00000008">
      <w:pPr>
        <w:spacing w:line="276" w:lineRule="auto"/>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009">
      <w:pPr>
        <w:spacing w:line="276" w:lineRule="auto"/>
        <w:jc w:val="left"/>
        <w:rPr/>
      </w:pPr>
      <w:r w:rsidDel="00000000" w:rsidR="00000000" w:rsidRPr="00000000">
        <w:rPr>
          <w:b w:val="1"/>
          <w:rtl w:val="0"/>
        </w:rPr>
        <w:t xml:space="preserve">Figure S1. </w:t>
      </w:r>
      <w:r w:rsidDel="00000000" w:rsidR="00000000" w:rsidRPr="00000000">
        <w:rPr>
          <w:rtl w:val="0"/>
        </w:rPr>
        <w:t xml:space="preserve">Pearson pairwise correlation among potential predictors of taxonomic bias in the knowledge of parasites across mammals.</w:t>
      </w:r>
    </w:p>
    <w:p w:rsidR="00000000" w:rsidDel="00000000" w:rsidP="00000000" w:rsidRDefault="00000000" w:rsidRPr="00000000" w14:paraId="0000000A">
      <w:pPr>
        <w:spacing w:line="276" w:lineRule="auto"/>
        <w:jc w:val="center"/>
        <w:rPr>
          <w:b w:val="1"/>
        </w:rPr>
      </w:pPr>
      <w:r w:rsidDel="00000000" w:rsidR="00000000" w:rsidRPr="00000000">
        <w:rPr>
          <w:b w:val="1"/>
        </w:rPr>
        <w:drawing>
          <wp:inline distB="114300" distT="114300" distL="114300" distR="114300">
            <wp:extent cx="5808122" cy="4564224"/>
            <wp:effectExtent b="0" l="0" r="0" t="0"/>
            <wp:docPr id="4" name="image4.png"/>
            <a:graphic>
              <a:graphicData uri="http://schemas.openxmlformats.org/drawingml/2006/picture">
                <pic:pic>
                  <pic:nvPicPr>
                    <pic:cNvPr id="0" name="image4.png"/>
                    <pic:cNvPicPr preferRelativeResize="0"/>
                  </pic:nvPicPr>
                  <pic:blipFill>
                    <a:blip r:embed="rId6"/>
                    <a:srcRect b="10954" l="-801" r="5769" t="14372"/>
                    <a:stretch>
                      <a:fillRect/>
                    </a:stretch>
                  </pic:blipFill>
                  <pic:spPr>
                    <a:xfrm>
                      <a:off x="0" y="0"/>
                      <a:ext cx="5808122" cy="456422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B">
      <w:pPr>
        <w:spacing w:line="276" w:lineRule="auto"/>
        <w:jc w:val="left"/>
        <w:rPr/>
      </w:pPr>
      <w:r w:rsidDel="00000000" w:rsidR="00000000" w:rsidRPr="00000000">
        <w:rPr>
          <w:b w:val="1"/>
          <w:rtl w:val="0"/>
        </w:rPr>
        <w:t xml:space="preserve">Figure S2. </w:t>
      </w:r>
      <w:r w:rsidDel="00000000" w:rsidR="00000000" w:rsidRPr="00000000">
        <w:rPr>
          <w:rtl w:val="0"/>
        </w:rPr>
        <w:t xml:space="preserve">Distribution of values for predictors of research effort on parasites across mammal species, before undergoing any transformation.</w:t>
      </w:r>
    </w:p>
    <w:p w:rsidR="00000000" w:rsidDel="00000000" w:rsidP="00000000" w:rsidRDefault="00000000" w:rsidRPr="00000000" w14:paraId="0000000C">
      <w:pPr>
        <w:spacing w:line="276" w:lineRule="auto"/>
        <w:jc w:val="center"/>
        <w:rPr>
          <w:b w:val="1"/>
        </w:rPr>
      </w:pPr>
      <w:r w:rsidDel="00000000" w:rsidR="00000000" w:rsidRPr="00000000">
        <w:rPr>
          <w:b w:val="1"/>
        </w:rPr>
        <w:drawing>
          <wp:inline distB="114300" distT="114300" distL="114300" distR="114300">
            <wp:extent cx="5943600" cy="4165600"/>
            <wp:effectExtent b="0" l="0" r="0" t="0"/>
            <wp:docPr id="6"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4165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Figure S3. </w:t>
      </w:r>
      <w:r w:rsidDel="00000000" w:rsidR="00000000" w:rsidRPr="00000000">
        <w:rPr>
          <w:rtl w:val="0"/>
        </w:rPr>
        <w:t xml:space="preserve">Distribution of values for predictors of research effort on parasites across mammal species, after log-transformation of continuous variables and scaling of all variables.</w:t>
      </w:r>
    </w:p>
    <w:p w:rsidR="00000000" w:rsidDel="00000000" w:rsidP="00000000" w:rsidRDefault="00000000" w:rsidRPr="00000000" w14:paraId="0000000E">
      <w:pPr>
        <w:spacing w:line="276" w:lineRule="auto"/>
        <w:jc w:val="center"/>
        <w:rPr>
          <w:b w:val="1"/>
        </w:rPr>
      </w:pPr>
      <w:r w:rsidDel="00000000" w:rsidR="00000000" w:rsidRPr="00000000">
        <w:rPr>
          <w:b w:val="1"/>
        </w:rPr>
        <w:drawing>
          <wp:inline distB="114300" distT="114300" distL="114300" distR="114300">
            <wp:extent cx="5943600" cy="4165600"/>
            <wp:effectExtent b="0" l="0" r="0" t="0"/>
            <wp:docPr id="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4165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F">
      <w:pPr>
        <w:spacing w:line="276" w:lineRule="auto"/>
        <w:jc w:val="left"/>
        <w:rPr/>
      </w:pPr>
      <w:r w:rsidDel="00000000" w:rsidR="00000000" w:rsidRPr="00000000">
        <w:rPr>
          <w:b w:val="1"/>
          <w:rtl w:val="0"/>
        </w:rPr>
        <w:t xml:space="preserve">Figure S4. </w:t>
      </w:r>
      <w:r w:rsidDel="00000000" w:rsidR="00000000" w:rsidRPr="00000000">
        <w:rPr>
          <w:rtl w:val="0"/>
        </w:rPr>
        <w:t xml:space="preserve">R-hat values for the intercept and predictors of a Bayesian Generalized Linear Mixed Model, predicting the number of parasitological studies across mammal species. Each point refers to a predictor (apart from the first one which indicates the intercept) and the yellow points indicate R-hat values below 1.05.</w:t>
      </w:r>
    </w:p>
    <w:p w:rsidR="00000000" w:rsidDel="00000000" w:rsidP="00000000" w:rsidRDefault="00000000" w:rsidRPr="00000000" w14:paraId="00000010">
      <w:pPr>
        <w:spacing w:line="276" w:lineRule="auto"/>
        <w:jc w:val="center"/>
        <w:rPr>
          <w:b w:val="1"/>
        </w:rPr>
      </w:pPr>
      <w:r w:rsidDel="00000000" w:rsidR="00000000" w:rsidRPr="00000000">
        <w:rPr>
          <w:b w:val="1"/>
        </w:rPr>
        <w:drawing>
          <wp:inline distB="114300" distT="114300" distL="114300" distR="114300">
            <wp:extent cx="5943600" cy="5410200"/>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54102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1">
      <w:pPr>
        <w:spacing w:line="276" w:lineRule="auto"/>
        <w:jc w:val="left"/>
        <w:rPr/>
      </w:pPr>
      <w:r w:rsidDel="00000000" w:rsidR="00000000" w:rsidRPr="00000000">
        <w:rPr>
          <w:b w:val="1"/>
          <w:rtl w:val="0"/>
        </w:rPr>
        <w:t xml:space="preserve">Figure S5. </w:t>
      </w:r>
      <w:r w:rsidDel="00000000" w:rsidR="00000000" w:rsidRPr="00000000">
        <w:rPr>
          <w:rtl w:val="0"/>
        </w:rPr>
        <w:t xml:space="preserve">Trace plots for predictors of a Bayesian Generalized Mixed Model predicting the number of parasitological studies across mammal species. These plots indicate three chains with different colours and their mixing is an indication of the reliability of the results, as different explorations of parameter space converge towards the same optimum.</w:t>
      </w:r>
    </w:p>
    <w:p w:rsidR="00000000" w:rsidDel="00000000" w:rsidP="00000000" w:rsidRDefault="00000000" w:rsidRPr="00000000" w14:paraId="00000012">
      <w:pPr>
        <w:spacing w:line="276" w:lineRule="auto"/>
        <w:jc w:val="left"/>
        <w:rPr/>
      </w:pPr>
      <w:r w:rsidDel="00000000" w:rsidR="00000000" w:rsidRPr="00000000">
        <w:rPr>
          <w:rtl w:val="0"/>
        </w:rPr>
      </w:r>
    </w:p>
    <w:p w:rsidR="00000000" w:rsidDel="00000000" w:rsidP="00000000" w:rsidRDefault="00000000" w:rsidRPr="00000000" w14:paraId="00000013">
      <w:pPr>
        <w:spacing w:line="276" w:lineRule="auto"/>
        <w:jc w:val="center"/>
        <w:rPr>
          <w:b w:val="1"/>
        </w:rPr>
      </w:pPr>
      <w:r w:rsidDel="00000000" w:rsidR="00000000" w:rsidRPr="00000000">
        <w:rPr>
          <w:b w:val="1"/>
        </w:rPr>
        <w:drawing>
          <wp:inline distB="114300" distT="114300" distL="114300" distR="114300">
            <wp:extent cx="5943600" cy="5791200"/>
            <wp:effectExtent b="0" l="0" r="0" t="0"/>
            <wp:docPr id="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943600" cy="57912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4">
      <w:pPr>
        <w:spacing w:line="276" w:lineRule="auto"/>
        <w:jc w:val="left"/>
        <w:rPr/>
      </w:pPr>
      <w:r w:rsidDel="00000000" w:rsidR="00000000" w:rsidRPr="00000000">
        <w:rPr>
          <w:b w:val="1"/>
          <w:rtl w:val="0"/>
        </w:rPr>
        <w:t xml:space="preserve">Figure S6. </w:t>
      </w:r>
      <w:r w:rsidDel="00000000" w:rsidR="00000000" w:rsidRPr="00000000">
        <w:rPr>
          <w:rtl w:val="0"/>
        </w:rPr>
        <w:t xml:space="preserve">Posterior predictive checks for 100 posterior draws from a Bayesian Generalized Linear Mixed Model predicting the number of parasitological studies across mammal species. The y line represents the distribution of the observed outcomes whereas lines indicated with y rep represent the posterior draws. As the y and yrep curves overlay, simulated data well represent the observed data and the model is therefore deemed reliable.</w:t>
      </w:r>
    </w:p>
    <w:p w:rsidR="00000000" w:rsidDel="00000000" w:rsidP="00000000" w:rsidRDefault="00000000" w:rsidRPr="00000000" w14:paraId="00000015">
      <w:pPr>
        <w:spacing w:line="276" w:lineRule="auto"/>
        <w:jc w:val="center"/>
        <w:rPr>
          <w:b w:val="1"/>
        </w:rPr>
      </w:pPr>
      <w:r w:rsidDel="00000000" w:rsidR="00000000" w:rsidRPr="00000000">
        <w:rPr>
          <w:b w:val="1"/>
        </w:rPr>
        <w:drawing>
          <wp:inline distB="114300" distT="114300" distL="114300" distR="114300">
            <wp:extent cx="5943600" cy="436880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943600" cy="4368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6">
      <w:pPr>
        <w:spacing w:line="276" w:lineRule="auto"/>
        <w:jc w:val="left"/>
        <w:rPr/>
      </w:pPr>
      <w:r w:rsidDel="00000000" w:rsidR="00000000" w:rsidRPr="00000000">
        <w:rPr>
          <w:b w:val="1"/>
          <w:rtl w:val="0"/>
        </w:rPr>
        <w:t xml:space="preserve">Figure S7. </w:t>
      </w:r>
      <w:r w:rsidDel="00000000" w:rsidR="00000000" w:rsidRPr="00000000">
        <w:rPr>
          <w:rtl w:val="0"/>
        </w:rPr>
        <w:t xml:space="preserve">Importance of different variables as predictors of the parasitological (with a focus on viruses) research intensity across mammals. The plots represent the posterior distribution of a Bayesian Generalized Linear Mixed Model, vertical lines represent model estimates, inner shaded areas represent 50% credible intervals whereas continuous lines represent 95% intervals. Light blue: 95% intervals do not overlap zero; dark blue: 95% intervals overlap zero.</w:t>
      </w:r>
    </w:p>
    <w:p w:rsidR="00000000" w:rsidDel="00000000" w:rsidP="00000000" w:rsidRDefault="00000000" w:rsidRPr="00000000" w14:paraId="00000017">
      <w:pPr>
        <w:spacing w:line="276" w:lineRule="auto"/>
        <w:jc w:val="center"/>
        <w:rPr>
          <w:b w:val="1"/>
        </w:rPr>
      </w:pPr>
      <w:r w:rsidDel="00000000" w:rsidR="00000000" w:rsidRPr="00000000">
        <w:rPr>
          <w:b w:val="1"/>
        </w:rPr>
        <w:drawing>
          <wp:inline distB="114300" distT="114300" distL="114300" distR="114300">
            <wp:extent cx="5943600" cy="4953000"/>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4953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8">
      <w:pPr>
        <w:spacing w:line="276" w:lineRule="auto"/>
        <w:jc w:val="left"/>
        <w:rPr/>
      </w:pPr>
      <w:r w:rsidDel="00000000" w:rsidR="00000000" w:rsidRPr="00000000">
        <w:rPr>
          <w:b w:val="1"/>
          <w:rtl w:val="0"/>
        </w:rPr>
        <w:t xml:space="preserve">Table S1. </w:t>
      </w:r>
      <w:r w:rsidDel="00000000" w:rsidR="00000000" w:rsidRPr="00000000">
        <w:rPr>
          <w:rtl w:val="0"/>
        </w:rPr>
        <w:t xml:space="preserve">Variance Inflation Factor among potential predictors of taxonomic bias in the knowledge of parasites across mammals. Values above three might indicate potential multicollinearity of predictors.</w:t>
      </w:r>
    </w:p>
    <w:p w:rsidR="00000000" w:rsidDel="00000000" w:rsidP="00000000" w:rsidRDefault="00000000" w:rsidRPr="00000000" w14:paraId="00000019">
      <w:pPr>
        <w:spacing w:line="276" w:lineRule="auto"/>
        <w:jc w:val="left"/>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60"/>
        <w:gridCol w:w="3000"/>
        <w:tblGridChange w:id="0">
          <w:tblGrid>
            <w:gridCol w:w="6360"/>
            <w:gridCol w:w="3000"/>
          </w:tblGrid>
        </w:tblGridChange>
      </w:tblGrid>
      <w:tr>
        <w:trPr>
          <w:cantSplit w:val="0"/>
          <w:tblHeader w:val="0"/>
        </w:trPr>
        <w:tc>
          <w:tcPr>
            <w:tcBorders>
              <w:top w:color="000000" w:space="0" w:sz="4" w:val="dotted"/>
              <w:left w:color="000000" w:space="0" w:sz="4" w:val="dotted"/>
              <w:bottom w:color="000000" w:space="0" w:sz="4" w:val="dotted"/>
              <w:right w:color="000000" w:space="0" w:sz="4"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Predictor</w:t>
            </w:r>
          </w:p>
        </w:tc>
        <w:tc>
          <w:tcPr>
            <w:tcBorders>
              <w:top w:color="000000" w:space="0" w:sz="4" w:val="dotted"/>
              <w:left w:color="000000" w:space="0" w:sz="4" w:val="dotted"/>
              <w:bottom w:color="000000" w:space="0" w:sz="4" w:val="dotted"/>
              <w:right w:color="000000" w:space="0" w:sz="4" w:val="dotted"/>
            </w:tcBorders>
            <w:shd w:fill="efefef"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Variance Inflation Factor</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76" w:lineRule="auto"/>
              <w:rPr>
                <w:sz w:val="20"/>
                <w:szCs w:val="20"/>
              </w:rPr>
            </w:pPr>
            <w:r w:rsidDel="00000000" w:rsidR="00000000" w:rsidRPr="00000000">
              <w:rPr>
                <w:sz w:val="20"/>
                <w:szCs w:val="20"/>
                <w:rtl w:val="0"/>
              </w:rPr>
              <w:t xml:space="preserve">Body size</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76" w:lineRule="auto"/>
              <w:rPr>
                <w:sz w:val="20"/>
                <w:szCs w:val="20"/>
              </w:rPr>
            </w:pPr>
            <w:r w:rsidDel="00000000" w:rsidR="00000000" w:rsidRPr="00000000">
              <w:rPr>
                <w:sz w:val="20"/>
                <w:szCs w:val="20"/>
                <w:rtl w:val="0"/>
              </w:rPr>
              <w:t xml:space="preserve">2.292</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rPr>
                <w:sz w:val="20"/>
                <w:szCs w:val="20"/>
              </w:rPr>
            </w:pPr>
            <w:r w:rsidDel="00000000" w:rsidR="00000000" w:rsidRPr="00000000">
              <w:rPr>
                <w:sz w:val="20"/>
                <w:szCs w:val="20"/>
                <w:rtl w:val="0"/>
              </w:rPr>
              <w:t xml:space="preserve">Range size</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76" w:lineRule="auto"/>
              <w:rPr>
                <w:sz w:val="20"/>
                <w:szCs w:val="20"/>
              </w:rPr>
            </w:pPr>
            <w:r w:rsidDel="00000000" w:rsidR="00000000" w:rsidRPr="00000000">
              <w:rPr>
                <w:sz w:val="20"/>
                <w:szCs w:val="20"/>
                <w:rtl w:val="0"/>
              </w:rPr>
              <w:t xml:space="preserve">1.977</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76" w:lineRule="auto"/>
              <w:rPr>
                <w:sz w:val="20"/>
                <w:szCs w:val="20"/>
              </w:rPr>
            </w:pPr>
            <w:r w:rsidDel="00000000" w:rsidR="00000000" w:rsidRPr="00000000">
              <w:rPr>
                <w:sz w:val="20"/>
                <w:szCs w:val="20"/>
                <w:rtl w:val="0"/>
              </w:rPr>
              <w:t xml:space="preserve">Zoonotic potential</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76" w:lineRule="auto"/>
              <w:rPr>
                <w:sz w:val="20"/>
                <w:szCs w:val="20"/>
              </w:rPr>
            </w:pPr>
            <w:r w:rsidDel="00000000" w:rsidR="00000000" w:rsidRPr="00000000">
              <w:rPr>
                <w:sz w:val="20"/>
                <w:szCs w:val="20"/>
                <w:rtl w:val="0"/>
              </w:rPr>
              <w:t xml:space="preserve">1.844</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76" w:lineRule="auto"/>
              <w:rPr>
                <w:sz w:val="20"/>
                <w:szCs w:val="20"/>
              </w:rPr>
            </w:pPr>
            <w:r w:rsidDel="00000000" w:rsidR="00000000" w:rsidRPr="00000000">
              <w:rPr>
                <w:sz w:val="20"/>
                <w:szCs w:val="20"/>
                <w:rtl w:val="0"/>
              </w:rPr>
              <w:t xml:space="preserve">Description year</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76" w:lineRule="auto"/>
              <w:rPr>
                <w:sz w:val="20"/>
                <w:szCs w:val="20"/>
              </w:rPr>
            </w:pPr>
            <w:r w:rsidDel="00000000" w:rsidR="00000000" w:rsidRPr="00000000">
              <w:rPr>
                <w:sz w:val="20"/>
                <w:szCs w:val="20"/>
                <w:rtl w:val="0"/>
              </w:rPr>
              <w:t xml:space="preserve">1.789</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76" w:lineRule="auto"/>
              <w:rPr>
                <w:sz w:val="20"/>
                <w:szCs w:val="20"/>
              </w:rPr>
            </w:pPr>
            <w:r w:rsidDel="00000000" w:rsidR="00000000" w:rsidRPr="00000000">
              <w:rPr>
                <w:sz w:val="20"/>
                <w:szCs w:val="20"/>
                <w:rtl w:val="0"/>
              </w:rPr>
              <w:t xml:space="preserve">Threat status</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76" w:lineRule="auto"/>
              <w:rPr>
                <w:sz w:val="20"/>
                <w:szCs w:val="20"/>
              </w:rPr>
            </w:pPr>
            <w:r w:rsidDel="00000000" w:rsidR="00000000" w:rsidRPr="00000000">
              <w:rPr>
                <w:sz w:val="20"/>
                <w:szCs w:val="20"/>
                <w:rtl w:val="0"/>
              </w:rPr>
              <w:t xml:space="preserve">1.616</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76" w:lineRule="auto"/>
              <w:rPr>
                <w:sz w:val="20"/>
                <w:szCs w:val="20"/>
              </w:rPr>
            </w:pPr>
            <w:r w:rsidDel="00000000" w:rsidR="00000000" w:rsidRPr="00000000">
              <w:rPr>
                <w:sz w:val="20"/>
                <w:szCs w:val="20"/>
                <w:rtl w:val="0"/>
              </w:rPr>
              <w:t xml:space="preserve">Frequency in captivity</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76" w:lineRule="auto"/>
              <w:rPr>
                <w:sz w:val="20"/>
                <w:szCs w:val="20"/>
              </w:rPr>
            </w:pPr>
            <w:r w:rsidDel="00000000" w:rsidR="00000000" w:rsidRPr="00000000">
              <w:rPr>
                <w:sz w:val="20"/>
                <w:szCs w:val="20"/>
                <w:rtl w:val="0"/>
              </w:rPr>
              <w:t xml:space="preserve">1.344</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76" w:lineRule="auto"/>
              <w:rPr>
                <w:sz w:val="20"/>
                <w:szCs w:val="20"/>
              </w:rPr>
            </w:pPr>
            <w:r w:rsidDel="00000000" w:rsidR="00000000" w:rsidRPr="00000000">
              <w:rPr>
                <w:sz w:val="20"/>
                <w:szCs w:val="20"/>
                <w:rtl w:val="0"/>
              </w:rPr>
              <w:t xml:space="preserve">Habitat breadth</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76" w:lineRule="auto"/>
              <w:rPr>
                <w:sz w:val="20"/>
                <w:szCs w:val="20"/>
              </w:rPr>
            </w:pPr>
            <w:r w:rsidDel="00000000" w:rsidR="00000000" w:rsidRPr="00000000">
              <w:rPr>
                <w:sz w:val="20"/>
                <w:szCs w:val="20"/>
                <w:rtl w:val="0"/>
              </w:rPr>
              <w:t xml:space="preserve">1.153</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76" w:lineRule="auto"/>
              <w:rPr>
                <w:sz w:val="20"/>
                <w:szCs w:val="20"/>
              </w:rPr>
            </w:pPr>
            <w:r w:rsidDel="00000000" w:rsidR="00000000" w:rsidRPr="00000000">
              <w:rPr>
                <w:sz w:val="20"/>
                <w:szCs w:val="20"/>
                <w:rtl w:val="0"/>
              </w:rPr>
              <w:t xml:space="preserve">Human density</w:t>
            </w:r>
          </w:p>
        </w:tc>
        <w:tc>
          <w:tcPr>
            <w:tcBorders>
              <w:top w:color="000000" w:space="0" w:sz="4" w:val="dotted"/>
              <w:left w:color="000000" w:space="0" w:sz="4" w:val="dotted"/>
              <w:bottom w:color="000000" w:space="0" w:sz="4" w:val="dotted"/>
              <w:right w:color="000000" w:space="0" w:sz="4" w:val="dotted"/>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76" w:lineRule="auto"/>
              <w:rPr>
                <w:sz w:val="20"/>
                <w:szCs w:val="20"/>
              </w:rPr>
            </w:pPr>
            <w:r w:rsidDel="00000000" w:rsidR="00000000" w:rsidRPr="00000000">
              <w:rPr>
                <w:sz w:val="20"/>
                <w:szCs w:val="20"/>
                <w:rtl w:val="0"/>
              </w:rPr>
              <w:t xml:space="preserve">1.041</w:t>
            </w:r>
          </w:p>
        </w:tc>
      </w:tr>
    </w:tbl>
    <w:p w:rsidR="00000000" w:rsidDel="00000000" w:rsidP="00000000" w:rsidRDefault="00000000" w:rsidRPr="00000000" w14:paraId="0000002C">
      <w:pPr>
        <w:spacing w:line="276" w:lineRule="auto"/>
        <w:jc w:val="center"/>
        <w:rPr>
          <w:b w:val="1"/>
        </w:rPr>
      </w:pPr>
      <w:r w:rsidDel="00000000" w:rsidR="00000000" w:rsidRPr="00000000">
        <w:rPr>
          <w:rtl w:val="0"/>
        </w:rPr>
      </w:r>
    </w:p>
    <w:p w:rsidR="00000000" w:rsidDel="00000000" w:rsidP="00000000" w:rsidRDefault="00000000" w:rsidRPr="00000000" w14:paraId="0000002D">
      <w:pPr>
        <w:shd w:fill="ffffff" w:val="clear"/>
        <w:spacing w:after="240" w:before="80" w:line="240" w:lineRule="auto"/>
        <w:ind w:left="0" w:firstLine="0"/>
        <w:jc w:val="both"/>
        <w:rPr/>
      </w:pPr>
      <w:r w:rsidDel="00000000" w:rsidR="00000000" w:rsidRPr="00000000">
        <w:rPr>
          <w:rtl w:val="0"/>
        </w:rPr>
      </w:r>
    </w:p>
    <w:p w:rsidR="00000000" w:rsidDel="00000000" w:rsidP="00000000" w:rsidRDefault="00000000" w:rsidRPr="00000000" w14:paraId="0000002E">
      <w:pPr>
        <w:spacing w:line="276" w:lineRule="auto"/>
        <w:ind w:left="720" w:hanging="7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before="840" w:line="480" w:lineRule="auto"/>
    </w:pPr>
    <w:rPr>
      <w:b w:val="1"/>
    </w:rPr>
  </w:style>
  <w:style w:type="paragraph" w:styleId="Heading2">
    <w:name w:val="heading 2"/>
    <w:basedOn w:val="Normal"/>
    <w:next w:val="Normal"/>
    <w:pPr>
      <w:keepNext w:val="1"/>
      <w:keepLines w:val="1"/>
      <w:shd w:fill="ffffff" w:val="clear"/>
      <w:spacing w:after="240" w:before="40" w:line="480" w:lineRule="auto"/>
      <w:jc w:val="both"/>
    </w:pPr>
    <w:rPr>
      <w:b w:val="1"/>
    </w:rPr>
  </w:style>
  <w:style w:type="paragraph" w:styleId="Heading3">
    <w:name w:val="heading 3"/>
    <w:basedOn w:val="Normal"/>
    <w:next w:val="Normal"/>
    <w:pPr>
      <w:keepNext w:val="1"/>
      <w:keepLines w:val="1"/>
      <w:spacing w:line="480" w:lineRule="auto"/>
    </w:pPr>
    <w:rPr>
      <w:b w:val="1"/>
      <w:i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7.png"/><Relationship Id="rId12" Type="http://schemas.openxmlformats.org/officeDocument/2006/relationships/image" Target="media/image2.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