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1F9" w:rsidRDefault="009361F9" w:rsidP="009361F9">
      <w:pPr>
        <w:spacing w:line="240" w:lineRule="auto"/>
        <w:jc w:val="both"/>
        <w:rPr>
          <w:rFonts w:asciiTheme="minorBidi" w:eastAsia="Times New Roman" w:hAnsiTheme="minorBidi"/>
          <w:sz w:val="24"/>
          <w:szCs w:val="24"/>
          <w:lang w:eastAsia="de-DE"/>
        </w:rPr>
      </w:pPr>
      <w:r>
        <w:rPr>
          <w:rFonts w:asciiTheme="minorBidi" w:eastAsia="Times New Roman" w:hAnsiTheme="minorBidi"/>
          <w:sz w:val="24"/>
          <w:szCs w:val="24"/>
          <w:lang w:eastAsia="de-DE"/>
        </w:rPr>
        <w:t>Appendices:</w:t>
      </w:r>
      <w:bookmarkStart w:id="0" w:name="_GoBack"/>
      <w:bookmarkEnd w:id="0"/>
    </w:p>
    <w:p w:rsidR="009361F9" w:rsidRPr="009361F9" w:rsidRDefault="009361F9" w:rsidP="009361F9">
      <w:pPr>
        <w:spacing w:line="240" w:lineRule="auto"/>
        <w:jc w:val="both"/>
        <w:rPr>
          <w:rFonts w:asciiTheme="minorBidi" w:eastAsia="Times New Roman" w:hAnsiTheme="minorBidi"/>
          <w:sz w:val="24"/>
          <w:szCs w:val="24"/>
          <w:lang w:eastAsia="de-DE"/>
        </w:rPr>
      </w:pPr>
      <w:r w:rsidRPr="009361F9">
        <w:rPr>
          <w:rFonts w:asciiTheme="minorBidi" w:eastAsia="Times New Roman" w:hAnsiTheme="minorBidi"/>
          <w:sz w:val="24"/>
          <w:szCs w:val="24"/>
          <w:lang w:eastAsia="de-DE"/>
        </w:rPr>
        <w:t>Appendix1:</w:t>
      </w:r>
      <w:r w:rsidRPr="009361F9">
        <w:t xml:space="preserve"> </w:t>
      </w:r>
      <w:r w:rsidRPr="009361F9">
        <w:rPr>
          <w:rFonts w:asciiTheme="minorBidi" w:eastAsia="Times New Roman" w:hAnsiTheme="minorBidi"/>
          <w:sz w:val="24"/>
          <w:szCs w:val="24"/>
          <w:lang w:eastAsia="de-DE"/>
        </w:rPr>
        <w:t>Description of hydrological, topographic, and climatic predictor variables used in this study</w:t>
      </w:r>
      <w:r w:rsidRPr="009361F9">
        <w:rPr>
          <w:rFonts w:asciiTheme="minorBidi" w:eastAsia="Times New Roman" w:hAnsiTheme="minorBidi" w:hint="cs"/>
          <w:sz w:val="24"/>
          <w:szCs w:val="24"/>
          <w:rtl/>
          <w:lang w:eastAsia="de-DE"/>
        </w:rPr>
        <w:t>.</w:t>
      </w:r>
    </w:p>
    <w:tbl>
      <w:tblPr>
        <w:tblStyle w:val="TableGrid"/>
        <w:tblW w:w="7920" w:type="dxa"/>
        <w:jc w:val="center"/>
        <w:tblLook w:val="04A0" w:firstRow="1" w:lastRow="0" w:firstColumn="1" w:lastColumn="0" w:noHBand="0" w:noVBand="1"/>
      </w:tblPr>
      <w:tblGrid>
        <w:gridCol w:w="4050"/>
        <w:gridCol w:w="3870"/>
      </w:tblGrid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b/>
                <w:bCs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b/>
                <w:bCs/>
                <w:sz w:val="19"/>
                <w:szCs w:val="19"/>
                <w:lang w:eastAsia="de-DE"/>
              </w:rPr>
              <w:t>Predictor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b/>
                <w:bCs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b/>
                <w:bCs/>
                <w:sz w:val="19"/>
                <w:szCs w:val="19"/>
                <w:lang w:eastAsia="de-DE"/>
              </w:rPr>
              <w:t>Description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rtl/>
                <w:lang w:eastAsia="de-DE" w:bidi="fa-IR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 xml:space="preserve">Flow accumulation 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before="100" w:beforeAutospacing="1" w:afterAutospacing="1"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The upstream contributing area, i.e. the drainage of water into a given downstream cell. It is expressed in area units (km</w:t>
            </w: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vertAlign w:val="superscript"/>
                <w:lang w:eastAsia="de-DE"/>
              </w:rPr>
              <w:t>2</w:t>
            </w: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)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 xml:space="preserve">Compound topographic index 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before="100" w:beforeAutospacing="1" w:afterAutospacing="1" w:line="276" w:lineRule="auto"/>
              <w:jc w:val="both"/>
              <w:rPr>
                <w:rFonts w:asciiTheme="minorBidi" w:eastAsia="Times New Roman" w:hAnsiTheme="minorBidi" w:cs="Times New Roman"/>
                <w:b/>
                <w:bCs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It is a steady state wetness index and is computed as the logarithm of the cumulative upstream catchment area divided by the tangent of the terrain slope angle.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 xml:space="preserve">All stream segments and nodes attributes 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Attributes that describe each unique stream segment (the reach between two nodes where stream order does not change), including identifiers and linked topology for upstream/downstream relationships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 xml:space="preserve">Strahler’s stream order 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A hierarchical classification of stream segments where first-order streams has no tributaries, and order increases where streams of the same order join. Commonly used to describe network branching complexity.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Distance between focal grid cell and the downstream stream node grid cell (Distance to downstream node)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b/>
                <w:bCs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The length of the path (along the terrain/hydrographic network) from a given grid cell to the next downstream network node (e.g., confluence or segment endpoint).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Maximum curvature between highest upstream cell,</w:t>
            </w:r>
            <w:r w:rsidRPr="009361F9">
              <w:rPr>
                <w:rFonts w:asciiTheme="minorBidi" w:hAnsiTheme="minorBidi"/>
                <w:sz w:val="19"/>
                <w:szCs w:val="19"/>
              </w:rPr>
              <w:t xml:space="preserve"> </w:t>
            </w: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focal cell and downstream cell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The highest curvature measured along the stream slope between the upstream cell, the cell of interest, and the downstream cell, a measure of bending or change in direction of terrain.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 xml:space="preserve">Stream power index 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An index computed as the product of upstream catchment area and the tangent of slope, representing erosive energy potential along the landscape.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 xml:space="preserve">Stream transportation index 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An index related to unit stream power theory, representing the potential for sediment transport; equivalent to the slope, length factor in soil erosion models.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Euclidean distance between focal grid cell and the stream network (Euclidean distance to stream network)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The straight-line distance from a grid cell to the nearest stream cell in the Hydrography90m network.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Elevation difference between focal cell and downstream cell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The vertical drop from a grid cell to its immediate downstream neighbor; used to characterize local slope or gradient.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Focal cell gradient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jc w:val="both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Local slope gradient calculated typically as elevation difference divided by horizontal distance between a grid cell and its downstream neighbor.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 xml:space="preserve">Annual mean air temperature 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Average air temperature over a year for the sub-catchment area.</w:t>
            </w:r>
          </w:p>
        </w:tc>
      </w:tr>
      <w:tr w:rsidR="009361F9" w:rsidRPr="009361F9" w:rsidTr="00AE3634">
        <w:trPr>
          <w:jc w:val="center"/>
        </w:trPr>
        <w:tc>
          <w:tcPr>
            <w:tcW w:w="405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lastRenderedPageBreak/>
              <w:t xml:space="preserve">Annual mean precipitation </w:t>
            </w:r>
          </w:p>
        </w:tc>
        <w:tc>
          <w:tcPr>
            <w:tcW w:w="3870" w:type="dxa"/>
          </w:tcPr>
          <w:p w:rsidR="009361F9" w:rsidRPr="009361F9" w:rsidRDefault="009361F9" w:rsidP="009361F9">
            <w:pPr>
              <w:spacing w:line="276" w:lineRule="auto"/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</w:pPr>
            <w:r w:rsidRPr="009361F9">
              <w:rPr>
                <w:rFonts w:asciiTheme="minorBidi" w:eastAsia="Times New Roman" w:hAnsiTheme="minorBidi" w:cs="Times New Roman"/>
                <w:sz w:val="19"/>
                <w:szCs w:val="19"/>
                <w:lang w:eastAsia="de-DE"/>
              </w:rPr>
              <w:t>Total yearly precipitation averaged over the sub-catchment.</w:t>
            </w:r>
          </w:p>
        </w:tc>
      </w:tr>
    </w:tbl>
    <w:p w:rsidR="00CF5452" w:rsidRDefault="00CF5452">
      <w:pPr>
        <w:rPr>
          <w:lang w:bidi="fa-IR"/>
        </w:rPr>
      </w:pPr>
    </w:p>
    <w:sectPr w:rsidR="00CF5452" w:rsidSect="00F356B2">
      <w:footerReference w:type="default" r:id="rId4"/>
      <w:pgSz w:w="11906" w:h="1683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16048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4953" w:rsidRDefault="009361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494953" w:rsidRDefault="009361F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F9"/>
    <w:rsid w:val="009361F9"/>
    <w:rsid w:val="00C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773E1"/>
  <w15:chartTrackingRefBased/>
  <w15:docId w15:val="{4B40CE38-FE44-4BAF-B826-3F554BFC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36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61F9"/>
    <w:rPr>
      <w:lang w:val="en-US"/>
    </w:rPr>
  </w:style>
  <w:style w:type="table" w:styleId="TableGrid">
    <w:name w:val="Table Grid"/>
    <w:basedOn w:val="TableNormal"/>
    <w:uiPriority w:val="39"/>
    <w:rsid w:val="00936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36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Mojgan Zare Shahraki</dc:creator>
  <cp:keywords/>
  <dc:description/>
  <cp:lastModifiedBy>Mojgan Zare Shahraki</cp:lastModifiedBy>
  <cp:revision>1</cp:revision>
  <dcterms:created xsi:type="dcterms:W3CDTF">2025-12-30T12:39:00Z</dcterms:created>
  <dcterms:modified xsi:type="dcterms:W3CDTF">2025-12-30T12:40:00Z</dcterms:modified>
</cp:coreProperties>
</file>