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8FD84" w14:textId="77777777" w:rsidR="0069597F" w:rsidRPr="00F15267" w:rsidRDefault="00000000">
      <w:pPr>
        <w:rPr>
          <w:rFonts w:ascii="Times" w:hAnsi="Times"/>
          <w:b/>
          <w:bCs/>
        </w:rPr>
      </w:pPr>
      <w:r w:rsidRPr="00F15267">
        <w:rPr>
          <w:rFonts w:ascii="Times" w:hAnsi="Times"/>
          <w:b/>
          <w:bCs/>
        </w:rPr>
        <w:t>Supporting Information</w:t>
      </w:r>
    </w:p>
    <w:p w14:paraId="6B827FFE" w14:textId="77777777" w:rsidR="0069597F" w:rsidRPr="00F15267" w:rsidRDefault="0069597F">
      <w:pPr>
        <w:rPr>
          <w:rFonts w:ascii="Times" w:hAnsi="Times"/>
          <w:b/>
          <w:bCs/>
        </w:rPr>
      </w:pPr>
    </w:p>
    <w:p w14:paraId="08751608"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noProof/>
          <w:sz w:val="22"/>
          <w:szCs w:val="22"/>
        </w:rPr>
        <w:drawing>
          <wp:inline distT="114300" distB="114300" distL="114300" distR="114300" wp14:anchorId="6A38F256" wp14:editId="25B5BAF0">
            <wp:extent cx="5731200" cy="2501900"/>
            <wp:effectExtent l="0" t="0" r="0" b="0"/>
            <wp:docPr id="20224406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5731200" cy="2501900"/>
                    </a:xfrm>
                    <a:prstGeom prst="rect">
                      <a:avLst/>
                    </a:prstGeom>
                    <a:ln/>
                  </pic:spPr>
                </pic:pic>
              </a:graphicData>
            </a:graphic>
          </wp:inline>
        </w:drawing>
      </w:r>
    </w:p>
    <w:p w14:paraId="0EDAF3D2" w14:textId="15CB6C15" w:rsidR="0069597F" w:rsidRPr="00F15267" w:rsidRDefault="00000000">
      <w:pPr>
        <w:spacing w:line="259" w:lineRule="auto"/>
        <w:rPr>
          <w:rFonts w:ascii="Times" w:hAnsi="Times"/>
        </w:rPr>
      </w:pPr>
      <w:r w:rsidRPr="00F15267">
        <w:rPr>
          <w:rFonts w:ascii="Times" w:hAnsi="Times"/>
          <w:b/>
          <w:bCs/>
          <w:sz w:val="22"/>
          <w:szCs w:val="22"/>
        </w:rPr>
        <w:t>Figure S1</w:t>
      </w:r>
      <w:r w:rsidRPr="00F15267">
        <w:rPr>
          <w:rFonts w:ascii="Times" w:eastAsia="Arial Unicode MS" w:hAnsi="Times" w:cs="Arial Unicode MS"/>
          <w:sz w:val="22"/>
          <w:szCs w:val="22"/>
        </w:rPr>
        <w:t>. Number of Important Shark and Ray Areas (ISRAs) identified by aquatic systems (i.e., freshwater, estuary, and marine). The freshwater system includes the inland waters of Southeast Asia in which obligate freshwater and euryhaline generalist species occur (Grant et al. 2019). The estuarine system includes tidally influenced waters that are partially enclosed, connected to the sea, and regularly diluted by freshwater runoff, extending seaward to the mouth of the estuary (NOAA 2012). The marine system is divided into three zones: nearshore (from the coast to 30</w:t>
      </w:r>
      <w:r w:rsidRPr="00F15267">
        <w:rPr>
          <w:rFonts w:eastAsia="Arial Unicode MS"/>
          <w:sz w:val="22"/>
          <w:szCs w:val="22"/>
        </w:rPr>
        <w:t> </w:t>
      </w:r>
      <w:r w:rsidRPr="00F15267">
        <w:rPr>
          <w:rFonts w:ascii="Times" w:eastAsia="Arial Unicode MS" w:hAnsi="Times" w:cs="Arial Unicode MS"/>
          <w:sz w:val="22"/>
          <w:szCs w:val="22"/>
        </w:rPr>
        <w:t>m depth), offshore (from 30</w:t>
      </w:r>
      <w:r w:rsidRPr="00F15267">
        <w:rPr>
          <w:rFonts w:eastAsia="Arial Unicode MS"/>
          <w:sz w:val="22"/>
          <w:szCs w:val="22"/>
        </w:rPr>
        <w:t> </w:t>
      </w:r>
      <w:r w:rsidRPr="00F15267">
        <w:rPr>
          <w:rFonts w:ascii="Times" w:eastAsia="Arial Unicode MS" w:hAnsi="Times" w:cs="Arial Unicode MS"/>
          <w:sz w:val="22"/>
          <w:szCs w:val="22"/>
        </w:rPr>
        <w:t>m depth to the continental shelf break at ~200</w:t>
      </w:r>
      <w:r w:rsidRPr="00F15267">
        <w:rPr>
          <w:rFonts w:eastAsia="Arial Unicode MS"/>
          <w:sz w:val="22"/>
          <w:szCs w:val="22"/>
        </w:rPr>
        <w:t> </w:t>
      </w:r>
      <w:r w:rsidRPr="00F15267">
        <w:rPr>
          <w:rFonts w:ascii="Times" w:eastAsia="Arial Unicode MS" w:hAnsi="Times" w:cs="Arial Unicode MS"/>
          <w:sz w:val="22"/>
          <w:szCs w:val="22"/>
        </w:rPr>
        <w:t>m depth), and oceanic (beyond the shelf break to the deep ocean) (NOAA 2012). Horizontal bidirectional arrows (</w:t>
      </w:r>
      <w:r w:rsidRPr="00F15267">
        <w:rPr>
          <w:rFonts w:ascii="Apple Color Emoji" w:eastAsia="Arial Unicode MS" w:hAnsi="Apple Color Emoji" w:cs="Apple Color Emoji"/>
          <w:sz w:val="22"/>
          <w:szCs w:val="22"/>
        </w:rPr>
        <w:t>↔</w:t>
      </w:r>
      <w:r w:rsidRPr="00F15267">
        <w:rPr>
          <w:rFonts w:ascii="Times" w:eastAsia="Arial Unicode MS" w:hAnsi="Times" w:cs="Arial Unicode MS"/>
          <w:sz w:val="22"/>
          <w:szCs w:val="22"/>
        </w:rPr>
        <w:t>) represent ISRAs that were in more than one system or zone (e.g., 27 ISRAs were located in both nearshore and offshore zones). Depths not to scale.</w:t>
      </w:r>
    </w:p>
    <w:p w14:paraId="00C87AA3" w14:textId="77777777" w:rsidR="0069597F" w:rsidRPr="00F15267" w:rsidRDefault="00000000">
      <w:pPr>
        <w:rPr>
          <w:rFonts w:ascii="Times" w:hAnsi="Times"/>
        </w:rPr>
      </w:pPr>
      <w:r w:rsidRPr="00F15267">
        <w:rPr>
          <w:rFonts w:ascii="Times" w:hAnsi="Times"/>
        </w:rPr>
        <w:br w:type="page"/>
      </w:r>
    </w:p>
    <w:p w14:paraId="26156D4C" w14:textId="77777777" w:rsidR="0069597F" w:rsidRPr="00F15267" w:rsidRDefault="00000000">
      <w:pPr>
        <w:rPr>
          <w:rFonts w:ascii="Times" w:hAnsi="Times"/>
          <w:b/>
          <w:bCs/>
          <w:sz w:val="22"/>
          <w:szCs w:val="22"/>
        </w:rPr>
      </w:pPr>
      <w:r w:rsidRPr="00F15267">
        <w:rPr>
          <w:rFonts w:ascii="Times" w:hAnsi="Times"/>
          <w:b/>
          <w:bCs/>
          <w:noProof/>
          <w:sz w:val="22"/>
          <w:szCs w:val="22"/>
        </w:rPr>
        <w:lastRenderedPageBreak/>
        <w:drawing>
          <wp:inline distT="0" distB="0" distL="0" distR="0" wp14:anchorId="47D16007" wp14:editId="465DDA63">
            <wp:extent cx="5943600" cy="3121660"/>
            <wp:effectExtent l="0" t="0" r="0" b="0"/>
            <wp:docPr id="20224406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3121660"/>
                    </a:xfrm>
                    <a:prstGeom prst="rect">
                      <a:avLst/>
                    </a:prstGeom>
                    <a:ln/>
                  </pic:spPr>
                </pic:pic>
              </a:graphicData>
            </a:graphic>
          </wp:inline>
        </w:drawing>
      </w:r>
    </w:p>
    <w:p w14:paraId="1F0ECB4A" w14:textId="77777777" w:rsidR="0069597F" w:rsidRPr="00F15267" w:rsidRDefault="00000000">
      <w:pPr>
        <w:spacing w:line="259" w:lineRule="auto"/>
        <w:rPr>
          <w:rFonts w:ascii="Times" w:eastAsia="Arial" w:hAnsi="Times" w:cs="Arial"/>
          <w:sz w:val="22"/>
          <w:szCs w:val="22"/>
        </w:rPr>
      </w:pPr>
      <w:r w:rsidRPr="00F15267">
        <w:rPr>
          <w:rFonts w:ascii="Times" w:eastAsia="Aptos" w:hAnsi="Times" w:cs="Aptos"/>
          <w:b/>
          <w:bCs/>
          <w:sz w:val="22"/>
          <w:szCs w:val="22"/>
        </w:rPr>
        <w:t>Figure S2</w:t>
      </w:r>
      <w:r w:rsidRPr="00F15267">
        <w:rPr>
          <w:rFonts w:ascii="Times" w:eastAsia="Arial" w:hAnsi="Times" w:cs="Arial"/>
          <w:sz w:val="22"/>
          <w:szCs w:val="22"/>
        </w:rPr>
        <w:t>. Bubble chart depicting the relationship between the number of Important Shark and Ray Areas (ISRAs) and their area across jurisdictions in Asia (excluding C4 – Movement Areas). Bubble size indicates the extent of each jurisdiction's Exclusive Economic Zone (EEZ): Small (&lt;150,000 km²), Medium (150,000–500,000 km²), Large (500,000–2,000,000 km²), Very Large (&gt;2,000,000 km²).</w:t>
      </w:r>
      <w:r w:rsidRPr="00F15267">
        <w:rPr>
          <w:rFonts w:ascii="Times" w:eastAsia="Arial" w:hAnsi="Times" w:cs="Arial"/>
        </w:rPr>
        <w:t xml:space="preserve"> </w:t>
      </w:r>
      <w:r w:rsidRPr="00F15267">
        <w:rPr>
          <w:rFonts w:ascii="Times" w:eastAsia="Arial" w:hAnsi="Times" w:cs="Arial"/>
          <w:sz w:val="22"/>
          <w:szCs w:val="22"/>
        </w:rPr>
        <w:t>The number of Qualifying Species is displayed next to each jurisdiction label. For India and the Russian Federation, only the EEZ within the ISRA Asia region was included. Jurisdictions are labelled using their standardized two-letter jurisdiction codes: BD, Bangladesh; KH, Cambodia; TW, Chinese Taipei; IN, India; ID, Indonesia; JP, Japan; LK, Sri Lanka; MM, Myanmar; MY, Malaysia; PH, The Philippines; RU, Russian Federation; TH, Thailand.</w:t>
      </w:r>
      <w:r w:rsidRPr="00F15267">
        <w:rPr>
          <w:rFonts w:ascii="Times" w:hAnsi="Times"/>
        </w:rPr>
        <w:br w:type="page"/>
      </w:r>
    </w:p>
    <w:p w14:paraId="15998A39" w14:textId="77777777" w:rsidR="0069597F" w:rsidRPr="00F15267" w:rsidRDefault="0069597F">
      <w:pPr>
        <w:spacing w:line="259" w:lineRule="auto"/>
        <w:rPr>
          <w:rFonts w:ascii="Times" w:eastAsia="Arial" w:hAnsi="Times" w:cs="Arial"/>
          <w:sz w:val="22"/>
          <w:szCs w:val="22"/>
        </w:rPr>
      </w:pPr>
    </w:p>
    <w:p w14:paraId="3E586E9B" w14:textId="77777777" w:rsidR="0069597F" w:rsidRPr="00F15267" w:rsidRDefault="0069597F">
      <w:pPr>
        <w:spacing w:line="259" w:lineRule="auto"/>
        <w:rPr>
          <w:rFonts w:ascii="Times" w:hAnsi="Times"/>
          <w:sz w:val="22"/>
          <w:szCs w:val="22"/>
        </w:rPr>
      </w:pPr>
    </w:p>
    <w:p w14:paraId="619813D9"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noProof/>
          <w:sz w:val="22"/>
          <w:szCs w:val="22"/>
        </w:rPr>
        <w:drawing>
          <wp:inline distT="0" distB="0" distL="0" distR="0" wp14:anchorId="198FECBF" wp14:editId="417A1AA0">
            <wp:extent cx="5943600" cy="5093970"/>
            <wp:effectExtent l="0" t="0" r="0" b="0"/>
            <wp:docPr id="20224406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5093970"/>
                    </a:xfrm>
                    <a:prstGeom prst="rect">
                      <a:avLst/>
                    </a:prstGeom>
                    <a:ln/>
                  </pic:spPr>
                </pic:pic>
              </a:graphicData>
            </a:graphic>
          </wp:inline>
        </w:drawing>
      </w:r>
    </w:p>
    <w:p w14:paraId="223E64C5" w14:textId="34AA6954" w:rsidR="0069597F" w:rsidRPr="00F15267" w:rsidRDefault="00000000">
      <w:pPr>
        <w:spacing w:line="259" w:lineRule="auto"/>
        <w:rPr>
          <w:rFonts w:ascii="Times" w:eastAsia="Arial" w:hAnsi="Times" w:cs="Arial"/>
          <w:sz w:val="22"/>
          <w:szCs w:val="22"/>
        </w:rPr>
      </w:pPr>
      <w:r w:rsidRPr="00F15267">
        <w:rPr>
          <w:rFonts w:ascii="Times" w:eastAsia="Arial" w:hAnsi="Times" w:cs="Arial"/>
          <w:b/>
          <w:bCs/>
          <w:sz w:val="22"/>
          <w:szCs w:val="22"/>
        </w:rPr>
        <w:t>Figure S3.</w:t>
      </w:r>
      <w:r w:rsidRPr="00F15267">
        <w:rPr>
          <w:rFonts w:ascii="Times" w:eastAsia="Arial" w:hAnsi="Times" w:cs="Arial"/>
          <w:sz w:val="22"/>
          <w:szCs w:val="22"/>
        </w:rPr>
        <w:t xml:space="preserve"> Chondrichthyan families represented by Qualifying Species within Important Shark and Ray Areas (ISRAs) in Asia. Numbers in parentheses indicate the number of Qualifying Species in each family.</w:t>
      </w:r>
      <w:r w:rsidRPr="00F15267">
        <w:rPr>
          <w:rFonts w:ascii="Times" w:eastAsia="Arial" w:hAnsi="Times" w:cs="Arial"/>
        </w:rPr>
        <w:t xml:space="preserve"> </w:t>
      </w:r>
      <w:r w:rsidRPr="00F15267">
        <w:rPr>
          <w:rFonts w:ascii="Times" w:eastAsia="Arial" w:hAnsi="Times" w:cs="Arial"/>
          <w:sz w:val="22"/>
          <w:szCs w:val="22"/>
        </w:rPr>
        <w:t>The ordering of the families is based on the number of ISRAs.</w:t>
      </w:r>
    </w:p>
    <w:p w14:paraId="4EAC937C" w14:textId="77777777" w:rsidR="0069597F" w:rsidRPr="00F15267" w:rsidRDefault="0069597F">
      <w:pPr>
        <w:spacing w:line="259" w:lineRule="auto"/>
        <w:rPr>
          <w:rFonts w:ascii="Times" w:hAnsi="Times"/>
        </w:rPr>
      </w:pPr>
    </w:p>
    <w:p w14:paraId="4DA2E58C" w14:textId="77777777" w:rsidR="0069597F" w:rsidRPr="00F15267" w:rsidRDefault="0069597F">
      <w:pPr>
        <w:spacing w:line="259" w:lineRule="auto"/>
        <w:rPr>
          <w:rFonts w:ascii="Times" w:eastAsia="Arial" w:hAnsi="Times" w:cs="Arial"/>
          <w:sz w:val="22"/>
          <w:szCs w:val="22"/>
        </w:rPr>
      </w:pPr>
    </w:p>
    <w:p w14:paraId="7D4CFC1B" w14:textId="77777777" w:rsidR="0069597F" w:rsidRPr="00F15267" w:rsidRDefault="00000000">
      <w:pPr>
        <w:spacing w:line="259" w:lineRule="auto"/>
        <w:rPr>
          <w:rFonts w:ascii="Times" w:hAnsi="Times"/>
        </w:rPr>
      </w:pPr>
      <w:r w:rsidRPr="00F15267">
        <w:rPr>
          <w:rFonts w:ascii="Times" w:hAnsi="Times"/>
          <w:noProof/>
        </w:rPr>
        <w:lastRenderedPageBreak/>
        <w:drawing>
          <wp:inline distT="0" distB="0" distL="0" distR="0" wp14:anchorId="045C51A8" wp14:editId="64B5523A">
            <wp:extent cx="5197475" cy="8229600"/>
            <wp:effectExtent l="0" t="0" r="0" b="0"/>
            <wp:docPr id="20224406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197475" cy="8229600"/>
                    </a:xfrm>
                    <a:prstGeom prst="rect">
                      <a:avLst/>
                    </a:prstGeom>
                    <a:ln/>
                  </pic:spPr>
                </pic:pic>
              </a:graphicData>
            </a:graphic>
          </wp:inline>
        </w:drawing>
      </w:r>
    </w:p>
    <w:p w14:paraId="0D708642" w14:textId="77777777" w:rsidR="0069597F" w:rsidRPr="00F15267" w:rsidRDefault="00000000">
      <w:pPr>
        <w:rPr>
          <w:rFonts w:ascii="Times" w:hAnsi="Times"/>
          <w:b/>
          <w:bCs/>
          <w:sz w:val="22"/>
          <w:szCs w:val="22"/>
        </w:rPr>
      </w:pPr>
      <w:r w:rsidRPr="00F15267">
        <w:rPr>
          <w:rFonts w:ascii="Times" w:hAnsi="Times"/>
          <w:b/>
          <w:bCs/>
          <w:noProof/>
          <w:sz w:val="22"/>
          <w:szCs w:val="22"/>
        </w:rPr>
        <w:lastRenderedPageBreak/>
        <w:drawing>
          <wp:inline distT="0" distB="0" distL="0" distR="0" wp14:anchorId="1B205DC1" wp14:editId="43B9710E">
            <wp:extent cx="5630545" cy="8229600"/>
            <wp:effectExtent l="0" t="0" r="0" b="0"/>
            <wp:docPr id="20224406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630545" cy="8229600"/>
                    </a:xfrm>
                    <a:prstGeom prst="rect">
                      <a:avLst/>
                    </a:prstGeom>
                    <a:ln/>
                  </pic:spPr>
                </pic:pic>
              </a:graphicData>
            </a:graphic>
          </wp:inline>
        </w:drawing>
      </w:r>
    </w:p>
    <w:p w14:paraId="30DB3B6A"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b/>
          <w:bCs/>
          <w:sz w:val="22"/>
          <w:szCs w:val="22"/>
        </w:rPr>
        <w:lastRenderedPageBreak/>
        <w:t>Figure S4.</w:t>
      </w:r>
      <w:r w:rsidRPr="00F15267">
        <w:rPr>
          <w:rFonts w:ascii="Times" w:eastAsia="Arial" w:hAnsi="Times" w:cs="Arial"/>
          <w:sz w:val="22"/>
          <w:szCs w:val="22"/>
        </w:rPr>
        <w:t xml:space="preserve">The number of Important Shark and Ray Areas (ISRA) in the Asia region by each Qualifying Species for (A) sharks and chimaeras, and (B) rays. The dots represent the number of ISRAs that overlap with marine protected areas (the actual extent of spatial overlap varies from 1–100%, with most ISRAs intersecting only partially with MPAs). Letters and numbers next to the bar represent the ISRA Criteria: Range Restricted (Criterion B); Life-History (Criterion C; Reproductive Areas [C1], Feeding Areas [C2], Resting Areas [C3], Movement [C4], or Undefined Aggregations [C5]); and Special Attributes (Criterion D; Distinctiveness [D1; related to distinct biological, behavioral, or ecological characteristics] and Diversity [D2; species richness]). IUCN Red List categories: CR, Critically Endangered; EN, Endangered; VU, Vulnerable; NT, Near Threatened; LC, Least Concern; DD, Data Deficient. </w:t>
      </w:r>
    </w:p>
    <w:p w14:paraId="65831624" w14:textId="77777777" w:rsidR="0069597F" w:rsidRPr="00F15267" w:rsidRDefault="00000000">
      <w:pPr>
        <w:rPr>
          <w:rFonts w:ascii="Times" w:eastAsia="Arial" w:hAnsi="Times" w:cs="Arial"/>
          <w:sz w:val="22"/>
          <w:szCs w:val="22"/>
        </w:rPr>
      </w:pPr>
      <w:r w:rsidRPr="00F15267">
        <w:rPr>
          <w:rFonts w:ascii="Times" w:hAnsi="Times"/>
        </w:rPr>
        <w:br w:type="page"/>
      </w:r>
    </w:p>
    <w:p w14:paraId="70F54B9A"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noProof/>
          <w:sz w:val="22"/>
          <w:szCs w:val="22"/>
        </w:rPr>
        <w:lastRenderedPageBreak/>
        <w:drawing>
          <wp:inline distT="114300" distB="114300" distL="114300" distR="114300" wp14:anchorId="3C330BEA" wp14:editId="0D5CE415">
            <wp:extent cx="5943600" cy="4940300"/>
            <wp:effectExtent l="0" t="0" r="0" b="0"/>
            <wp:docPr id="202244063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943600" cy="4940300"/>
                    </a:xfrm>
                    <a:prstGeom prst="rect">
                      <a:avLst/>
                    </a:prstGeom>
                    <a:ln/>
                  </pic:spPr>
                </pic:pic>
              </a:graphicData>
            </a:graphic>
          </wp:inline>
        </w:drawing>
      </w:r>
    </w:p>
    <w:p w14:paraId="0D623BB3" w14:textId="77777777" w:rsidR="0069597F" w:rsidRPr="00F15267" w:rsidRDefault="00000000">
      <w:pPr>
        <w:spacing w:line="259" w:lineRule="auto"/>
        <w:rPr>
          <w:rFonts w:ascii="Times" w:hAnsi="Times"/>
          <w:b/>
          <w:bCs/>
        </w:rPr>
      </w:pPr>
      <w:r w:rsidRPr="00F15267">
        <w:rPr>
          <w:rFonts w:ascii="Times" w:hAnsi="Times"/>
          <w:b/>
          <w:bCs/>
          <w:noProof/>
        </w:rPr>
        <w:lastRenderedPageBreak/>
        <w:drawing>
          <wp:inline distT="114300" distB="114300" distL="114300" distR="114300" wp14:anchorId="3FA6A576" wp14:editId="772683AB">
            <wp:extent cx="5943600" cy="7429500"/>
            <wp:effectExtent l="0" t="0" r="0" b="0"/>
            <wp:docPr id="202244063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943600" cy="7429500"/>
                    </a:xfrm>
                    <a:prstGeom prst="rect">
                      <a:avLst/>
                    </a:prstGeom>
                    <a:ln/>
                  </pic:spPr>
                </pic:pic>
              </a:graphicData>
            </a:graphic>
          </wp:inline>
        </w:drawing>
      </w:r>
    </w:p>
    <w:p w14:paraId="0C98F2F6" w14:textId="77777777" w:rsidR="0069597F" w:rsidRPr="00F15267" w:rsidRDefault="00000000">
      <w:pPr>
        <w:spacing w:line="259" w:lineRule="auto"/>
        <w:rPr>
          <w:rFonts w:ascii="Times" w:eastAsia="Arial" w:hAnsi="Times" w:cs="Arial"/>
          <w:sz w:val="22"/>
          <w:szCs w:val="22"/>
        </w:rPr>
      </w:pPr>
      <w:r w:rsidRPr="00F15267">
        <w:rPr>
          <w:rFonts w:ascii="Times" w:hAnsi="Times"/>
          <w:b/>
          <w:bCs/>
        </w:rPr>
        <w:t>Figure S5</w:t>
      </w:r>
      <w:r w:rsidRPr="00F15267">
        <w:rPr>
          <w:rFonts w:ascii="Times" w:eastAsia="Arial" w:hAnsi="Times" w:cs="Arial"/>
          <w:b/>
          <w:bCs/>
          <w:sz w:val="22"/>
          <w:szCs w:val="22"/>
        </w:rPr>
        <w:t>.</w:t>
      </w:r>
      <w:r w:rsidRPr="00F15267">
        <w:rPr>
          <w:rFonts w:ascii="Times" w:eastAsia="Arial" w:hAnsi="Times" w:cs="Arial"/>
          <w:sz w:val="22"/>
          <w:szCs w:val="22"/>
        </w:rPr>
        <w:t xml:space="preserve"> Marine protected areas (no-take MPA and partial MPA) and Important Shark and Ray Areas (ISRAs) in the Asia region. MPAs of China were not included as spatial data is not available. Spatial layers of MPAs were retrieved from the World Database on Protected Areas (WDPA) (UNEP-WCMC </w:t>
      </w:r>
      <w:r w:rsidRPr="00F15267">
        <w:rPr>
          <w:rFonts w:ascii="Times" w:eastAsia="Arial" w:hAnsi="Times" w:cs="Arial"/>
          <w:sz w:val="22"/>
          <w:szCs w:val="22"/>
        </w:rPr>
        <w:lastRenderedPageBreak/>
        <w:t xml:space="preserve">and IUCN 2025) in March 2025. </w:t>
      </w:r>
      <w:r w:rsidRPr="00F15267">
        <w:rPr>
          <w:rFonts w:ascii="Times" w:eastAsia="Arial" w:hAnsi="Times" w:cs="Arial"/>
          <w:color w:val="1F1F1F"/>
          <w:sz w:val="22"/>
          <w:szCs w:val="22"/>
        </w:rPr>
        <w:t xml:space="preserve">Democratic People's Republic of Korea does not report MPA spatial data to the WDPA. </w:t>
      </w:r>
    </w:p>
    <w:p w14:paraId="62AD6BEE" w14:textId="77777777" w:rsidR="0069597F" w:rsidRPr="00F15267" w:rsidRDefault="0069597F">
      <w:pPr>
        <w:spacing w:line="259" w:lineRule="auto"/>
        <w:rPr>
          <w:rFonts w:ascii="Times" w:eastAsia="Arial" w:hAnsi="Times" w:cs="Arial"/>
          <w:sz w:val="22"/>
          <w:szCs w:val="22"/>
        </w:rPr>
      </w:pPr>
    </w:p>
    <w:p w14:paraId="32127BE1" w14:textId="77777777" w:rsidR="0069597F" w:rsidRPr="00F15267" w:rsidRDefault="0069597F">
      <w:pPr>
        <w:spacing w:line="259" w:lineRule="auto"/>
        <w:rPr>
          <w:rFonts w:ascii="Times" w:eastAsia="Arial" w:hAnsi="Times" w:cs="Arial"/>
          <w:sz w:val="22"/>
          <w:szCs w:val="22"/>
        </w:rPr>
      </w:pPr>
    </w:p>
    <w:p w14:paraId="0A27283B" w14:textId="77777777" w:rsidR="0069597F" w:rsidRPr="00F15267" w:rsidRDefault="0069597F">
      <w:pPr>
        <w:rPr>
          <w:rFonts w:ascii="Times" w:eastAsia="Arial" w:hAnsi="Times" w:cs="Arial"/>
        </w:rPr>
      </w:pPr>
    </w:p>
    <w:p w14:paraId="1B3F0979" w14:textId="77777777" w:rsidR="0069597F" w:rsidRPr="00F15267" w:rsidRDefault="0069597F">
      <w:pPr>
        <w:spacing w:line="259" w:lineRule="auto"/>
        <w:rPr>
          <w:rFonts w:ascii="Times" w:eastAsia="Arial" w:hAnsi="Times" w:cs="Arial"/>
          <w:sz w:val="22"/>
          <w:szCs w:val="22"/>
        </w:rPr>
      </w:pPr>
    </w:p>
    <w:p w14:paraId="5C5B169C"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sz w:val="22"/>
          <w:szCs w:val="22"/>
        </w:rPr>
        <w:t xml:space="preserve"> </w:t>
      </w:r>
      <w:r w:rsidRPr="00F15267">
        <w:rPr>
          <w:rFonts w:ascii="Times" w:eastAsia="Arial" w:hAnsi="Times" w:cs="Arial"/>
          <w:noProof/>
          <w:sz w:val="22"/>
          <w:szCs w:val="22"/>
        </w:rPr>
        <w:drawing>
          <wp:inline distT="114300" distB="114300" distL="114300" distR="114300" wp14:anchorId="1B96353A" wp14:editId="6C84C085">
            <wp:extent cx="5943600" cy="3708400"/>
            <wp:effectExtent l="0" t="0" r="0" b="0"/>
            <wp:docPr id="20224406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3708400"/>
                    </a:xfrm>
                    <a:prstGeom prst="rect">
                      <a:avLst/>
                    </a:prstGeom>
                    <a:ln/>
                  </pic:spPr>
                </pic:pic>
              </a:graphicData>
            </a:graphic>
          </wp:inline>
        </w:drawing>
      </w:r>
    </w:p>
    <w:p w14:paraId="2D7F4C98" w14:textId="77777777" w:rsidR="0069597F" w:rsidRPr="00F15267" w:rsidRDefault="00000000">
      <w:pPr>
        <w:spacing w:line="259" w:lineRule="auto"/>
        <w:rPr>
          <w:rFonts w:ascii="Times" w:eastAsia="Arial" w:hAnsi="Times" w:cs="Arial"/>
          <w:sz w:val="22"/>
          <w:szCs w:val="22"/>
        </w:rPr>
      </w:pPr>
      <w:r w:rsidRPr="00F15267">
        <w:rPr>
          <w:rFonts w:ascii="Times" w:hAnsi="Times"/>
          <w:b/>
          <w:bCs/>
        </w:rPr>
        <w:t>Figure S6</w:t>
      </w:r>
      <w:r w:rsidRPr="00F15267">
        <w:rPr>
          <w:rFonts w:ascii="Times" w:eastAsia="Arial" w:hAnsi="Times" w:cs="Arial"/>
          <w:b/>
          <w:bCs/>
          <w:sz w:val="22"/>
          <w:szCs w:val="22"/>
        </w:rPr>
        <w:t>.</w:t>
      </w:r>
      <w:r w:rsidRPr="00F15267">
        <w:rPr>
          <w:rFonts w:ascii="Times" w:eastAsia="Arial" w:hAnsi="Times" w:cs="Arial"/>
          <w:sz w:val="22"/>
          <w:szCs w:val="22"/>
        </w:rPr>
        <w:t xml:space="preserve"> Research methods used to collect data that supported the delineation of Important Shark and Ray Areas (ISRAs) in the Asia region according to ISRA Criteria. See Table 1 for definitions of research methods. Range Restricted (Criterion B); Life-History (Criterion C; Reproductive Areas [C1], Feeding Areas [C2], Resting Areas [C3], Movement [C4], or Undefined Aggregations [C5]); and Special Attributes (Criterion D; Distinctiveness [D1; related to distinct biological, behavioral, or ecological characteristics] and Diversity [D2; species richness]). LEK, local ecological knowledge. Numbers in parentheses indicate the number of times the method was used. </w:t>
      </w:r>
    </w:p>
    <w:p w14:paraId="07AA289B" w14:textId="77777777" w:rsidR="0069597F" w:rsidRPr="00F15267" w:rsidRDefault="0069597F">
      <w:pPr>
        <w:spacing w:line="259" w:lineRule="auto"/>
        <w:rPr>
          <w:rFonts w:ascii="Times" w:eastAsia="Arial" w:hAnsi="Times" w:cs="Arial"/>
          <w:sz w:val="22"/>
          <w:szCs w:val="22"/>
        </w:rPr>
      </w:pPr>
    </w:p>
    <w:p w14:paraId="25E47D6E" w14:textId="77777777" w:rsidR="0069597F" w:rsidRPr="00F15267" w:rsidRDefault="0069597F">
      <w:pPr>
        <w:spacing w:line="259" w:lineRule="auto"/>
        <w:rPr>
          <w:rFonts w:ascii="Times" w:eastAsia="Arial" w:hAnsi="Times" w:cs="Arial"/>
          <w:sz w:val="22"/>
          <w:szCs w:val="22"/>
        </w:rPr>
      </w:pPr>
    </w:p>
    <w:p w14:paraId="49ACA480" w14:textId="77777777" w:rsidR="0069597F" w:rsidRPr="00F15267" w:rsidRDefault="0069597F">
      <w:pPr>
        <w:spacing w:line="259" w:lineRule="auto"/>
        <w:rPr>
          <w:rFonts w:ascii="Times" w:eastAsia="Arial" w:hAnsi="Times" w:cs="Arial"/>
          <w:sz w:val="22"/>
          <w:szCs w:val="22"/>
        </w:rPr>
      </w:pPr>
    </w:p>
    <w:p w14:paraId="7F2F9D89"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noProof/>
          <w:sz w:val="22"/>
          <w:szCs w:val="22"/>
        </w:rPr>
        <w:lastRenderedPageBreak/>
        <w:drawing>
          <wp:inline distT="114300" distB="114300" distL="114300" distR="114300" wp14:anchorId="3BDA8EF9" wp14:editId="4AABCC6F">
            <wp:extent cx="5705475" cy="3710271"/>
            <wp:effectExtent l="0" t="0" r="0" b="0"/>
            <wp:docPr id="20224406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12980" r="9775" b="4056"/>
                    <a:stretch>
                      <a:fillRect/>
                    </a:stretch>
                  </pic:blipFill>
                  <pic:spPr>
                    <a:xfrm>
                      <a:off x="0" y="0"/>
                      <a:ext cx="5705475" cy="3710271"/>
                    </a:xfrm>
                    <a:prstGeom prst="rect">
                      <a:avLst/>
                    </a:prstGeom>
                    <a:ln/>
                  </pic:spPr>
                </pic:pic>
              </a:graphicData>
            </a:graphic>
          </wp:inline>
        </w:drawing>
      </w:r>
    </w:p>
    <w:p w14:paraId="60BB8535" w14:textId="77777777" w:rsidR="0069597F" w:rsidRPr="00F15267" w:rsidRDefault="00000000">
      <w:pPr>
        <w:jc w:val="both"/>
        <w:rPr>
          <w:rFonts w:ascii="Times" w:eastAsia="Arial" w:hAnsi="Times" w:cs="Arial"/>
          <w:sz w:val="22"/>
          <w:szCs w:val="22"/>
        </w:rPr>
      </w:pPr>
      <w:r w:rsidRPr="00F15267">
        <w:rPr>
          <w:rFonts w:ascii="Times" w:hAnsi="Times"/>
          <w:b/>
          <w:bCs/>
          <w:sz w:val="22"/>
          <w:szCs w:val="22"/>
        </w:rPr>
        <w:t xml:space="preserve">Figure S7. </w:t>
      </w:r>
      <w:r w:rsidRPr="00F15267">
        <w:rPr>
          <w:rFonts w:ascii="Times" w:eastAsia="Arial" w:hAnsi="Times" w:cs="Arial"/>
          <w:sz w:val="22"/>
          <w:szCs w:val="22"/>
        </w:rPr>
        <w:t xml:space="preserve">Flow diagram showing the relationship between research methods, data types, and ISRA Criteria used to identify Important Shark and Ray Areas (ISRAs) in the Asia region. ISRA Criteria: Range Restricted – Criterion B (B); Life-History – Criterion C: Reproductive Areas (C1), Feeding Areas (C2), Resting Areas (C3), Movement Areas (C4), or Undefined Aggregations (C5); Special Attributes – Criterion D: Distinctiveness (D1; related to distinct biological, behavioral, or ecological characteristics) and Diversity (D2; species richness). See the methods section for ISRA Criteria definitions. See Table 1 for definitions of research methods and data types. LEK, Local ecological knowledge. Each node is at the ‘criteria x species’ level. </w:t>
      </w:r>
    </w:p>
    <w:p w14:paraId="14F22670" w14:textId="77777777" w:rsidR="0069597F" w:rsidRPr="00F15267" w:rsidRDefault="0069597F">
      <w:pPr>
        <w:spacing w:line="259" w:lineRule="auto"/>
        <w:rPr>
          <w:rFonts w:ascii="Times" w:eastAsia="Arial" w:hAnsi="Times" w:cs="Arial"/>
          <w:sz w:val="22"/>
          <w:szCs w:val="22"/>
        </w:rPr>
      </w:pPr>
    </w:p>
    <w:p w14:paraId="28B9448C" w14:textId="77777777" w:rsidR="0069597F" w:rsidRPr="00F15267" w:rsidRDefault="0069597F">
      <w:pPr>
        <w:spacing w:line="259" w:lineRule="auto"/>
        <w:rPr>
          <w:rFonts w:ascii="Times" w:eastAsia="Arial" w:hAnsi="Times" w:cs="Arial"/>
          <w:sz w:val="22"/>
          <w:szCs w:val="22"/>
        </w:rPr>
      </w:pPr>
    </w:p>
    <w:p w14:paraId="668768A1" w14:textId="77777777" w:rsidR="0069597F" w:rsidRPr="00F15267" w:rsidRDefault="00000000">
      <w:pPr>
        <w:spacing w:line="259" w:lineRule="auto"/>
        <w:rPr>
          <w:rFonts w:ascii="Times" w:eastAsia="Arial" w:hAnsi="Times" w:cs="Arial"/>
          <w:sz w:val="22"/>
          <w:szCs w:val="22"/>
        </w:rPr>
      </w:pPr>
      <w:r w:rsidRPr="00F15267">
        <w:rPr>
          <w:rFonts w:ascii="Times" w:eastAsia="Arial" w:hAnsi="Times" w:cs="Arial"/>
          <w:noProof/>
          <w:sz w:val="22"/>
          <w:szCs w:val="22"/>
        </w:rPr>
        <w:lastRenderedPageBreak/>
        <w:drawing>
          <wp:inline distT="114300" distB="114300" distL="114300" distR="114300" wp14:anchorId="3BCEA055" wp14:editId="00E9A6D6">
            <wp:extent cx="5943600" cy="5067300"/>
            <wp:effectExtent l="0" t="0" r="0" b="0"/>
            <wp:docPr id="20224406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943600" cy="5067300"/>
                    </a:xfrm>
                    <a:prstGeom prst="rect">
                      <a:avLst/>
                    </a:prstGeom>
                    <a:ln/>
                  </pic:spPr>
                </pic:pic>
              </a:graphicData>
            </a:graphic>
          </wp:inline>
        </w:drawing>
      </w:r>
    </w:p>
    <w:p w14:paraId="73C5C40C" w14:textId="77777777" w:rsidR="0069597F" w:rsidRPr="00F15267" w:rsidRDefault="0069597F">
      <w:pPr>
        <w:spacing w:line="259" w:lineRule="auto"/>
        <w:rPr>
          <w:rFonts w:ascii="Times" w:eastAsia="Arial" w:hAnsi="Times" w:cs="Arial"/>
          <w:sz w:val="22"/>
          <w:szCs w:val="22"/>
        </w:rPr>
      </w:pPr>
    </w:p>
    <w:p w14:paraId="04FEFF38" w14:textId="0CD12DBB" w:rsidR="0069597F" w:rsidRPr="00F15267" w:rsidRDefault="00000000">
      <w:pPr>
        <w:spacing w:line="259" w:lineRule="auto"/>
        <w:rPr>
          <w:rFonts w:ascii="Times" w:eastAsia="Arial" w:hAnsi="Times" w:cs="Arial"/>
          <w:sz w:val="22"/>
          <w:szCs w:val="22"/>
        </w:rPr>
      </w:pPr>
      <w:r w:rsidRPr="00F15267">
        <w:rPr>
          <w:rFonts w:ascii="Times" w:hAnsi="Times"/>
          <w:b/>
          <w:bCs/>
        </w:rPr>
        <w:t>Figure S8</w:t>
      </w:r>
      <w:r w:rsidRPr="00F15267">
        <w:rPr>
          <w:rFonts w:ascii="Times" w:eastAsia="Arial" w:hAnsi="Times" w:cs="Arial"/>
          <w:color w:val="1F1F1F"/>
          <w:sz w:val="22"/>
          <w:szCs w:val="22"/>
        </w:rPr>
        <w:t xml:space="preserve">. Inland </w:t>
      </w:r>
      <w:r w:rsidRPr="00F15267">
        <w:rPr>
          <w:rFonts w:ascii="Times" w:eastAsia="Arial" w:hAnsi="Times" w:cs="Arial"/>
          <w:sz w:val="22"/>
          <w:szCs w:val="22"/>
        </w:rPr>
        <w:t>protected areas (no-take PA and partial PA) and freshwater Important Shark and Ray Areas (ISRAs) in the Asia region. Freshwater rays include obligate freshwater species (</w:t>
      </w:r>
      <w:r w:rsidRPr="00F15267">
        <w:rPr>
          <w:rFonts w:ascii="Times" w:eastAsia="Arial" w:hAnsi="Times" w:cs="Arial"/>
          <w:i/>
          <w:iCs/>
          <w:sz w:val="22"/>
          <w:szCs w:val="22"/>
        </w:rPr>
        <w:t>Fluvitrygon</w:t>
      </w:r>
      <w:r w:rsidRPr="00F15267">
        <w:rPr>
          <w:rFonts w:ascii="Times" w:eastAsia="Arial" w:hAnsi="Times" w:cs="Arial"/>
          <w:sz w:val="22"/>
          <w:szCs w:val="22"/>
        </w:rPr>
        <w:t xml:space="preserve"> spp. whiprays) and two euryhaline generalists, Giant Freshwater Whipray (</w:t>
      </w:r>
      <w:r w:rsidRPr="00F15267">
        <w:rPr>
          <w:rFonts w:ascii="Times" w:eastAsia="Arial" w:hAnsi="Times" w:cs="Arial"/>
          <w:i/>
          <w:iCs/>
          <w:sz w:val="22"/>
          <w:szCs w:val="22"/>
        </w:rPr>
        <w:t>Urogymnus polylepis</w:t>
      </w:r>
      <w:r w:rsidRPr="00F15267">
        <w:rPr>
          <w:rFonts w:ascii="Times" w:eastAsia="Arial" w:hAnsi="Times" w:cs="Arial"/>
          <w:sz w:val="22"/>
          <w:szCs w:val="22"/>
        </w:rPr>
        <w:t>) and Bull Shark (</w:t>
      </w:r>
      <w:r w:rsidRPr="00F15267">
        <w:rPr>
          <w:rFonts w:ascii="Times" w:eastAsia="Arial" w:hAnsi="Times" w:cs="Arial"/>
          <w:i/>
          <w:iCs/>
          <w:sz w:val="22"/>
          <w:szCs w:val="22"/>
        </w:rPr>
        <w:t>Carcharhinus leucas</w:t>
      </w:r>
      <w:r w:rsidRPr="00F15267">
        <w:rPr>
          <w:rFonts w:ascii="Times" w:eastAsia="Arial" w:hAnsi="Times" w:cs="Arial"/>
          <w:sz w:val="22"/>
          <w:szCs w:val="22"/>
        </w:rPr>
        <w:t xml:space="preserve">). </w:t>
      </w:r>
      <w:r w:rsidRPr="00F15267">
        <w:rPr>
          <w:rFonts w:ascii="Times" w:eastAsia="Arial" w:hAnsi="Times" w:cs="Arial"/>
          <w:color w:val="1F1F1F"/>
          <w:sz w:val="22"/>
          <w:szCs w:val="22"/>
        </w:rPr>
        <w:t xml:space="preserve">Inland </w:t>
      </w:r>
      <w:r w:rsidRPr="00F15267">
        <w:rPr>
          <w:rFonts w:ascii="Times" w:eastAsia="Arial" w:hAnsi="Times" w:cs="Arial"/>
          <w:sz w:val="22"/>
          <w:szCs w:val="22"/>
        </w:rPr>
        <w:t xml:space="preserve">protected areas of India were not included as spatial data were unavailable. Spatial layers of </w:t>
      </w:r>
      <w:r w:rsidRPr="00F15267">
        <w:rPr>
          <w:rFonts w:ascii="Times" w:eastAsia="Arial" w:hAnsi="Times" w:cs="Arial"/>
          <w:color w:val="1F1F1F"/>
          <w:sz w:val="22"/>
          <w:szCs w:val="22"/>
        </w:rPr>
        <w:t xml:space="preserve">inland </w:t>
      </w:r>
      <w:r w:rsidRPr="00F15267">
        <w:rPr>
          <w:rFonts w:ascii="Times" w:eastAsia="Arial" w:hAnsi="Times" w:cs="Arial"/>
          <w:sz w:val="22"/>
          <w:szCs w:val="22"/>
        </w:rPr>
        <w:t xml:space="preserve">protected areas were retrieved from the World Database on Protected Areas (WDPA) (UNEP-WCMC and IUCN 2025) in March 2025. </w:t>
      </w:r>
      <w:r w:rsidRPr="00F15267">
        <w:rPr>
          <w:rFonts w:ascii="Times" w:eastAsia="Arial" w:hAnsi="Times" w:cs="Arial"/>
          <w:color w:val="1F1F1F"/>
          <w:sz w:val="22"/>
          <w:szCs w:val="22"/>
        </w:rPr>
        <w:t xml:space="preserve">India does not report spatial data to the WDPA. </w:t>
      </w:r>
    </w:p>
    <w:p w14:paraId="4591A863" w14:textId="77777777" w:rsidR="0069597F" w:rsidRPr="00F15267" w:rsidRDefault="0069597F">
      <w:pPr>
        <w:spacing w:line="259" w:lineRule="auto"/>
        <w:rPr>
          <w:rFonts w:ascii="Times" w:eastAsia="Arial" w:hAnsi="Times" w:cs="Arial"/>
          <w:sz w:val="22"/>
          <w:szCs w:val="22"/>
        </w:rPr>
      </w:pPr>
    </w:p>
    <w:p w14:paraId="7FF5BBC6" w14:textId="77777777" w:rsidR="0069597F" w:rsidRPr="00F15267" w:rsidRDefault="0069597F">
      <w:pPr>
        <w:spacing w:line="259" w:lineRule="auto"/>
        <w:rPr>
          <w:rFonts w:ascii="Times" w:hAnsi="Times"/>
          <w:b/>
          <w:bCs/>
        </w:rPr>
      </w:pPr>
    </w:p>
    <w:p w14:paraId="113184A8" w14:textId="77777777" w:rsidR="0069597F" w:rsidRPr="00F15267" w:rsidRDefault="0069597F">
      <w:pPr>
        <w:spacing w:line="259" w:lineRule="auto"/>
        <w:rPr>
          <w:rFonts w:ascii="Times" w:hAnsi="Times"/>
          <w:b/>
          <w:bCs/>
        </w:rPr>
      </w:pPr>
    </w:p>
    <w:p w14:paraId="33BADFE6" w14:textId="77777777" w:rsidR="0069597F" w:rsidRPr="00F15267" w:rsidRDefault="0069597F">
      <w:pPr>
        <w:spacing w:line="259" w:lineRule="auto"/>
        <w:rPr>
          <w:rFonts w:ascii="Times" w:hAnsi="Times"/>
          <w:b/>
          <w:bCs/>
        </w:rPr>
      </w:pPr>
    </w:p>
    <w:p w14:paraId="232C3D3E" w14:textId="77777777" w:rsidR="0069597F" w:rsidRPr="00F15267" w:rsidRDefault="0069597F">
      <w:pPr>
        <w:spacing w:line="259" w:lineRule="auto"/>
        <w:rPr>
          <w:rFonts w:ascii="Times" w:hAnsi="Times"/>
          <w:b/>
          <w:bCs/>
        </w:rPr>
      </w:pPr>
    </w:p>
    <w:p w14:paraId="73364052" w14:textId="407B8363" w:rsidR="0069597F" w:rsidRPr="00F15267" w:rsidRDefault="00000000">
      <w:pPr>
        <w:spacing w:line="259" w:lineRule="auto"/>
        <w:rPr>
          <w:rFonts w:ascii="Times" w:hAnsi="Times"/>
        </w:rPr>
      </w:pPr>
      <w:r w:rsidRPr="00F15267">
        <w:rPr>
          <w:rFonts w:ascii="Times" w:hAnsi="Times"/>
          <w:b/>
          <w:bCs/>
        </w:rPr>
        <w:t xml:space="preserve">Table S1. </w:t>
      </w:r>
      <w:r w:rsidRPr="00F15267">
        <w:rPr>
          <w:rFonts w:ascii="Times" w:eastAsia="Arial" w:hAnsi="Times" w:cs="Arial"/>
          <w:sz w:val="22"/>
          <w:szCs w:val="22"/>
        </w:rPr>
        <w:t xml:space="preserve"> Important Shark and Ray Areas (ISRAs) in the Asia region. Percentage represents the proportion of each ISRA from the total area covered by all ISRAs (1,079,537 km²). </w:t>
      </w:r>
    </w:p>
    <w:p w14:paraId="034E90F7" w14:textId="77777777" w:rsidR="0069597F" w:rsidRPr="00F15267" w:rsidRDefault="0069597F">
      <w:pPr>
        <w:spacing w:line="259" w:lineRule="auto"/>
        <w:rPr>
          <w:rFonts w:ascii="Times" w:hAnsi="Times"/>
          <w:b/>
          <w:bCs/>
          <w:sz w:val="22"/>
          <w:szCs w:val="22"/>
        </w:rPr>
      </w:pPr>
    </w:p>
    <w:p w14:paraId="781BFAEA" w14:textId="5E1FC951" w:rsidR="0069597F" w:rsidRPr="00F15267" w:rsidRDefault="00000000">
      <w:pPr>
        <w:spacing w:line="259" w:lineRule="auto"/>
        <w:rPr>
          <w:rFonts w:ascii="Times" w:eastAsia="Arial" w:hAnsi="Times" w:cs="Arial"/>
          <w:sz w:val="22"/>
          <w:szCs w:val="22"/>
        </w:rPr>
      </w:pPr>
      <w:r w:rsidRPr="00F15267">
        <w:rPr>
          <w:rFonts w:ascii="Times" w:eastAsia="Arial" w:hAnsi="Times" w:cs="Arial"/>
          <w:b/>
          <w:bCs/>
          <w:sz w:val="22"/>
          <w:szCs w:val="22"/>
        </w:rPr>
        <w:lastRenderedPageBreak/>
        <w:t>Table S2.</w:t>
      </w:r>
      <w:r w:rsidRPr="00F15267">
        <w:rPr>
          <w:rFonts w:ascii="Times" w:eastAsia="Arial" w:hAnsi="Times" w:cs="Arial"/>
          <w:sz w:val="22"/>
          <w:szCs w:val="22"/>
        </w:rPr>
        <w:t xml:space="preserve"> Species for which IUCN Red List of Threatened Species (IUCN 2025) range maps were not available due to insufficient distribution data.</w:t>
      </w:r>
    </w:p>
    <w:tbl>
      <w:tblPr>
        <w:tblStyle w:val="a0"/>
        <w:tblW w:w="3780" w:type="dxa"/>
        <w:tblLayout w:type="fixed"/>
        <w:tblLook w:val="0400" w:firstRow="0" w:lastRow="0" w:firstColumn="0" w:lastColumn="0" w:noHBand="0" w:noVBand="1"/>
      </w:tblPr>
      <w:tblGrid>
        <w:gridCol w:w="3780"/>
      </w:tblGrid>
      <w:tr w:rsidR="0069597F" w:rsidRPr="00F15267" w14:paraId="19979759" w14:textId="77777777">
        <w:trPr>
          <w:trHeight w:val="320"/>
        </w:trPr>
        <w:tc>
          <w:tcPr>
            <w:tcW w:w="3780" w:type="dxa"/>
            <w:tcBorders>
              <w:top w:val="single" w:sz="4" w:space="0" w:color="000000"/>
              <w:left w:val="nil"/>
              <w:bottom w:val="single" w:sz="4" w:space="0" w:color="000000"/>
              <w:right w:val="nil"/>
            </w:tcBorders>
            <w:shd w:val="clear" w:color="auto" w:fill="auto"/>
            <w:vAlign w:val="bottom"/>
          </w:tcPr>
          <w:p w14:paraId="6475E323" w14:textId="77777777" w:rsidR="0069597F" w:rsidRPr="00F15267" w:rsidRDefault="00000000">
            <w:pPr>
              <w:rPr>
                <w:rFonts w:ascii="Times" w:eastAsia="Arial" w:hAnsi="Times" w:cs="Arial"/>
                <w:color w:val="000000"/>
              </w:rPr>
            </w:pPr>
            <w:r w:rsidRPr="00F15267">
              <w:rPr>
                <w:rFonts w:ascii="Times" w:eastAsia="Arial" w:hAnsi="Times" w:cs="Arial"/>
                <w:color w:val="000000"/>
              </w:rPr>
              <w:t>Species</w:t>
            </w:r>
          </w:p>
        </w:tc>
      </w:tr>
      <w:tr w:rsidR="0069597F" w:rsidRPr="00F15267" w14:paraId="005D1E00" w14:textId="77777777">
        <w:trPr>
          <w:trHeight w:val="320"/>
        </w:trPr>
        <w:tc>
          <w:tcPr>
            <w:tcW w:w="3780" w:type="dxa"/>
            <w:tcBorders>
              <w:top w:val="nil"/>
              <w:left w:val="nil"/>
              <w:bottom w:val="nil"/>
              <w:right w:val="nil"/>
            </w:tcBorders>
            <w:shd w:val="clear" w:color="auto" w:fill="auto"/>
            <w:vAlign w:val="bottom"/>
          </w:tcPr>
          <w:p w14:paraId="6795FECE" w14:textId="69A382D0" w:rsidR="0069597F" w:rsidRPr="00F15267" w:rsidRDefault="00000000">
            <w:pPr>
              <w:rPr>
                <w:rFonts w:ascii="Times" w:eastAsia="Arial" w:hAnsi="Times" w:cs="Arial"/>
                <w:i/>
                <w:iCs/>
                <w:color w:val="000000"/>
              </w:rPr>
            </w:pPr>
            <w:r w:rsidRPr="00F15267">
              <w:rPr>
                <w:rFonts w:ascii="Times" w:eastAsia="Arial" w:hAnsi="Times" w:cs="Arial"/>
                <w:i/>
                <w:iCs/>
                <w:color w:val="000000"/>
              </w:rPr>
              <w:t>Akheilos suwartanai</w:t>
            </w:r>
          </w:p>
        </w:tc>
      </w:tr>
      <w:tr w:rsidR="0069597F" w:rsidRPr="00F15267" w14:paraId="39EA2201" w14:textId="77777777">
        <w:trPr>
          <w:trHeight w:val="320"/>
        </w:trPr>
        <w:tc>
          <w:tcPr>
            <w:tcW w:w="3780" w:type="dxa"/>
            <w:tcBorders>
              <w:top w:val="nil"/>
              <w:left w:val="nil"/>
              <w:bottom w:val="nil"/>
              <w:right w:val="nil"/>
            </w:tcBorders>
            <w:shd w:val="clear" w:color="auto" w:fill="auto"/>
            <w:vAlign w:val="bottom"/>
          </w:tcPr>
          <w:p w14:paraId="0F548E77" w14:textId="38033D2C" w:rsidR="0069597F" w:rsidRPr="00F15267" w:rsidRDefault="00000000">
            <w:pPr>
              <w:rPr>
                <w:rFonts w:ascii="Times" w:eastAsia="Arial" w:hAnsi="Times" w:cs="Arial"/>
                <w:i/>
                <w:iCs/>
                <w:color w:val="000000"/>
              </w:rPr>
            </w:pPr>
            <w:r w:rsidRPr="00F15267">
              <w:rPr>
                <w:rFonts w:ascii="Times" w:eastAsia="Arial" w:hAnsi="Times" w:cs="Arial"/>
                <w:i/>
                <w:iCs/>
                <w:color w:val="000000"/>
              </w:rPr>
              <w:t>Apristurus sibogae</w:t>
            </w:r>
          </w:p>
        </w:tc>
      </w:tr>
      <w:tr w:rsidR="0069597F" w:rsidRPr="00F15267" w14:paraId="0F9EAC66" w14:textId="77777777">
        <w:trPr>
          <w:trHeight w:val="320"/>
        </w:trPr>
        <w:tc>
          <w:tcPr>
            <w:tcW w:w="3780" w:type="dxa"/>
            <w:tcBorders>
              <w:top w:val="nil"/>
              <w:left w:val="nil"/>
              <w:bottom w:val="nil"/>
              <w:right w:val="nil"/>
            </w:tcBorders>
            <w:shd w:val="clear" w:color="auto" w:fill="auto"/>
            <w:vAlign w:val="bottom"/>
          </w:tcPr>
          <w:p w14:paraId="6627601A" w14:textId="181D6573" w:rsidR="0069597F" w:rsidRPr="00F15267" w:rsidRDefault="00000000">
            <w:pPr>
              <w:rPr>
                <w:rFonts w:ascii="Times" w:eastAsia="Arial" w:hAnsi="Times" w:cs="Arial"/>
                <w:i/>
                <w:iCs/>
                <w:color w:val="000000"/>
              </w:rPr>
            </w:pPr>
            <w:r w:rsidRPr="00F15267">
              <w:rPr>
                <w:rFonts w:ascii="Times" w:eastAsia="Arial" w:hAnsi="Times" w:cs="Arial"/>
                <w:i/>
                <w:iCs/>
                <w:color w:val="000000"/>
              </w:rPr>
              <w:t>Arctoraja sexoculata</w:t>
            </w:r>
          </w:p>
        </w:tc>
      </w:tr>
      <w:tr w:rsidR="0069597F" w:rsidRPr="00F15267" w14:paraId="5B91E50E" w14:textId="77777777">
        <w:trPr>
          <w:trHeight w:val="320"/>
        </w:trPr>
        <w:tc>
          <w:tcPr>
            <w:tcW w:w="3780" w:type="dxa"/>
            <w:tcBorders>
              <w:top w:val="nil"/>
              <w:left w:val="nil"/>
              <w:bottom w:val="nil"/>
              <w:right w:val="nil"/>
            </w:tcBorders>
            <w:shd w:val="clear" w:color="auto" w:fill="auto"/>
            <w:vAlign w:val="bottom"/>
          </w:tcPr>
          <w:p w14:paraId="55488E8F" w14:textId="13D9D01E" w:rsidR="0069597F" w:rsidRPr="00F15267" w:rsidRDefault="00000000">
            <w:pPr>
              <w:rPr>
                <w:rFonts w:ascii="Times" w:eastAsia="Arial" w:hAnsi="Times" w:cs="Arial"/>
                <w:i/>
                <w:iCs/>
                <w:color w:val="000000"/>
              </w:rPr>
            </w:pPr>
            <w:r w:rsidRPr="00F15267">
              <w:rPr>
                <w:rFonts w:ascii="Times" w:eastAsia="Arial" w:hAnsi="Times" w:cs="Arial"/>
                <w:i/>
                <w:iCs/>
                <w:color w:val="000000"/>
              </w:rPr>
              <w:t>Bathyraja panthera</w:t>
            </w:r>
          </w:p>
        </w:tc>
      </w:tr>
      <w:tr w:rsidR="0069597F" w:rsidRPr="00F15267" w14:paraId="207DF1DF" w14:textId="77777777">
        <w:trPr>
          <w:trHeight w:val="320"/>
        </w:trPr>
        <w:tc>
          <w:tcPr>
            <w:tcW w:w="3780" w:type="dxa"/>
            <w:tcBorders>
              <w:top w:val="nil"/>
              <w:left w:val="nil"/>
              <w:bottom w:val="nil"/>
              <w:right w:val="nil"/>
            </w:tcBorders>
            <w:shd w:val="clear" w:color="auto" w:fill="auto"/>
            <w:vAlign w:val="bottom"/>
          </w:tcPr>
          <w:p w14:paraId="070D3384" w14:textId="4E9E294D" w:rsidR="0069597F" w:rsidRPr="00F15267" w:rsidRDefault="00000000">
            <w:pPr>
              <w:rPr>
                <w:rFonts w:ascii="Times" w:eastAsia="Arial" w:hAnsi="Times" w:cs="Arial"/>
                <w:i/>
                <w:iCs/>
                <w:color w:val="000000"/>
              </w:rPr>
            </w:pPr>
            <w:r w:rsidRPr="00F15267">
              <w:rPr>
                <w:rFonts w:ascii="Times" w:eastAsia="Arial" w:hAnsi="Times" w:cs="Arial"/>
                <w:i/>
                <w:iCs/>
                <w:color w:val="000000"/>
              </w:rPr>
              <w:t>Cephaloscyllium formosanum</w:t>
            </w:r>
          </w:p>
        </w:tc>
      </w:tr>
      <w:tr w:rsidR="0069597F" w:rsidRPr="00F15267" w14:paraId="23D84168" w14:textId="77777777">
        <w:trPr>
          <w:trHeight w:val="320"/>
        </w:trPr>
        <w:tc>
          <w:tcPr>
            <w:tcW w:w="3780" w:type="dxa"/>
            <w:tcBorders>
              <w:top w:val="nil"/>
              <w:left w:val="nil"/>
              <w:bottom w:val="nil"/>
              <w:right w:val="nil"/>
            </w:tcBorders>
            <w:shd w:val="clear" w:color="auto" w:fill="auto"/>
            <w:vAlign w:val="bottom"/>
          </w:tcPr>
          <w:p w14:paraId="1AB4C437" w14:textId="0AA02515" w:rsidR="0069597F" w:rsidRPr="00F15267" w:rsidRDefault="00000000">
            <w:pPr>
              <w:rPr>
                <w:rFonts w:ascii="Times" w:eastAsia="Arial" w:hAnsi="Times" w:cs="Arial"/>
                <w:i/>
                <w:iCs/>
                <w:color w:val="000000"/>
              </w:rPr>
            </w:pPr>
            <w:r w:rsidRPr="00F15267">
              <w:rPr>
                <w:rFonts w:ascii="Times" w:eastAsia="Arial" w:hAnsi="Times" w:cs="Arial"/>
                <w:i/>
                <w:iCs/>
                <w:color w:val="000000"/>
              </w:rPr>
              <w:t>Dipturus amphispinus</w:t>
            </w:r>
          </w:p>
        </w:tc>
      </w:tr>
      <w:tr w:rsidR="0069597F" w:rsidRPr="00F15267" w14:paraId="76149FF4" w14:textId="77777777">
        <w:trPr>
          <w:trHeight w:val="320"/>
        </w:trPr>
        <w:tc>
          <w:tcPr>
            <w:tcW w:w="3780" w:type="dxa"/>
            <w:tcBorders>
              <w:top w:val="nil"/>
              <w:left w:val="nil"/>
              <w:bottom w:val="nil"/>
              <w:right w:val="nil"/>
            </w:tcBorders>
            <w:shd w:val="clear" w:color="auto" w:fill="auto"/>
            <w:vAlign w:val="bottom"/>
          </w:tcPr>
          <w:p w14:paraId="3A51FAF0" w14:textId="43C21326" w:rsidR="0069597F" w:rsidRPr="00F15267" w:rsidRDefault="00000000">
            <w:pPr>
              <w:rPr>
                <w:rFonts w:ascii="Times" w:eastAsia="Arial" w:hAnsi="Times" w:cs="Arial"/>
                <w:i/>
                <w:iCs/>
                <w:color w:val="000000"/>
              </w:rPr>
            </w:pPr>
            <w:r w:rsidRPr="00F15267">
              <w:rPr>
                <w:rFonts w:ascii="Times" w:eastAsia="Arial" w:hAnsi="Times" w:cs="Arial"/>
                <w:i/>
                <w:iCs/>
                <w:color w:val="000000"/>
              </w:rPr>
              <w:t>Dipturus kwangtungensis</w:t>
            </w:r>
          </w:p>
        </w:tc>
      </w:tr>
      <w:tr w:rsidR="0069597F" w:rsidRPr="00F15267" w14:paraId="6456C2ED" w14:textId="77777777">
        <w:trPr>
          <w:trHeight w:val="320"/>
        </w:trPr>
        <w:tc>
          <w:tcPr>
            <w:tcW w:w="3780" w:type="dxa"/>
            <w:tcBorders>
              <w:top w:val="nil"/>
              <w:left w:val="nil"/>
              <w:bottom w:val="nil"/>
              <w:right w:val="nil"/>
            </w:tcBorders>
            <w:shd w:val="clear" w:color="auto" w:fill="auto"/>
            <w:vAlign w:val="bottom"/>
          </w:tcPr>
          <w:p w14:paraId="10493A85" w14:textId="32C662BF" w:rsidR="0069597F" w:rsidRPr="00F15267" w:rsidRDefault="00000000">
            <w:pPr>
              <w:rPr>
                <w:rFonts w:ascii="Times" w:eastAsia="Arial" w:hAnsi="Times" w:cs="Arial"/>
                <w:i/>
                <w:iCs/>
                <w:color w:val="000000"/>
              </w:rPr>
            </w:pPr>
            <w:r w:rsidRPr="00F15267">
              <w:rPr>
                <w:rFonts w:ascii="Times" w:eastAsia="Arial" w:hAnsi="Times" w:cs="Arial"/>
                <w:i/>
                <w:iCs/>
                <w:color w:val="000000"/>
              </w:rPr>
              <w:t>Dipturus wuhanlingi</w:t>
            </w:r>
          </w:p>
        </w:tc>
      </w:tr>
      <w:tr w:rsidR="0069597F" w:rsidRPr="00F15267" w14:paraId="3FA9242D" w14:textId="77777777">
        <w:trPr>
          <w:trHeight w:val="320"/>
        </w:trPr>
        <w:tc>
          <w:tcPr>
            <w:tcW w:w="3780" w:type="dxa"/>
            <w:tcBorders>
              <w:top w:val="nil"/>
              <w:left w:val="nil"/>
              <w:bottom w:val="nil"/>
              <w:right w:val="nil"/>
            </w:tcBorders>
            <w:shd w:val="clear" w:color="auto" w:fill="auto"/>
            <w:vAlign w:val="bottom"/>
          </w:tcPr>
          <w:p w14:paraId="6F80EA4B" w14:textId="2B37A904" w:rsidR="0069597F" w:rsidRPr="00F15267" w:rsidRDefault="00000000">
            <w:pPr>
              <w:rPr>
                <w:rFonts w:ascii="Times" w:eastAsia="Arial" w:hAnsi="Times" w:cs="Arial"/>
                <w:i/>
                <w:iCs/>
                <w:color w:val="000000"/>
              </w:rPr>
            </w:pPr>
            <w:r w:rsidRPr="00F15267">
              <w:rPr>
                <w:rFonts w:ascii="Times" w:eastAsia="Arial" w:hAnsi="Times" w:cs="Arial"/>
                <w:i/>
                <w:iCs/>
                <w:color w:val="000000"/>
              </w:rPr>
              <w:t>Fenestraja sibogae</w:t>
            </w:r>
          </w:p>
        </w:tc>
      </w:tr>
      <w:tr w:rsidR="0069597F" w:rsidRPr="00F15267" w14:paraId="0F4094D7" w14:textId="77777777">
        <w:trPr>
          <w:trHeight w:val="320"/>
        </w:trPr>
        <w:tc>
          <w:tcPr>
            <w:tcW w:w="3780" w:type="dxa"/>
            <w:tcBorders>
              <w:top w:val="nil"/>
              <w:left w:val="nil"/>
              <w:bottom w:val="nil"/>
              <w:right w:val="nil"/>
            </w:tcBorders>
            <w:shd w:val="clear" w:color="auto" w:fill="auto"/>
            <w:vAlign w:val="bottom"/>
          </w:tcPr>
          <w:p w14:paraId="56DD9F99" w14:textId="24292A12" w:rsidR="0069597F" w:rsidRPr="00F15267" w:rsidRDefault="00000000">
            <w:pPr>
              <w:rPr>
                <w:rFonts w:ascii="Times" w:eastAsia="Arial" w:hAnsi="Times" w:cs="Arial"/>
                <w:i/>
                <w:iCs/>
                <w:color w:val="000000"/>
              </w:rPr>
            </w:pPr>
            <w:r w:rsidRPr="00F15267">
              <w:rPr>
                <w:rFonts w:ascii="Times" w:eastAsia="Arial" w:hAnsi="Times" w:cs="Arial"/>
                <w:i/>
                <w:iCs/>
                <w:color w:val="000000"/>
              </w:rPr>
              <w:t>Glaucostegus younholeei</w:t>
            </w:r>
          </w:p>
        </w:tc>
      </w:tr>
      <w:tr w:rsidR="0069597F" w:rsidRPr="00F15267" w14:paraId="38827679" w14:textId="77777777">
        <w:trPr>
          <w:trHeight w:val="320"/>
        </w:trPr>
        <w:tc>
          <w:tcPr>
            <w:tcW w:w="3780" w:type="dxa"/>
            <w:tcBorders>
              <w:top w:val="nil"/>
              <w:left w:val="nil"/>
              <w:bottom w:val="nil"/>
              <w:right w:val="nil"/>
            </w:tcBorders>
            <w:shd w:val="clear" w:color="auto" w:fill="auto"/>
            <w:vAlign w:val="bottom"/>
          </w:tcPr>
          <w:p w14:paraId="3B9AB0EE" w14:textId="5C35AFA2" w:rsidR="0069597F" w:rsidRPr="00F15267" w:rsidRDefault="00000000">
            <w:pPr>
              <w:rPr>
                <w:rFonts w:ascii="Times" w:eastAsia="Arial" w:hAnsi="Times" w:cs="Arial"/>
                <w:i/>
                <w:iCs/>
                <w:color w:val="000000"/>
              </w:rPr>
            </w:pPr>
            <w:r w:rsidRPr="00F15267">
              <w:rPr>
                <w:rFonts w:ascii="Times" w:eastAsia="Arial" w:hAnsi="Times" w:cs="Arial"/>
                <w:i/>
                <w:iCs/>
                <w:color w:val="000000"/>
              </w:rPr>
              <w:t>Gollum suluensis</w:t>
            </w:r>
          </w:p>
        </w:tc>
      </w:tr>
      <w:tr w:rsidR="0069597F" w:rsidRPr="00F15267" w14:paraId="488BB529" w14:textId="77777777">
        <w:trPr>
          <w:trHeight w:val="320"/>
        </w:trPr>
        <w:tc>
          <w:tcPr>
            <w:tcW w:w="3780" w:type="dxa"/>
            <w:tcBorders>
              <w:top w:val="nil"/>
              <w:left w:val="nil"/>
              <w:bottom w:val="nil"/>
              <w:right w:val="nil"/>
            </w:tcBorders>
            <w:shd w:val="clear" w:color="auto" w:fill="auto"/>
            <w:vAlign w:val="bottom"/>
          </w:tcPr>
          <w:p w14:paraId="0007DBE6" w14:textId="3509E15A" w:rsidR="0069597F" w:rsidRPr="00F15267" w:rsidRDefault="00000000">
            <w:pPr>
              <w:rPr>
                <w:rFonts w:ascii="Times" w:eastAsia="Arial" w:hAnsi="Times" w:cs="Arial"/>
                <w:i/>
                <w:iCs/>
                <w:color w:val="000000"/>
              </w:rPr>
            </w:pPr>
            <w:r w:rsidRPr="00F15267">
              <w:rPr>
                <w:rFonts w:ascii="Times" w:eastAsia="Arial" w:hAnsi="Times" w:cs="Arial"/>
                <w:i/>
                <w:iCs/>
                <w:color w:val="000000"/>
              </w:rPr>
              <w:t>Okamejei mengae</w:t>
            </w:r>
          </w:p>
        </w:tc>
      </w:tr>
      <w:tr w:rsidR="0069597F" w:rsidRPr="00F15267" w14:paraId="67F8AFE6" w14:textId="77777777">
        <w:trPr>
          <w:trHeight w:val="320"/>
        </w:trPr>
        <w:tc>
          <w:tcPr>
            <w:tcW w:w="3780" w:type="dxa"/>
            <w:tcBorders>
              <w:top w:val="nil"/>
              <w:left w:val="nil"/>
              <w:bottom w:val="nil"/>
              <w:right w:val="nil"/>
            </w:tcBorders>
            <w:shd w:val="clear" w:color="auto" w:fill="auto"/>
            <w:vAlign w:val="bottom"/>
          </w:tcPr>
          <w:p w14:paraId="32B1BEFD" w14:textId="1E146C4C" w:rsidR="0069597F" w:rsidRPr="00F15267" w:rsidRDefault="00000000">
            <w:pPr>
              <w:rPr>
                <w:rFonts w:ascii="Times" w:eastAsia="Arial" w:hAnsi="Times" w:cs="Arial"/>
                <w:i/>
                <w:iCs/>
                <w:color w:val="000000"/>
              </w:rPr>
            </w:pPr>
            <w:r w:rsidRPr="00F15267">
              <w:rPr>
                <w:rFonts w:ascii="Times" w:eastAsia="Arial" w:hAnsi="Times" w:cs="Arial"/>
                <w:i/>
                <w:iCs/>
                <w:color w:val="000000"/>
              </w:rPr>
              <w:t>Pastinachus stellurostris</w:t>
            </w:r>
          </w:p>
        </w:tc>
      </w:tr>
      <w:tr w:rsidR="0069597F" w:rsidRPr="00F15267" w14:paraId="4E790058" w14:textId="77777777">
        <w:trPr>
          <w:trHeight w:val="320"/>
        </w:trPr>
        <w:tc>
          <w:tcPr>
            <w:tcW w:w="3780" w:type="dxa"/>
            <w:tcBorders>
              <w:top w:val="nil"/>
              <w:left w:val="nil"/>
              <w:bottom w:val="nil"/>
              <w:right w:val="nil"/>
            </w:tcBorders>
            <w:shd w:val="clear" w:color="auto" w:fill="auto"/>
            <w:vAlign w:val="bottom"/>
          </w:tcPr>
          <w:p w14:paraId="4A80E90A" w14:textId="1EFBE028" w:rsidR="0069597F" w:rsidRPr="00F15267" w:rsidRDefault="00000000">
            <w:pPr>
              <w:rPr>
                <w:rFonts w:ascii="Times" w:eastAsia="Arial" w:hAnsi="Times" w:cs="Arial"/>
                <w:i/>
                <w:iCs/>
                <w:color w:val="000000"/>
              </w:rPr>
            </w:pPr>
            <w:r w:rsidRPr="00F15267">
              <w:rPr>
                <w:rFonts w:ascii="Times" w:eastAsia="Arial" w:hAnsi="Times" w:cs="Arial"/>
                <w:i/>
                <w:iCs/>
                <w:color w:val="000000"/>
              </w:rPr>
              <w:t>Scyliorhinus garmani</w:t>
            </w:r>
          </w:p>
        </w:tc>
      </w:tr>
      <w:tr w:rsidR="0069597F" w:rsidRPr="00F15267" w14:paraId="44DB0625" w14:textId="77777777">
        <w:trPr>
          <w:trHeight w:val="320"/>
        </w:trPr>
        <w:tc>
          <w:tcPr>
            <w:tcW w:w="3780" w:type="dxa"/>
            <w:tcBorders>
              <w:top w:val="nil"/>
              <w:left w:val="nil"/>
              <w:bottom w:val="nil"/>
              <w:right w:val="nil"/>
            </w:tcBorders>
            <w:shd w:val="clear" w:color="auto" w:fill="auto"/>
            <w:vAlign w:val="bottom"/>
          </w:tcPr>
          <w:p w14:paraId="130F1666" w14:textId="798BE59A" w:rsidR="0069597F" w:rsidRPr="00F15267" w:rsidRDefault="00000000">
            <w:pPr>
              <w:rPr>
                <w:rFonts w:ascii="Times" w:eastAsia="Arial" w:hAnsi="Times" w:cs="Arial"/>
                <w:i/>
                <w:iCs/>
                <w:color w:val="000000"/>
              </w:rPr>
            </w:pPr>
            <w:r w:rsidRPr="00F15267">
              <w:rPr>
                <w:rFonts w:ascii="Times" w:eastAsia="Arial" w:hAnsi="Times" w:cs="Arial"/>
                <w:i/>
                <w:iCs/>
                <w:color w:val="000000"/>
              </w:rPr>
              <w:t>Sinobatis stenosoma</w:t>
            </w:r>
          </w:p>
        </w:tc>
      </w:tr>
      <w:tr w:rsidR="0069597F" w:rsidRPr="00F15267" w14:paraId="68D3C6B5" w14:textId="77777777">
        <w:trPr>
          <w:trHeight w:val="320"/>
        </w:trPr>
        <w:tc>
          <w:tcPr>
            <w:tcW w:w="3780" w:type="dxa"/>
            <w:tcBorders>
              <w:top w:val="nil"/>
              <w:left w:val="nil"/>
              <w:bottom w:val="nil"/>
              <w:right w:val="nil"/>
            </w:tcBorders>
            <w:shd w:val="clear" w:color="auto" w:fill="auto"/>
            <w:vAlign w:val="bottom"/>
          </w:tcPr>
          <w:p w14:paraId="21879109" w14:textId="552ECD6C" w:rsidR="0069597F" w:rsidRPr="00F15267" w:rsidRDefault="00000000">
            <w:pPr>
              <w:rPr>
                <w:rFonts w:ascii="Times" w:eastAsia="Arial" w:hAnsi="Times" w:cs="Arial"/>
                <w:i/>
                <w:iCs/>
                <w:color w:val="000000"/>
              </w:rPr>
            </w:pPr>
            <w:r w:rsidRPr="00F15267">
              <w:rPr>
                <w:rFonts w:ascii="Times" w:eastAsia="Arial" w:hAnsi="Times" w:cs="Arial"/>
                <w:i/>
                <w:iCs/>
                <w:color w:val="000000"/>
              </w:rPr>
              <w:t>Squaliolus laticaudus</w:t>
            </w:r>
          </w:p>
        </w:tc>
      </w:tr>
      <w:tr w:rsidR="0069597F" w:rsidRPr="00F15267" w14:paraId="4A49F5EC" w14:textId="77777777">
        <w:trPr>
          <w:trHeight w:val="320"/>
        </w:trPr>
        <w:tc>
          <w:tcPr>
            <w:tcW w:w="3780" w:type="dxa"/>
            <w:tcBorders>
              <w:top w:val="nil"/>
              <w:left w:val="nil"/>
              <w:bottom w:val="nil"/>
              <w:right w:val="nil"/>
            </w:tcBorders>
            <w:shd w:val="clear" w:color="auto" w:fill="auto"/>
            <w:vAlign w:val="bottom"/>
          </w:tcPr>
          <w:p w14:paraId="1F7AEFB0" w14:textId="66E1BFA8" w:rsidR="0069597F" w:rsidRPr="00F15267" w:rsidRDefault="00000000">
            <w:pPr>
              <w:rPr>
                <w:rFonts w:ascii="Times" w:eastAsia="Arial" w:hAnsi="Times" w:cs="Arial"/>
                <w:i/>
                <w:iCs/>
                <w:color w:val="000000"/>
              </w:rPr>
            </w:pPr>
            <w:r w:rsidRPr="00F15267">
              <w:rPr>
                <w:rFonts w:ascii="Times" w:eastAsia="Arial" w:hAnsi="Times" w:cs="Arial"/>
                <w:i/>
                <w:iCs/>
                <w:color w:val="000000"/>
              </w:rPr>
              <w:t>Squatina legnota</w:t>
            </w:r>
          </w:p>
        </w:tc>
      </w:tr>
      <w:tr w:rsidR="0069597F" w:rsidRPr="00F15267" w14:paraId="5EFC5777" w14:textId="77777777">
        <w:trPr>
          <w:trHeight w:val="320"/>
        </w:trPr>
        <w:tc>
          <w:tcPr>
            <w:tcW w:w="3780" w:type="dxa"/>
            <w:tcBorders>
              <w:top w:val="nil"/>
              <w:left w:val="nil"/>
              <w:bottom w:val="nil"/>
              <w:right w:val="nil"/>
            </w:tcBorders>
            <w:shd w:val="clear" w:color="auto" w:fill="auto"/>
            <w:vAlign w:val="bottom"/>
          </w:tcPr>
          <w:p w14:paraId="126C476A" w14:textId="11217EC5" w:rsidR="0069597F" w:rsidRPr="00F15267" w:rsidRDefault="00000000">
            <w:pPr>
              <w:rPr>
                <w:rFonts w:ascii="Times" w:eastAsia="Arial" w:hAnsi="Times" w:cs="Arial"/>
                <w:i/>
                <w:iCs/>
                <w:color w:val="000000"/>
              </w:rPr>
            </w:pPr>
            <w:r w:rsidRPr="00F15267">
              <w:rPr>
                <w:rFonts w:ascii="Times" w:eastAsia="Arial" w:hAnsi="Times" w:cs="Arial"/>
                <w:i/>
                <w:iCs/>
                <w:color w:val="000000"/>
              </w:rPr>
              <w:t>Tetronarce californica</w:t>
            </w:r>
          </w:p>
        </w:tc>
      </w:tr>
      <w:tr w:rsidR="0069597F" w:rsidRPr="00F15267" w14:paraId="50AC369E" w14:textId="77777777">
        <w:trPr>
          <w:trHeight w:val="320"/>
        </w:trPr>
        <w:tc>
          <w:tcPr>
            <w:tcW w:w="3780" w:type="dxa"/>
            <w:tcBorders>
              <w:top w:val="nil"/>
              <w:left w:val="nil"/>
              <w:bottom w:val="single" w:sz="4" w:space="0" w:color="000000"/>
              <w:right w:val="nil"/>
            </w:tcBorders>
            <w:shd w:val="clear" w:color="auto" w:fill="auto"/>
            <w:vAlign w:val="bottom"/>
          </w:tcPr>
          <w:p w14:paraId="11B465A5" w14:textId="1E7C45E7" w:rsidR="0069597F" w:rsidRPr="00F15267" w:rsidRDefault="00000000">
            <w:pPr>
              <w:rPr>
                <w:rFonts w:ascii="Times" w:eastAsia="Arial" w:hAnsi="Times" w:cs="Arial"/>
                <w:i/>
                <w:iCs/>
                <w:color w:val="000000"/>
              </w:rPr>
            </w:pPr>
            <w:r w:rsidRPr="00F15267">
              <w:rPr>
                <w:rFonts w:ascii="Times" w:eastAsia="Arial" w:hAnsi="Times" w:cs="Arial"/>
                <w:i/>
                <w:iCs/>
                <w:color w:val="000000"/>
              </w:rPr>
              <w:t>Urolophus kaianus</w:t>
            </w:r>
          </w:p>
        </w:tc>
      </w:tr>
    </w:tbl>
    <w:p w14:paraId="79B836C4" w14:textId="77777777" w:rsidR="0069597F" w:rsidRPr="00F15267" w:rsidRDefault="0069597F">
      <w:pPr>
        <w:spacing w:line="259" w:lineRule="auto"/>
        <w:rPr>
          <w:rFonts w:ascii="Times" w:eastAsia="Arial" w:hAnsi="Times" w:cs="Arial"/>
          <w:sz w:val="22"/>
          <w:szCs w:val="22"/>
        </w:rPr>
      </w:pPr>
    </w:p>
    <w:p w14:paraId="2B1A0892" w14:textId="77777777" w:rsidR="0069597F" w:rsidRPr="00F15267" w:rsidRDefault="0069597F">
      <w:pPr>
        <w:spacing w:line="259" w:lineRule="auto"/>
        <w:rPr>
          <w:rFonts w:ascii="Times" w:eastAsia="Arial" w:hAnsi="Times" w:cs="Arial"/>
          <w:sz w:val="22"/>
          <w:szCs w:val="22"/>
        </w:rPr>
      </w:pPr>
    </w:p>
    <w:p w14:paraId="20C79D30" w14:textId="77777777" w:rsidR="0069597F" w:rsidRPr="00F15267" w:rsidRDefault="0069597F">
      <w:pPr>
        <w:spacing w:line="259" w:lineRule="auto"/>
        <w:rPr>
          <w:rFonts w:ascii="Times" w:eastAsia="Arial" w:hAnsi="Times" w:cs="Arial"/>
          <w:sz w:val="22"/>
          <w:szCs w:val="22"/>
        </w:rPr>
      </w:pPr>
    </w:p>
    <w:p w14:paraId="24E5ED3E" w14:textId="62148448" w:rsidR="0069597F" w:rsidRPr="00F15267" w:rsidRDefault="00000000">
      <w:pPr>
        <w:spacing w:line="259" w:lineRule="auto"/>
        <w:rPr>
          <w:rFonts w:ascii="Times" w:eastAsia="Arial" w:hAnsi="Times" w:cs="Arial"/>
          <w:sz w:val="22"/>
          <w:szCs w:val="22"/>
        </w:rPr>
      </w:pPr>
      <w:r w:rsidRPr="00F15267">
        <w:rPr>
          <w:rFonts w:ascii="Times" w:eastAsia="Arial" w:hAnsi="Times" w:cs="Arial"/>
          <w:b/>
          <w:bCs/>
        </w:rPr>
        <w:t xml:space="preserve">Table S3. </w:t>
      </w:r>
      <w:r w:rsidRPr="00F15267">
        <w:rPr>
          <w:rFonts w:ascii="Times" w:eastAsia="Arial" w:hAnsi="Times" w:cs="Arial"/>
          <w:sz w:val="22"/>
          <w:szCs w:val="22"/>
        </w:rPr>
        <w:t xml:space="preserve">Maximum and threshold values for chondrichthyan species richness within individual 0.01° grid cells across Asia, derived from species richness maps. Threshold values correspond to 30% (or 85th percentile) and 80% (or 99th percentile) of the maximum richness, used to identify areas of </w:t>
      </w:r>
      <w:r w:rsidRPr="00F15267">
        <w:rPr>
          <w:rFonts w:ascii="Times" w:eastAsia="Arial" w:hAnsi="Times" w:cs="Arial"/>
          <w:i/>
          <w:iCs/>
          <w:sz w:val="22"/>
          <w:szCs w:val="22"/>
        </w:rPr>
        <w:t>high</w:t>
      </w:r>
      <w:r w:rsidRPr="00F15267">
        <w:rPr>
          <w:rFonts w:ascii="Times" w:eastAsia="Arial" w:hAnsi="Times" w:cs="Arial"/>
          <w:sz w:val="22"/>
          <w:szCs w:val="22"/>
        </w:rPr>
        <w:t xml:space="preserve"> and </w:t>
      </w:r>
      <w:r w:rsidRPr="00F15267">
        <w:rPr>
          <w:rFonts w:ascii="Times" w:eastAsia="Arial" w:hAnsi="Times" w:cs="Arial"/>
          <w:i/>
          <w:iCs/>
          <w:sz w:val="22"/>
          <w:szCs w:val="22"/>
        </w:rPr>
        <w:t>exceptionally high</w:t>
      </w:r>
      <w:r w:rsidRPr="00F15267">
        <w:rPr>
          <w:rFonts w:ascii="Times" w:eastAsia="Arial" w:hAnsi="Times" w:cs="Arial"/>
          <w:sz w:val="22"/>
          <w:szCs w:val="22"/>
        </w:rPr>
        <w:t xml:space="preserve"> species richness.</w:t>
      </w:r>
    </w:p>
    <w:tbl>
      <w:tblPr>
        <w:tblStyle w:val="a1"/>
        <w:tblW w:w="9375" w:type="dxa"/>
        <w:jc w:val="center"/>
        <w:tblLayout w:type="fixed"/>
        <w:tblLook w:val="0400" w:firstRow="0" w:lastRow="0" w:firstColumn="0" w:lastColumn="0" w:noHBand="0" w:noVBand="1"/>
      </w:tblPr>
      <w:tblGrid>
        <w:gridCol w:w="4170"/>
        <w:gridCol w:w="1395"/>
        <w:gridCol w:w="1755"/>
        <w:gridCol w:w="2055"/>
      </w:tblGrid>
      <w:tr w:rsidR="0069597F" w:rsidRPr="00F15267" w14:paraId="7464B47A" w14:textId="77777777">
        <w:trPr>
          <w:trHeight w:val="620"/>
          <w:jc w:val="center"/>
        </w:trPr>
        <w:tc>
          <w:tcPr>
            <w:tcW w:w="4170" w:type="dxa"/>
            <w:tcBorders>
              <w:top w:val="single" w:sz="4" w:space="0" w:color="000000"/>
              <w:bottom w:val="single" w:sz="4" w:space="0" w:color="000000"/>
            </w:tcBorders>
            <w:vAlign w:val="center"/>
          </w:tcPr>
          <w:p w14:paraId="23CB1CD8" w14:textId="77777777" w:rsidR="0069597F" w:rsidRPr="00F15267" w:rsidRDefault="00000000">
            <w:pPr>
              <w:jc w:val="center"/>
              <w:rPr>
                <w:rFonts w:ascii="Times" w:eastAsia="Arial" w:hAnsi="Times" w:cs="Arial"/>
                <w:b/>
                <w:bCs/>
              </w:rPr>
            </w:pPr>
            <w:r w:rsidRPr="00F15267">
              <w:rPr>
                <w:rFonts w:ascii="Times" w:eastAsia="Arial" w:hAnsi="Times" w:cs="Arial"/>
                <w:b/>
                <w:bCs/>
              </w:rPr>
              <w:t>Diversity Dimensions</w:t>
            </w:r>
          </w:p>
        </w:tc>
        <w:tc>
          <w:tcPr>
            <w:tcW w:w="1395" w:type="dxa"/>
            <w:tcBorders>
              <w:top w:val="single" w:sz="4" w:space="0" w:color="000000"/>
              <w:bottom w:val="single" w:sz="4" w:space="0" w:color="000000"/>
            </w:tcBorders>
            <w:vAlign w:val="center"/>
          </w:tcPr>
          <w:p w14:paraId="421E6296" w14:textId="77777777" w:rsidR="0069597F" w:rsidRPr="00F15267" w:rsidRDefault="00000000">
            <w:pPr>
              <w:jc w:val="center"/>
              <w:rPr>
                <w:rFonts w:ascii="Times" w:eastAsia="Arial" w:hAnsi="Times" w:cs="Arial"/>
                <w:b/>
                <w:bCs/>
              </w:rPr>
            </w:pPr>
            <w:r w:rsidRPr="00F15267">
              <w:rPr>
                <w:rFonts w:ascii="Times" w:eastAsia="Arial" w:hAnsi="Times" w:cs="Arial"/>
                <w:b/>
                <w:bCs/>
              </w:rPr>
              <w:t>Maximum richness</w:t>
            </w:r>
          </w:p>
        </w:tc>
        <w:tc>
          <w:tcPr>
            <w:tcW w:w="1755" w:type="dxa"/>
            <w:tcBorders>
              <w:top w:val="single" w:sz="4" w:space="0" w:color="000000"/>
              <w:bottom w:val="single" w:sz="4" w:space="0" w:color="000000"/>
            </w:tcBorders>
            <w:vAlign w:val="center"/>
          </w:tcPr>
          <w:p w14:paraId="22B8DF59" w14:textId="77777777" w:rsidR="0069597F" w:rsidRPr="00F15267" w:rsidRDefault="00000000">
            <w:pPr>
              <w:jc w:val="center"/>
              <w:rPr>
                <w:rFonts w:ascii="Times" w:eastAsia="Arial" w:hAnsi="Times" w:cs="Arial"/>
                <w:b/>
                <w:bCs/>
              </w:rPr>
            </w:pPr>
            <w:r w:rsidRPr="00F15267">
              <w:rPr>
                <w:rFonts w:ascii="Times" w:eastAsia="Arial" w:hAnsi="Times" w:cs="Arial"/>
                <w:b/>
                <w:bCs/>
              </w:rPr>
              <w:t xml:space="preserve">High richness threshold (30%) </w:t>
            </w:r>
          </w:p>
        </w:tc>
        <w:tc>
          <w:tcPr>
            <w:tcW w:w="2055" w:type="dxa"/>
            <w:tcBorders>
              <w:top w:val="single" w:sz="4" w:space="0" w:color="000000"/>
              <w:bottom w:val="single" w:sz="4" w:space="0" w:color="000000"/>
            </w:tcBorders>
            <w:vAlign w:val="center"/>
          </w:tcPr>
          <w:p w14:paraId="295D1E6B" w14:textId="77777777" w:rsidR="0069597F" w:rsidRPr="00F15267" w:rsidRDefault="00000000">
            <w:pPr>
              <w:jc w:val="center"/>
              <w:rPr>
                <w:rFonts w:ascii="Times" w:eastAsia="Arial" w:hAnsi="Times" w:cs="Arial"/>
                <w:b/>
                <w:bCs/>
              </w:rPr>
            </w:pPr>
            <w:r w:rsidRPr="00F15267">
              <w:rPr>
                <w:rFonts w:ascii="Times" w:eastAsia="Arial" w:hAnsi="Times" w:cs="Arial"/>
                <w:b/>
                <w:bCs/>
              </w:rPr>
              <w:t>Exceptionally high richness threshold  (80%)</w:t>
            </w:r>
          </w:p>
        </w:tc>
      </w:tr>
      <w:tr w:rsidR="0069597F" w:rsidRPr="00F15267" w14:paraId="6B69D850" w14:textId="77777777">
        <w:trPr>
          <w:trHeight w:val="310"/>
          <w:jc w:val="center"/>
        </w:trPr>
        <w:tc>
          <w:tcPr>
            <w:tcW w:w="4170" w:type="dxa"/>
            <w:tcBorders>
              <w:top w:val="single" w:sz="4" w:space="0" w:color="000000"/>
            </w:tcBorders>
            <w:vAlign w:val="center"/>
          </w:tcPr>
          <w:p w14:paraId="566CA2B5" w14:textId="77777777" w:rsidR="0069597F" w:rsidRPr="00F15267" w:rsidRDefault="0069597F">
            <w:pPr>
              <w:ind w:firstLine="240"/>
              <w:rPr>
                <w:rFonts w:ascii="Times" w:eastAsia="Arial" w:hAnsi="Times" w:cs="Arial"/>
              </w:rPr>
            </w:pPr>
          </w:p>
          <w:p w14:paraId="20AAD34C" w14:textId="77777777" w:rsidR="0069597F" w:rsidRPr="00F15267" w:rsidRDefault="00000000">
            <w:pPr>
              <w:ind w:firstLine="240"/>
              <w:rPr>
                <w:rFonts w:ascii="Times" w:eastAsia="Arial" w:hAnsi="Times" w:cs="Arial"/>
              </w:rPr>
            </w:pPr>
            <w:r w:rsidRPr="00F15267">
              <w:rPr>
                <w:rFonts w:ascii="Times" w:eastAsia="Arial" w:hAnsi="Times" w:cs="Arial"/>
              </w:rPr>
              <w:t>Chondrichthyan species richness</w:t>
            </w:r>
          </w:p>
        </w:tc>
        <w:tc>
          <w:tcPr>
            <w:tcW w:w="1395" w:type="dxa"/>
            <w:tcBorders>
              <w:top w:val="single" w:sz="4" w:space="0" w:color="000000"/>
            </w:tcBorders>
            <w:vAlign w:val="center"/>
          </w:tcPr>
          <w:p w14:paraId="5478C068" w14:textId="77777777" w:rsidR="0069597F" w:rsidRPr="00F15267" w:rsidRDefault="00000000">
            <w:pPr>
              <w:jc w:val="center"/>
              <w:rPr>
                <w:rFonts w:ascii="Times" w:eastAsia="Arial" w:hAnsi="Times" w:cs="Arial"/>
              </w:rPr>
            </w:pPr>
            <w:r w:rsidRPr="00F15267">
              <w:rPr>
                <w:rFonts w:ascii="Times" w:eastAsia="Arial" w:hAnsi="Times" w:cs="Arial"/>
              </w:rPr>
              <w:t>103</w:t>
            </w:r>
          </w:p>
        </w:tc>
        <w:tc>
          <w:tcPr>
            <w:tcW w:w="1755" w:type="dxa"/>
            <w:tcBorders>
              <w:top w:val="single" w:sz="4" w:space="0" w:color="000000"/>
            </w:tcBorders>
            <w:vAlign w:val="center"/>
          </w:tcPr>
          <w:p w14:paraId="377A3FA8" w14:textId="77777777" w:rsidR="0069597F" w:rsidRPr="00F15267" w:rsidRDefault="00000000">
            <w:pPr>
              <w:jc w:val="center"/>
              <w:rPr>
                <w:rFonts w:ascii="Times" w:eastAsia="Arial" w:hAnsi="Times" w:cs="Arial"/>
              </w:rPr>
            </w:pPr>
            <w:r w:rsidRPr="00F15267">
              <w:rPr>
                <w:rFonts w:ascii="Times" w:eastAsia="Arial" w:hAnsi="Times" w:cs="Arial"/>
              </w:rPr>
              <w:t>31</w:t>
            </w:r>
          </w:p>
        </w:tc>
        <w:tc>
          <w:tcPr>
            <w:tcW w:w="2055" w:type="dxa"/>
            <w:tcBorders>
              <w:top w:val="single" w:sz="4" w:space="0" w:color="000000"/>
            </w:tcBorders>
            <w:vAlign w:val="center"/>
          </w:tcPr>
          <w:p w14:paraId="67E8DCC1" w14:textId="77777777" w:rsidR="0069597F" w:rsidRPr="00F15267" w:rsidRDefault="00000000">
            <w:pPr>
              <w:jc w:val="center"/>
              <w:rPr>
                <w:rFonts w:ascii="Times" w:eastAsia="Arial" w:hAnsi="Times" w:cs="Arial"/>
              </w:rPr>
            </w:pPr>
            <w:r w:rsidRPr="00F15267">
              <w:rPr>
                <w:rFonts w:ascii="Times" w:eastAsia="Arial" w:hAnsi="Times" w:cs="Arial"/>
              </w:rPr>
              <w:t>82</w:t>
            </w:r>
          </w:p>
        </w:tc>
      </w:tr>
      <w:tr w:rsidR="0069597F" w:rsidRPr="00F15267" w14:paraId="2142B3FF" w14:textId="77777777">
        <w:trPr>
          <w:trHeight w:val="310"/>
          <w:jc w:val="center"/>
        </w:trPr>
        <w:tc>
          <w:tcPr>
            <w:tcW w:w="4170" w:type="dxa"/>
            <w:vAlign w:val="center"/>
          </w:tcPr>
          <w:p w14:paraId="569C6D19" w14:textId="77777777" w:rsidR="0069597F" w:rsidRPr="00F15267" w:rsidRDefault="00000000">
            <w:pPr>
              <w:ind w:firstLine="240"/>
              <w:rPr>
                <w:rFonts w:ascii="Times" w:eastAsia="Arial" w:hAnsi="Times" w:cs="Arial"/>
              </w:rPr>
            </w:pPr>
            <w:r w:rsidRPr="00F15267">
              <w:rPr>
                <w:rFonts w:ascii="Times" w:eastAsia="Arial" w:hAnsi="Times" w:cs="Arial"/>
              </w:rPr>
              <w:t>Range-restricted species richness</w:t>
            </w:r>
          </w:p>
        </w:tc>
        <w:tc>
          <w:tcPr>
            <w:tcW w:w="1395" w:type="dxa"/>
            <w:vAlign w:val="center"/>
          </w:tcPr>
          <w:p w14:paraId="4A123179" w14:textId="77777777" w:rsidR="0069597F" w:rsidRPr="00F15267" w:rsidRDefault="00000000">
            <w:pPr>
              <w:jc w:val="center"/>
              <w:rPr>
                <w:rFonts w:ascii="Times" w:eastAsia="Arial" w:hAnsi="Times" w:cs="Arial"/>
              </w:rPr>
            </w:pPr>
            <w:r w:rsidRPr="00F15267">
              <w:rPr>
                <w:rFonts w:ascii="Times" w:eastAsia="Arial" w:hAnsi="Times" w:cs="Arial"/>
              </w:rPr>
              <w:t>12</w:t>
            </w:r>
          </w:p>
        </w:tc>
        <w:tc>
          <w:tcPr>
            <w:tcW w:w="1755" w:type="dxa"/>
            <w:vAlign w:val="center"/>
          </w:tcPr>
          <w:p w14:paraId="3700BD2F" w14:textId="77777777" w:rsidR="0069597F" w:rsidRPr="00F15267" w:rsidRDefault="00000000">
            <w:pPr>
              <w:jc w:val="center"/>
              <w:rPr>
                <w:rFonts w:ascii="Times" w:eastAsia="Arial" w:hAnsi="Times" w:cs="Arial"/>
              </w:rPr>
            </w:pPr>
            <w:r w:rsidRPr="00F15267">
              <w:rPr>
                <w:rFonts w:ascii="Times" w:eastAsia="Arial" w:hAnsi="Times" w:cs="Arial"/>
              </w:rPr>
              <w:t>4</w:t>
            </w:r>
          </w:p>
        </w:tc>
        <w:tc>
          <w:tcPr>
            <w:tcW w:w="2055" w:type="dxa"/>
            <w:vAlign w:val="center"/>
          </w:tcPr>
          <w:p w14:paraId="32667FD4" w14:textId="77777777" w:rsidR="0069597F" w:rsidRPr="00F15267" w:rsidRDefault="00000000">
            <w:pPr>
              <w:jc w:val="center"/>
              <w:rPr>
                <w:rFonts w:ascii="Times" w:eastAsia="Arial" w:hAnsi="Times" w:cs="Arial"/>
              </w:rPr>
            </w:pPr>
            <w:r w:rsidRPr="00F15267">
              <w:rPr>
                <w:rFonts w:ascii="Times" w:eastAsia="Arial" w:hAnsi="Times" w:cs="Arial"/>
              </w:rPr>
              <w:t>10</w:t>
            </w:r>
          </w:p>
        </w:tc>
      </w:tr>
      <w:tr w:rsidR="0069597F" w:rsidRPr="00F15267" w14:paraId="3A7CC6EE" w14:textId="77777777">
        <w:trPr>
          <w:trHeight w:val="310"/>
          <w:jc w:val="center"/>
        </w:trPr>
        <w:tc>
          <w:tcPr>
            <w:tcW w:w="4170" w:type="dxa"/>
            <w:tcBorders>
              <w:bottom w:val="single" w:sz="4" w:space="0" w:color="000000"/>
            </w:tcBorders>
            <w:vAlign w:val="center"/>
          </w:tcPr>
          <w:p w14:paraId="16FFF829" w14:textId="77777777" w:rsidR="0069597F" w:rsidRPr="00F15267" w:rsidRDefault="0069597F">
            <w:pPr>
              <w:ind w:firstLine="240"/>
              <w:rPr>
                <w:rFonts w:ascii="Times" w:eastAsia="Arial" w:hAnsi="Times" w:cs="Arial"/>
              </w:rPr>
            </w:pPr>
          </w:p>
        </w:tc>
        <w:tc>
          <w:tcPr>
            <w:tcW w:w="1395" w:type="dxa"/>
            <w:tcBorders>
              <w:bottom w:val="single" w:sz="4" w:space="0" w:color="000000"/>
            </w:tcBorders>
            <w:vAlign w:val="center"/>
          </w:tcPr>
          <w:p w14:paraId="74DFEB0C" w14:textId="77777777" w:rsidR="0069597F" w:rsidRPr="00F15267" w:rsidRDefault="0069597F">
            <w:pPr>
              <w:ind w:firstLine="240"/>
              <w:rPr>
                <w:rFonts w:ascii="Times" w:eastAsia="Arial" w:hAnsi="Times" w:cs="Arial"/>
              </w:rPr>
            </w:pPr>
          </w:p>
        </w:tc>
        <w:tc>
          <w:tcPr>
            <w:tcW w:w="1755" w:type="dxa"/>
            <w:tcBorders>
              <w:bottom w:val="single" w:sz="4" w:space="0" w:color="000000"/>
            </w:tcBorders>
            <w:vAlign w:val="center"/>
          </w:tcPr>
          <w:p w14:paraId="4D49275D" w14:textId="77777777" w:rsidR="0069597F" w:rsidRPr="00F15267" w:rsidRDefault="0069597F">
            <w:pPr>
              <w:jc w:val="center"/>
              <w:rPr>
                <w:rFonts w:ascii="Times" w:eastAsia="Arial" w:hAnsi="Times" w:cs="Arial"/>
              </w:rPr>
            </w:pPr>
          </w:p>
        </w:tc>
        <w:tc>
          <w:tcPr>
            <w:tcW w:w="2055" w:type="dxa"/>
            <w:tcBorders>
              <w:bottom w:val="single" w:sz="4" w:space="0" w:color="000000"/>
            </w:tcBorders>
            <w:vAlign w:val="center"/>
          </w:tcPr>
          <w:p w14:paraId="0A780C4E" w14:textId="77777777" w:rsidR="0069597F" w:rsidRPr="00F15267" w:rsidRDefault="0069597F">
            <w:pPr>
              <w:jc w:val="center"/>
              <w:rPr>
                <w:rFonts w:ascii="Times" w:eastAsia="Arial" w:hAnsi="Times" w:cs="Arial"/>
              </w:rPr>
            </w:pPr>
          </w:p>
        </w:tc>
      </w:tr>
    </w:tbl>
    <w:p w14:paraId="5FE873F2" w14:textId="77777777" w:rsidR="0069597F" w:rsidRPr="00F15267" w:rsidRDefault="0069597F">
      <w:pPr>
        <w:spacing w:line="300" w:lineRule="auto"/>
        <w:rPr>
          <w:rFonts w:ascii="Times" w:eastAsia="Arial" w:hAnsi="Times" w:cs="Arial"/>
          <w:b/>
          <w:bCs/>
        </w:rPr>
      </w:pPr>
    </w:p>
    <w:p w14:paraId="73B502CC" w14:textId="77777777" w:rsidR="0069597F" w:rsidRPr="00F15267" w:rsidRDefault="0069597F">
      <w:pPr>
        <w:spacing w:line="300" w:lineRule="auto"/>
        <w:rPr>
          <w:rFonts w:ascii="Times" w:eastAsia="Arial" w:hAnsi="Times" w:cs="Arial"/>
          <w:b/>
          <w:bCs/>
        </w:rPr>
      </w:pPr>
    </w:p>
    <w:p w14:paraId="273200D6" w14:textId="4FD425BD" w:rsidR="0069597F" w:rsidRPr="00F15267" w:rsidRDefault="00000000" w:rsidP="00F15267">
      <w:pPr>
        <w:spacing w:line="300" w:lineRule="auto"/>
        <w:rPr>
          <w:rFonts w:ascii="Times" w:eastAsia="Arial" w:hAnsi="Times" w:cs="Arial"/>
          <w:color w:val="1F1F1F"/>
        </w:rPr>
      </w:pPr>
      <w:r w:rsidRPr="00F15267">
        <w:rPr>
          <w:rFonts w:ascii="Times" w:eastAsia="Arial" w:hAnsi="Times" w:cs="Arial"/>
          <w:b/>
          <w:bCs/>
        </w:rPr>
        <w:t xml:space="preserve">Table S4. </w:t>
      </w:r>
      <w:r w:rsidRPr="00F15267">
        <w:rPr>
          <w:rFonts w:ascii="Times" w:eastAsia="Arial" w:hAnsi="Times" w:cs="Arial"/>
          <w:color w:val="1F1F1F"/>
        </w:rPr>
        <w:t>Marine protected areas and their category (no-take or partial) in the Asia region by jurisdiction.</w:t>
      </w:r>
    </w:p>
    <w:p w14:paraId="6A3E11AC" w14:textId="77777777" w:rsidR="0069597F" w:rsidRPr="00F15267" w:rsidRDefault="0069597F">
      <w:pPr>
        <w:rPr>
          <w:rFonts w:ascii="Times" w:hAnsi="Times"/>
        </w:rPr>
      </w:pPr>
    </w:p>
    <w:sectPr w:rsidR="0069597F" w:rsidRPr="00F15267">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E85ED66-C4BA-304B-A6C0-471EBDEB6B4D}"/>
    <w:embedBold r:id="rId2" w:fontKey="{F3BC85E0-DA52-6D46-B351-DFCD36882312}"/>
    <w:embedItalic r:id="rId3" w:fontKey="{F981C093-11C5-BE41-9676-6282D7B04C36}"/>
  </w:font>
  <w:font w:name="Play">
    <w:panose1 w:val="020B0604020202020204"/>
    <w:charset w:val="00"/>
    <w:family w:val="auto"/>
    <w:pitch w:val="default"/>
    <w:embedRegular r:id="rId4" w:fontKey="{7A3112A1-2CBD-3B4F-99AC-2C878F739AFF}"/>
  </w:font>
  <w:font w:name="Aptos Display">
    <w:panose1 w:val="020B0004020202020204"/>
    <w:charset w:val="00"/>
    <w:family w:val="swiss"/>
    <w:pitch w:val="variable"/>
    <w:sig w:usb0="20000287" w:usb1="00000003" w:usb2="00000000" w:usb3="00000000" w:csb0="0000019F" w:csb1="00000000"/>
    <w:embedRegular r:id="rId5" w:fontKey="{9C3DBC9B-5357-0D4A-84A4-BB5DD5465417}"/>
  </w:font>
  <w:font w:name="Aptos">
    <w:panose1 w:val="020B0004020202020204"/>
    <w:charset w:val="00"/>
    <w:family w:val="swiss"/>
    <w:pitch w:val="variable"/>
    <w:sig w:usb0="20000287" w:usb1="00000003" w:usb2="00000000" w:usb3="00000000" w:csb0="0000019F" w:csb1="00000000"/>
    <w:embedRegular r:id="rId6" w:fontKey="{5F74BEF8-34AB-2A4B-B3EE-D366FA78BD23}"/>
    <w:embedBold r:id="rId7" w:fontKey="{0AAEAB4F-48C2-4D46-9BC6-D85404AA7524}"/>
    <w:embedItalic r:id="rId8" w:fontKey="{6379DAB0-B5DA-DE4E-A57E-06C95EDFCF5E}"/>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embedRegular r:id="rId12" w:fontKey="{CA06C5BA-F61C-DB43-A240-AB0F8461F24B}"/>
    <w:embedBold r:id="rId13" w:fontKey="{856708E6-6419-0A41-AB27-AEFD9B65D789}"/>
    <w:embedItalic r:id="rId14" w:fontKey="{8DACE05F-0148-B544-B825-2D638AB43DED}"/>
  </w:font>
  <w:font w:name="Arial Unicode MS">
    <w:panose1 w:val="020B0604020202020204"/>
    <w:charset w:val="80"/>
    <w:family w:val="swiss"/>
    <w:pitch w:val="variable"/>
    <w:sig w:usb0="F7FFAFFF" w:usb1="E9DFFFFF" w:usb2="0000003F" w:usb3="00000000" w:csb0="003F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97F"/>
    <w:rsid w:val="004E23CF"/>
    <w:rsid w:val="0069597F"/>
    <w:rsid w:val="00B20C0E"/>
    <w:rsid w:val="00C719EA"/>
    <w:rsid w:val="00F15267"/>
  </w:rsids>
  <m:mathPr>
    <m:mathFont m:val="Cambria Math"/>
    <m:brkBin m:val="before"/>
    <m:brkBinSub m:val="--"/>
    <m:smallFrac m:val="0"/>
    <m:dispDef/>
    <m:lMargin m:val="0"/>
    <m:rMargin m:val="0"/>
    <m:defJc m:val="centerGroup"/>
    <m:wrapIndent m:val="1440"/>
    <m:intLim m:val="subSup"/>
    <m:naryLim m:val="undOvr"/>
  </m:mathPr>
  <w:themeFontLang w:val="en-PE"/>
  <w:clrSchemeMapping w:bg1="light1" w:t1="dark1" w:bg2="light2" w:t2="dark2" w:accent1="accent1" w:accent2="accent2" w:accent3="accent3" w:accent4="accent4" w:accent5="accent5" w:accent6="accent6" w:hyperlink="hyperlink" w:followedHyperlink="followedHyperlink"/>
  <w:decimalSymbol w:val="."/>
  <w:listSeparator w:val=","/>
  <w14:docId w14:val="6FF32DB5"/>
  <w15:docId w15:val="{186E7D2F-F1C1-494A-8294-AB04AE46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C022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2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2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C02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28B"/>
    <w:rPr>
      <w:rFonts w:eastAsiaTheme="majorEastAsia" w:cstheme="majorBidi"/>
      <w:color w:val="272727" w:themeColor="text1" w:themeTint="D8"/>
    </w:rPr>
  </w:style>
  <w:style w:type="character" w:customStyle="1" w:styleId="TitleChar">
    <w:name w:val="Title Char"/>
    <w:basedOn w:val="DefaultParagraphFont"/>
    <w:link w:val="Title"/>
    <w:uiPriority w:val="10"/>
    <w:rsid w:val="00C0228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02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28B"/>
    <w:pPr>
      <w:spacing w:before="160" w:after="160" w:line="278" w:lineRule="auto"/>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C0228B"/>
    <w:rPr>
      <w:i/>
      <w:iCs/>
      <w:color w:val="404040" w:themeColor="text1" w:themeTint="BF"/>
    </w:rPr>
  </w:style>
  <w:style w:type="paragraph" w:styleId="ListParagraph">
    <w:name w:val="List Paragraph"/>
    <w:basedOn w:val="Normal"/>
    <w:uiPriority w:val="34"/>
    <w:qFormat/>
    <w:rsid w:val="00C0228B"/>
    <w:pPr>
      <w:spacing w:after="160" w:line="278" w:lineRule="auto"/>
      <w:ind w:left="720"/>
      <w:contextualSpacing/>
    </w:pPr>
    <w:rPr>
      <w:rFonts w:ascii="Aptos" w:eastAsia="Aptos" w:hAnsi="Aptos" w:cs="Aptos"/>
    </w:rPr>
  </w:style>
  <w:style w:type="character" w:styleId="IntenseEmphasis">
    <w:name w:val="Intense Emphasis"/>
    <w:basedOn w:val="DefaultParagraphFont"/>
    <w:uiPriority w:val="21"/>
    <w:qFormat/>
    <w:rsid w:val="00C0228B"/>
    <w:rPr>
      <w:i/>
      <w:iCs/>
      <w:color w:val="0F4761" w:themeColor="accent1" w:themeShade="BF"/>
    </w:rPr>
  </w:style>
  <w:style w:type="paragraph" w:styleId="IntenseQuote">
    <w:name w:val="Intense Quote"/>
    <w:basedOn w:val="Normal"/>
    <w:next w:val="Normal"/>
    <w:link w:val="IntenseQuoteChar"/>
    <w:uiPriority w:val="30"/>
    <w:qFormat/>
    <w:rsid w:val="00C022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ptos" w:eastAsia="Aptos" w:hAnsi="Aptos" w:cs="Aptos"/>
      <w:i/>
      <w:iCs/>
      <w:color w:val="0F4761" w:themeColor="accent1" w:themeShade="BF"/>
    </w:rPr>
  </w:style>
  <w:style w:type="character" w:customStyle="1" w:styleId="IntenseQuoteChar">
    <w:name w:val="Intense Quote Char"/>
    <w:basedOn w:val="DefaultParagraphFont"/>
    <w:link w:val="IntenseQuote"/>
    <w:uiPriority w:val="30"/>
    <w:rsid w:val="00C0228B"/>
    <w:rPr>
      <w:i/>
      <w:iCs/>
      <w:color w:val="0F4761" w:themeColor="accent1" w:themeShade="BF"/>
    </w:rPr>
  </w:style>
  <w:style w:type="character" w:styleId="IntenseReference">
    <w:name w:val="Intense Reference"/>
    <w:basedOn w:val="DefaultParagraphFont"/>
    <w:uiPriority w:val="32"/>
    <w:qFormat/>
    <w:rsid w:val="00C0228B"/>
    <w:rPr>
      <w:b/>
      <w:bCs/>
      <w:smallCaps/>
      <w:color w:val="0F4761" w:themeColor="accent1" w:themeShade="BF"/>
      <w:spacing w:val="5"/>
    </w:rPr>
  </w:style>
  <w:style w:type="paragraph" w:styleId="CommentText">
    <w:name w:val="annotation text"/>
    <w:basedOn w:val="Normal"/>
    <w:link w:val="CommentTextChar"/>
    <w:uiPriority w:val="99"/>
    <w:semiHidden/>
    <w:unhideWhenUsed/>
    <w:pPr>
      <w:spacing w:after="160"/>
    </w:pPr>
    <w:rPr>
      <w:rFonts w:ascii="Aptos" w:eastAsia="Aptos" w:hAnsi="Aptos" w:cs="Aptos"/>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532D8F"/>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rx96q2Duf2K7p33GrExvWpiYw==">CgMxLjAaJAoBMBIfCh0IB0IZCgVBcmlhbBIQQXJpYWwgVW5pY29kZSBNUxoaCgExEhUKEwgEKg8KC0FBQUIxNkVLSmdNEAEaGgoBMhIVChMIBCoPCgtBQUFCMTZFS0pmOBACGhoKATMSFQoTCAQqDwoLQUFBQjE2RUtKZ0UQAhoaCgE0EhUKEwgEKg8KC0FBQUIxNkVLSmdFEAEaGgoBNRIVChMIBCoPCgtBQUFCMTZFS0pnQRABGhoKATYSFQoTCAQqDwoLQUFBQjE2RUtKZ0kQARoaCgE3EhUKEwgEKg8KC0FBQUIxNkVLSmdJEAEaGgoBOBIVChMIBCoPCgtBQUFCMTZFS0pnZxABGhoKATkSFQoTCAQqDwoLQUFBQjE2RUtKZ2MQBBobCgIxMBIVChMIBCoPCgtBQUFCMTZFS0pnYxAEGhsKAjExEhUKEwgEKg8KC0FBQUIxNkVLSmdjEAQaGwoCMTISFQoTCAQqDwoLQUFBQjE2RUtKZ2MQBBobCgIxMxIVChMIBCoPCgtBQUFCMTZFS0pnYxAEGhsKAjE0EhUKEwgEKg8KC0FBQUIxNkVLSmdjEAQaGwoCMTUSFQoTCAQqDwoLQUFBQjE2RUtKZ2MQBBobCgIxNhIVChMIBCoPCgtBQUFCMTZFS0pnYxAEGhsKAjE3EhUKEwgEKg8KC0FBQUIxNkVLSmdjEAQaGwoCMTgSFQoTCAQqDwoLQUFBQjE2RUtKZ2MQBBobCgIxORIVChMIBCoPCgtBQUFCMTZFS0pnYxAEGhsKAjIwEhUKEwgEKg8KC0FBQUIxNkVLSmdjEAQaGwoCMjESFQoTCAQqDwoLQUFBQjE2RUtKZ2MQBBobCgIyMhIVChMIBCoPCgtBQUFCMTZFS0pnYxAEGhsKAjIzEhUKEwgEKg8KC0FBQUIxNkVLSmdjEAQaGwoCMjQSFQoTCAQqDwoLQUFBQjE2RUtKZ2MQBBobCgIyNRIVChMIBCoPCgtBQUFCMTZFS0pnYxAEGhsKAjI2EhUKEwgEKg8KC0FBQUIxNkVLSmdjEAQaGwoCMjcSFQoTCAQqDwoLQUFBQjE2RUtKZ2MQBBobCgIyOBIVChMIBCoPCgtBQUFCMTZFS0pnYxAEGhsKAjI5EhUKEwgEKg8KC0FBQUIxNkVLSmdjEAQaGwoCMzASFQoTCAQqDwoLQUFBQjE2RUtKZ2MQBBobCgIzMRIVChMIBCoPCgtBQUFCMTZFS0pnYxAEGhsKAjMyEhUKEwgEKg8KC0FBQUIxNkVLSmdjEAQaGwoCMzMSFQoTCAQqDwoLQUFBQjE2RUtKZ2MQBBobCgIzNBIVChMIBCoPCgtBQUFCMTZFS0pnYxAEGhsKAjM1EhUKEwgEKg8KC0FBQUIxNkVLSmdjEAQaGwoCMzYSFQoTCAQqDwoLQUFBQjE2RUtKZ2MQBBobCgIzNxIVChMIBCoPCgtBQUFCMTZFS0pnYxAEGhsKAjM4EhUKEwgEKg8KC0FBQUIxNkVLSmdjEAQaGwoCMzkSFQoTCAQqDwoLQUFBQjE2RUtKZ2MQBBobCgI0MBIVChMIBCoPCgtBQUFCMTZFS0pnYxAEGhsKAjQxEhUKEwgEKg8KC0FBQUIxNkVLSmdjEAQaGwoCNDISFQoTCAQqDwoLQUFBQjE2RUtKZ2MQBBobCgI0MxIVChMIBCoPCgtBQUFCMTZFS0pnYxAEGhsKAjQ0EhUKEwgEKg8KC0FBQUIxNkVLSmdjEAQaGwoCNDUSFQoTCAQqDwoLQUFBQjE2RUtKZ2MQBBobCgI0NhIVChMIBCoPCgtBQUFCMTZFS0pnYxAEGhsKAjQ3EhUKEwgEKg8KC0FBQUIxM2UyM0prEAEaGwoCNDgSFQoTCAQqDwoLQUFBQjEzZTIzSm8QARowCgI0ORIqChMIBCoPCgtBQUFCMTNlMjNKbxAEChMIBCoPCgtBQUFCMTNlMjNKbxABIqcCCgtBQUFCMTNlMjNKaxLxAQoLQUFBQjEzZTIzSmsSC0FBQUIxM2UyM0prGg0KCXRleHQvaHRtbBIAIg4KCnRleHQvcGxhaW4SACobIhUxMTY0NDc0NDc5MjI5ODkzNDI4MTkoADgAMMDsqtfQMzjA7KrX0DNKTgokYXBwbGljYXRpb24vdm5kLmdvb2dsZS1hcHBzLmRvY3MubWRzGibC19rkASAaHgoaChQob3IgODV0aCBwZXJjZW50aWxlKRABGAAQAVoMYWc2ZmZub2R5NmpjcgIgAHgAggEUc3VnZ2VzdC5wN2dwbThkNnFiODSaAQYIABAAGACwAQC4AQDIAQAYwOyq19AzIMDsqtfQMzAAQhRzdWdnZXN0LnA3Z3BtOGQ2cWI4NCK2BAoLQUFBQjE2RUtKZ0kS3wMKC0FBQUIxNkVLSmdJEgtBQUFCMTZFS0pnSRoNCgl0ZXh0L2h0bWwSACIOCgp0ZXh0L3BsYWluEgAqUQoYQWRyaWFuYSBHb256YWxleiBQZXN0YW5hGjUvL3NzbC5nc3RhdGljLmNvbS9kb2NzL2NvbW1vbi9ibHVlX3NpbGhvdWV0dGU5Ni0wLnBuZzCAwsDGzjM4/ZPZ19AzSp4BCiRhcHBsaWNhdGlvbi92bmQuZ29vZ2xlLWFwcHMuZG9jcy5tZHMadsLX2uQBcBpuCmoKZFBlcmNlbnRhZ2UgcmVwcmVzZW50cyB0aGUgcHJvcG9ydGlvbiBvZiBlYWNoIElTUkEgZnJvbSB0aGUgdG90YWwgYXJlYSBjb3ZlcmVkIGJ5IGFsbCBJU1JBcyAoMSwwNzksNTMQARgBEAFyUwoYQWRyaWFuYSBHb256YWxleiBQZXN0YW5hGjcKNS8vc3NsLmdzdGF0aWMuY29tL2RvY3MvY29tbW9uL2JsdWVfc2lsaG91ZXR0ZTk2LTAucG5neACCATVzdWdnZXN0SWRJbXBvcnQ5YzMyNzFkMi00OWVjLTRlNjgtYWE0ZC0yYmM5ZGU5ZmEyMDJfN4gBAZoBBggAEAAYALABALgBAcgBABiAwsDGzjMg/ZPZ19AzMABCNXN1Z2dlc3RJZEltcG9ydDljMzI3MWQyLTQ5ZWMtNGU2OC1hYTRkLTJiYzlkZTlmYTIwMl83IqcCCgtBQUFCMTNlMjNKbxLxAQoLQUFBQjEzZTIzSm8SC0FBQUIxM2UyM0pvGg0KCXRleHQvaHRtbBIAIg4KCnRleHQvcGxhaW4SACobIhUxMTY0NDc0NDc5MjI5ODkzNDI4MTkoADgAMND3qtfQMzjQ96rX0DNKTgokYXBwbGljYXRpb24vdm5kLmdvb2dsZS1hcHBzLmRvY3MubWRzGibC19rkASAaHgoaChQob3IgOTl0aCBwZXJjZW50aWxlKRABGAAQAVoMZ294aDh3NWZlYW0wcgIgAHgAggEUc3VnZ2VzdC5wdjVxNjN0MHZiazKaAQYIABAAGACwAQC4AQDIAQAY0Peq19AzIND3qtfQMzAAQhRzdWdnZXN0LnB2NXE2M3QwdmJrMiKOBAoLQUFBQjE2RUtKZ00StwMKC0FBQUIxNkVLSmdNEgtBQUFCMTZFS0pnTRoNCgl0ZXh0L2h0bWwSACIOCgp0ZXh0L3BsYWluEgAqUQoYQWRyaWFuYSBHb256YWxleiBQZXN0YW5hGjUvL3NzbC5nc3RhdGljLmNvbS9kb2NzL2NvbW1vbi9ibHVlX3NpbGhvdWV0dGU5Ni0wLnBuZzDA4eyczzM4wOHsnM8zSncKJGFwcGxpY2F0aW9uL3ZuZC5nb29nbGUtYXBwcy5kb2NzLm1kcxpPwtfa5AFJGkcKQwo9VGhlIG9yZGVyaW5nIG9mIHRoZSBmYW1pbGllcyBpcyBiYXNlZCBvbiB0aGUgbnVtYmVyIG9mIElTUkFzLhABGAAQAXJTChhBZHJpYW5hIEdvbnphbGV6IFBlc3RhbmEaNwo1Ly9zc2wuZ3N0YXRpYy5jb20vZG9jcy9jb21tb24vYmx1ZV9zaWxob3VldHRlOTYtMC5wbmd4AIIBNXN1Z2dlc3RJZEltcG9ydDljMzI3MWQyLTQ5ZWMtNGU2OC1hYTRkLTJiYzlkZTlmYTIwMl8xiAEBmgEGCAAQABgAsAEAuAEByAEAGMDh7JzPMyDA4eyczzMwAEI1c3VnZ2VzdElkSW1wb3J0OWMzMjcxZDItNDllYy00ZTY4LWFhNGQtMmJjOWRlOWZhMjAyXzEijQIKC0FBQUIxNkVLSmdjEtcBCgtBQUFCMTZFS0pnYxILQUFBQjE2RUtKZ2MaDQoJdGV4dC9odG1sEgAiDgoKdGV4dC9wbGFpbhIAKhsiFTExNjk5MTgxMDU0MDAwNzI2MTk5MigAOAAwxM/pvc8zOMfU6b3PM0o0CiRhcHBsaWNhdGlvbi92bmQuZ29vZ2xlLWFwcHMuZG9jcy5tZHMaDMLX2uQBBiIECAYQE1oMODE5a2t2ZDF6ajg3cgIgAHgAggEUc3VnZ2VzdC4xYm1yZDNuNDIwdzOaAQYIABAAGACwAQC4AQDIAQAYxM/pvc8zIMfU6b3PMzAAQhRzdWdnZXN0LjFibXJkM240MjB3MyLTAwoLQUFBQjE2RUtKZ0ES/AIKC0FBQUIxNkVLSmdBEgtBQUFCMTZFS0pnQRoNCgl0ZXh0L2h0bWwSACIOCgp0ZXh0L3BsYWluEgAqUQoYQWRyaWFuYSBHb256YWxleiBQZXN0YW5hGjUvL3NzbC5nc3RhdGljLmNvbS9kb2NzL2NvbW1vbi9ibHVlX3NpbGhvdWV0dGU5Ni0wLnBuZzCAi/SczzM4toPZ19AzSjwKJGFwcGxpY2F0aW9uL3ZuZC5nb29nbGUtYXBwcy5kb2NzLm1kcxoUwtfa5AEOGgwKCAoCdW4QARgAEAFyUwoYQWRyaWFuYSBHb256YWxleiBQZXN0YW5hGjcKNS8vc3NsLmdzdGF0aWMuY29tL2RvY3MvY29tbW9uL2JsdWVfc2lsaG91ZXR0ZTk2LTAucG5neACCATVzdWdnZXN0SWRJbXBvcnQ5YzMyNzFkMi00OWVjLTRlNjgtYWE0ZC0yYmM5ZGU5ZmEyMDJfNogBAZoBBggAEAAYALABALgBAcgBABiAi/SczzMgtoPZ19AzMABCNXN1Z2dlc3RJZEltcG9ydDljMzI3MWQyLTQ5ZWMtNGU2OC1hYTRkLTJiYzlkZTlmYTIwMl82IrQCCgtBQUFCMTZFS0pnZxL+AQoLQUFBQjE2RUtKZ2cSC0FBQUIxNkVLSmdnGg0KCXRleHQvaHRtbBIAIg4KCnRleHQvcGxhaW4SACobIhUxMTY5OTE4MTA1NDAwMDcyNjE5OTIoADgAMLuP6r3PMzjqtdnX0DNKWwokYXBwbGljYXRpb24vdm5kLmdvb2dsZS1hcHBzLmRvY3MubWRzGjPC19rkAS0aKwonCiFvZiBUaHJlYXRlbmVkIFNwZWNpZXMgKElVQ04gMjAyNSkQARgAEAFaDDdocWdpOWhibmpnNnICIAB4AIIBFHN1Z2dlc3QueTZvMGFoNXFxczN2mgEGCAAQABgAsAEAuAEAyAEAGLuP6r3PMyDqtdnX0DMwAEIUc3VnZ2VzdC55Nm8wYWg1cXFzM3Yi4wMKC0FBQUIxNkVLSmdFEowDCgtBQUFCMTZFS0pnRRILQUFBQjE2RUtKZ0UaDQoJdGV4dC9odG1sEgAiDgoKdGV4dC9wbGFpbhIAKlEKGEFkcmlhbmEgR29uemFsZXogUGVzdGFuYRo1Ly9zc2wuZ3N0YXRpYy5jb20vZG9jcy9jb21tb24vYmx1ZV9zaWxob3VldHRlOTYtMC5wbmcwgIv0nM8zOICL9JzPM0pMCiRhcHBsaWNhdGlvbi92bmQuZ29vZ2xlLWFwcHMuZG9jcy5tZHMaJMLX2uQBHgocCgoKBHdlcmUQARgAEgwKBmlzIG5vdBABGAAYAXJTChhBZHJpYW5hIEdvbnphbGV6IFBlc3RhbmEaNwo1Ly9zc2wuZ3N0YXRpYy5jb20vZG9jcy9jb21tb24vYmx1ZV9zaWxob3VldHRlOTYtMC5wbmd4AIIBNXN1Z2dlc3RJZEltcG9ydDljMzI3MWQyLTQ5ZWMtNGU2OC1hYTRkLTJiYzlkZTlmYTIwMl80iAEBmgEGCAAQABgAsAEAuAEByAEAGICL9JzPMyCAi/SczzMwAEI1c3VnZ2VzdElkSW1wb3J0OWMzMjcxZDItNDllYy00ZTY4LWFhNGQtMmJjOWRlOWZhMjAyXzQi1AMKC0FBQUIxNkVLSmY4Ev0CCgtBQUFCMTZFS0pmOBILQUFBQjE2RUtKZjgaDQoJdGV4dC9odG1sEgAiDgoKdGV4dC9wbGFpbhIAKlEKGEFkcmlhbmEgR29uemFsZXogUGVzdGFuYRo1Ly9zc2wuZ3N0YXRpYy5jb20vZG9jcy9jb21tb24vYmx1ZV9zaWxob3VldHRlOTYtMC5wbmcwgIv0nM8zOICL9JzPM0o9CiRhcHBsaWNhdGlvbi92bmQuZ29vZ2xlLWFwcHMuZG9jcy5tZHMaFcLX2uQBDxINCgkKA3RoZRABGAAQAXJTChhBZHJpYW5hIEdvbnphbGV6IFBlc3RhbmEaNwo1Ly9zc2wuZ3N0YXRpYy5jb20vZG9jcy9jb21tb24vYmx1ZV9zaWxob3VldHRlOTYtMC5wbmd4AIIBNXN1Z2dlc3RJZEltcG9ydDljMzI3MWQyLTQ5ZWMtNGU2OC1hYTRkLTJiYzlkZTlmYTIwMl8ziAEBmgEGCAAQABgAsAEAuAEByAEAGICL9JzPMyCAi/SczzMwAEI1c3VnZ2VzdElkSW1wb3J0OWMzMjcxZDItNDllYy00ZTY4LWFhNGQtMmJjOWRlOWZhMjAyXzM4AGooChRzdWdnZXN0LnA3Z3BtOGQ2cWI4NBIQQWRyaWFuYSBHb256YWxlempRCjVzdWdnZXN0SWRJbXBvcnQ5YzMyNzFkMi00OWVjLTRlNjgtYWE0ZC0yYmM5ZGU5ZmEyMDJfMhIYQWRyaWFuYSBHb256YWxleiBQZXN0YW5haigKFHN1Z2dlc3Qud3FhdXJsdDNjMmduEhBBZHJpYW5hIEdvbnphbGV6alEKNXN1Z2dlc3RJZEltcG9ydDljMzI3MWQyLTQ5ZWMtNGU2OC1hYTRkLTJiYzlkZTlmYTIwMl83EhhBZHJpYW5hIEdvbnphbGV6IFBlc3RhbmFqKAoUc3VnZ2VzdC5wdjVxNjN0MHZiazISEEFkcmlhbmEgR29uemFsZXpqUQo1c3VnZ2VzdElkSW1wb3J0OWMzMjcxZDItNDllYy00ZTY4LWFhNGQtMmJjOWRlOWZhMjAyXzESGEFkcmlhbmEgR29uemFsZXogUGVzdGFuYWofChRzdWdnZXN0LjFibXJkM240MjB3MxIHUGV0ZXIgS2pRCjVzdWdnZXN0SWRJbXBvcnQ5YzMyNzFkMi00OWVjLTRlNjgtYWE0ZC0yYmM5ZGU5ZmEyMDJfNhIYQWRyaWFuYSBHb256YWxleiBQZXN0YW5hah8KFHN1Z2dlc3QueTZvMGFoNXFxczN2EgdQZXRlciBLalEKNXN1Z2dlc3RJZEltcG9ydDljMzI3MWQyLTQ5ZWMtNGU2OC1hYTRkLTJiYzlkZTlmYTIwMl80EhhBZHJpYW5hIEdvbnphbGV6IFBlc3RhbmFqUQo1c3VnZ2VzdElkSW1wb3J0OWMzMjcxZDItNDllYy00ZTY4LWFhNGQtMmJjOWRlOWZhMjAyXzMSGEFkcmlhbmEgR29uemFsZXogUGVzdGFuYXIhMUZ1VWdlTmlMc1BwTnlqNDZCNXliX3dBLWF1b24tcE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Gonzalez Pestana</dc:creator>
  <cp:lastModifiedBy>Adriana Gonzalez Pestana</cp:lastModifiedBy>
  <cp:revision>3</cp:revision>
  <dcterms:created xsi:type="dcterms:W3CDTF">2025-05-12T20:39:00Z</dcterms:created>
  <dcterms:modified xsi:type="dcterms:W3CDTF">2026-03-30T05:41:00Z</dcterms:modified>
</cp:coreProperties>
</file>