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4321" w14:textId="77777777" w:rsidR="0072616B"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Supplementary material 1A </w:t>
      </w:r>
      <w:r>
        <w:rPr>
          <w:rFonts w:ascii="Times New Roman" w:eastAsia="Times New Roman" w:hAnsi="Times New Roman" w:cs="Times New Roman"/>
          <w:sz w:val="20"/>
          <w:szCs w:val="20"/>
        </w:rPr>
        <w:t>Brazilian primates included among the most threatened in the world in the Top 25 lists published between 2000 and 2022. The edition publication reference is placed after the year. The threat categories correspond to the most up-to-date IUCN classification. The threats below were described in the Top 25 list publications, “Primates in peril”. Each species was classified according to the biome when its range had more than 50% overlap within its limits. The supporting information on ‘Conservation status’ is derived from data on landscape attributes diagnosed in this study (see Figure 1 in Supplementary Material 3 - Diagnosis of the landscape attributes of Brazilian primates listed in the Top 25 lists from 2000 to 2022), which confirms the threats faced by each species according to the literature documented in the editions of Primates in Peril (compare with the field ‘</w:t>
      </w:r>
      <w:r>
        <w:rPr>
          <w:rFonts w:ascii="Times New Roman" w:eastAsia="Times New Roman" w:hAnsi="Times New Roman" w:cs="Times New Roman"/>
          <w:b/>
          <w:bCs/>
          <w:sz w:val="18"/>
          <w:szCs w:val="18"/>
        </w:rPr>
        <w:t>Threats mentioned on the Top 25 list’)</w:t>
      </w:r>
      <w:r>
        <w:rPr>
          <w:rFonts w:ascii="Times New Roman" w:eastAsia="Times New Roman" w:hAnsi="Times New Roman" w:cs="Times New Roman"/>
          <w:sz w:val="20"/>
          <w:szCs w:val="20"/>
        </w:rPr>
        <w:t xml:space="preserve">. The ‘Conservation actions’ implemented show results that may be related to the inclusion of species on the list of the Top 25 most threatened species. Conservation actions were obtained from various sources, ranging from the IUCN species assessment form to individual studies. </w:t>
      </w:r>
    </w:p>
    <w:tbl>
      <w:tblPr>
        <w:tblStyle w:val="a1"/>
        <w:tblW w:w="15450" w:type="dxa"/>
        <w:jc w:val="center"/>
        <w:tblInd w:w="0" w:type="dxa"/>
        <w:tblLayout w:type="fixed"/>
        <w:tblLook w:val="0400" w:firstRow="0" w:lastRow="0" w:firstColumn="0" w:lastColumn="0" w:noHBand="0" w:noVBand="1"/>
      </w:tblPr>
      <w:tblGrid>
        <w:gridCol w:w="1695"/>
        <w:gridCol w:w="1560"/>
        <w:gridCol w:w="1575"/>
        <w:gridCol w:w="1680"/>
        <w:gridCol w:w="1140"/>
        <w:gridCol w:w="1275"/>
        <w:gridCol w:w="2415"/>
        <w:gridCol w:w="4110"/>
      </w:tblGrid>
      <w:tr w:rsidR="0072616B" w14:paraId="5B8CBF19" w14:textId="77777777">
        <w:trPr>
          <w:trHeight w:val="448"/>
          <w:jc w:val="center"/>
        </w:trPr>
        <w:tc>
          <w:tcPr>
            <w:tcW w:w="1695" w:type="dxa"/>
            <w:tcBorders>
              <w:top w:val="single" w:sz="18" w:space="0" w:color="000000"/>
              <w:bottom w:val="single" w:sz="12" w:space="0" w:color="000000"/>
            </w:tcBorders>
            <w:vAlign w:val="center"/>
          </w:tcPr>
          <w:p w14:paraId="5E374B70"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Taxa</w:t>
            </w:r>
          </w:p>
        </w:tc>
        <w:tc>
          <w:tcPr>
            <w:tcW w:w="1560" w:type="dxa"/>
            <w:tcBorders>
              <w:top w:val="single" w:sz="18" w:space="0" w:color="000000"/>
              <w:left w:val="nil"/>
              <w:bottom w:val="single" w:sz="12" w:space="0" w:color="000000"/>
            </w:tcBorders>
            <w:vAlign w:val="center"/>
          </w:tcPr>
          <w:p w14:paraId="0A55EAAC"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Years listed on the Top 25 list</w:t>
            </w:r>
          </w:p>
        </w:tc>
        <w:tc>
          <w:tcPr>
            <w:tcW w:w="1575" w:type="dxa"/>
            <w:tcBorders>
              <w:top w:val="single" w:sz="18" w:space="0" w:color="000000"/>
              <w:bottom w:val="single" w:sz="12" w:space="0" w:color="000000"/>
            </w:tcBorders>
            <w:vAlign w:val="center"/>
          </w:tcPr>
          <w:p w14:paraId="1D1879F1"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Threats mentioned on the Top 25 list</w:t>
            </w:r>
          </w:p>
        </w:tc>
        <w:tc>
          <w:tcPr>
            <w:tcW w:w="1680" w:type="dxa"/>
            <w:tcBorders>
              <w:top w:val="single" w:sz="18" w:space="0" w:color="000000"/>
              <w:bottom w:val="single" w:sz="12" w:space="0" w:color="000000"/>
            </w:tcBorders>
            <w:vAlign w:val="center"/>
          </w:tcPr>
          <w:p w14:paraId="4F0AC188"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Predominant Biome</w:t>
            </w:r>
          </w:p>
        </w:tc>
        <w:tc>
          <w:tcPr>
            <w:tcW w:w="1140" w:type="dxa"/>
            <w:tcBorders>
              <w:top w:val="single" w:sz="18" w:space="0" w:color="000000"/>
              <w:bottom w:val="single" w:sz="12" w:space="0" w:color="000000"/>
            </w:tcBorders>
            <w:vAlign w:val="center"/>
          </w:tcPr>
          <w:p w14:paraId="6AAF53F9"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IUCN Threat category</w:t>
            </w:r>
          </w:p>
        </w:tc>
        <w:tc>
          <w:tcPr>
            <w:tcW w:w="1275" w:type="dxa"/>
            <w:tcBorders>
              <w:top w:val="single" w:sz="18" w:space="0" w:color="000000"/>
              <w:bottom w:val="single" w:sz="12" w:space="0" w:color="000000"/>
            </w:tcBorders>
            <w:vAlign w:val="center"/>
          </w:tcPr>
          <w:p w14:paraId="633561EE"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IUCN threat category reference</w:t>
            </w:r>
          </w:p>
        </w:tc>
        <w:tc>
          <w:tcPr>
            <w:tcW w:w="2415" w:type="dxa"/>
            <w:tcBorders>
              <w:top w:val="single" w:sz="18" w:space="0" w:color="000000"/>
              <w:bottom w:val="single" w:sz="12" w:space="0" w:color="000000"/>
            </w:tcBorders>
            <w:vAlign w:val="center"/>
          </w:tcPr>
          <w:p w14:paraId="11FAC593"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Conservation status</w:t>
            </w:r>
          </w:p>
        </w:tc>
        <w:tc>
          <w:tcPr>
            <w:tcW w:w="4110" w:type="dxa"/>
            <w:tcBorders>
              <w:top w:val="single" w:sz="18" w:space="0" w:color="000000"/>
              <w:bottom w:val="single" w:sz="12" w:space="0" w:color="000000"/>
            </w:tcBorders>
            <w:vAlign w:val="center"/>
          </w:tcPr>
          <w:p w14:paraId="5C7A5146"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Conservation actions</w:t>
            </w:r>
          </w:p>
        </w:tc>
      </w:tr>
      <w:tr w:rsidR="0072616B" w14:paraId="52CE4CB6" w14:textId="77777777">
        <w:trPr>
          <w:trHeight w:val="1012"/>
          <w:jc w:val="center"/>
        </w:trPr>
        <w:tc>
          <w:tcPr>
            <w:tcW w:w="1695" w:type="dxa"/>
            <w:tcBorders>
              <w:top w:val="single" w:sz="12" w:space="0" w:color="000000"/>
              <w:bottom w:val="single" w:sz="4" w:space="0" w:color="ADADAD"/>
            </w:tcBorders>
            <w:vAlign w:val="center"/>
          </w:tcPr>
          <w:p w14:paraId="418C05A9" w14:textId="77777777" w:rsidR="0072616B" w:rsidRDefault="00000000">
            <w:pPr>
              <w:spacing w:line="360" w:lineRule="auto"/>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Plecturocebus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grovesi</w:t>
            </w:r>
            <w:proofErr w:type="spellEnd"/>
          </w:p>
          <w:p w14:paraId="33C20D98" w14:textId="77777777" w:rsidR="0072616B" w:rsidRDefault="0072616B">
            <w:pPr>
              <w:spacing w:line="360" w:lineRule="auto"/>
              <w:rPr>
                <w:rFonts w:ascii="Times New Roman" w:eastAsia="Times New Roman" w:hAnsi="Times New Roman" w:cs="Times New Roman"/>
                <w:i/>
                <w:iCs/>
                <w:sz w:val="18"/>
                <w:szCs w:val="18"/>
              </w:rPr>
            </w:pPr>
          </w:p>
        </w:tc>
        <w:tc>
          <w:tcPr>
            <w:tcW w:w="1560" w:type="dxa"/>
            <w:tcBorders>
              <w:top w:val="single" w:sz="12" w:space="0" w:color="000000"/>
              <w:bottom w:val="single" w:sz="4" w:space="0" w:color="ADADAD"/>
            </w:tcBorders>
            <w:vAlign w:val="center"/>
          </w:tcPr>
          <w:p w14:paraId="36905AF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2022-2023 (</w:t>
            </w:r>
            <w:proofErr w:type="spellStart"/>
            <w:r>
              <w:rPr>
                <w:rFonts w:ascii="Times New Roman" w:eastAsia="Times New Roman" w:hAnsi="Times New Roman" w:cs="Times New Roman"/>
                <w:sz w:val="18"/>
                <w:szCs w:val="18"/>
              </w:rPr>
              <w:t>Boubli</w:t>
            </w:r>
            <w:proofErr w:type="spellEnd"/>
            <w:r>
              <w:rPr>
                <w:rFonts w:ascii="Times New Roman" w:eastAsia="Times New Roman" w:hAnsi="Times New Roman" w:cs="Times New Roman"/>
                <w:sz w:val="18"/>
                <w:szCs w:val="18"/>
              </w:rPr>
              <w:t xml:space="preserve"> et al. 2022)</w:t>
            </w:r>
          </w:p>
        </w:tc>
        <w:tc>
          <w:tcPr>
            <w:tcW w:w="1575" w:type="dxa"/>
            <w:tcBorders>
              <w:top w:val="single" w:sz="12" w:space="0" w:color="000000"/>
              <w:bottom w:val="single" w:sz="4" w:space="0" w:color="ADADAD"/>
            </w:tcBorders>
            <w:vAlign w:val="center"/>
          </w:tcPr>
          <w:p w14:paraId="5AFE419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Habitat loss and fragmentation; Arc of deforestation.</w:t>
            </w:r>
          </w:p>
        </w:tc>
        <w:tc>
          <w:tcPr>
            <w:tcW w:w="1680" w:type="dxa"/>
            <w:tcBorders>
              <w:top w:val="single" w:sz="12" w:space="0" w:color="000000"/>
              <w:bottom w:val="single" w:sz="4" w:space="0" w:color="ADADAD"/>
            </w:tcBorders>
            <w:vAlign w:val="center"/>
          </w:tcPr>
          <w:p w14:paraId="67264C56"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1140" w:type="dxa"/>
            <w:tcBorders>
              <w:top w:val="single" w:sz="12" w:space="0" w:color="000000"/>
              <w:bottom w:val="single" w:sz="4" w:space="0" w:color="ADADAD"/>
            </w:tcBorders>
            <w:vAlign w:val="center"/>
          </w:tcPr>
          <w:p w14:paraId="434B7854"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12" w:space="0" w:color="000000"/>
              <w:bottom w:val="single" w:sz="4" w:space="0" w:color="ADADAD"/>
            </w:tcBorders>
            <w:vAlign w:val="center"/>
          </w:tcPr>
          <w:p w14:paraId="4153F65F" w14:textId="77777777" w:rsidR="0072616B" w:rsidRDefault="00000000">
            <w:pPr>
              <w:spacing w:line="36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Boubli</w:t>
            </w:r>
            <w:proofErr w:type="spellEnd"/>
            <w:r>
              <w:rPr>
                <w:rFonts w:ascii="Times New Roman" w:eastAsia="Times New Roman" w:hAnsi="Times New Roman" w:cs="Times New Roman"/>
                <w:sz w:val="18"/>
                <w:szCs w:val="18"/>
              </w:rPr>
              <w:t xml:space="preserve"> et al. 2020</w:t>
            </w:r>
          </w:p>
        </w:tc>
        <w:tc>
          <w:tcPr>
            <w:tcW w:w="2415" w:type="dxa"/>
            <w:tcBorders>
              <w:top w:val="single" w:sz="12" w:space="0" w:color="000000"/>
              <w:bottom w:val="single" w:sz="4" w:space="0" w:color="ADADAD"/>
            </w:tcBorders>
            <w:vAlign w:val="center"/>
          </w:tcPr>
          <w:p w14:paraId="4D1F7BC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Suffered the greatest loss of habitats and has the greatest overlap with the arc of deforestation in the Amazon.</w:t>
            </w:r>
          </w:p>
        </w:tc>
        <w:tc>
          <w:tcPr>
            <w:tcW w:w="4110" w:type="dxa"/>
            <w:tcBorders>
              <w:top w:val="single" w:sz="12" w:space="0" w:color="000000"/>
              <w:bottom w:val="single" w:sz="4" w:space="0" w:color="ADADAD"/>
            </w:tcBorders>
            <w:vAlign w:val="center"/>
          </w:tcPr>
          <w:p w14:paraId="4BDC059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Inclusion among the target species receiving the most attention from researchers and managers involved in the Amazon Primates Action Plan (National </w:t>
            </w:r>
            <w:proofErr w:type="spellStart"/>
            <w:r>
              <w:rPr>
                <w:rFonts w:ascii="Times New Roman" w:eastAsia="Times New Roman" w:hAnsi="Times New Roman" w:cs="Times New Roman"/>
                <w:sz w:val="18"/>
                <w:szCs w:val="18"/>
              </w:rPr>
              <w:t>Center</w:t>
            </w:r>
            <w:proofErr w:type="spellEnd"/>
            <w:r>
              <w:rPr>
                <w:rFonts w:ascii="Times New Roman" w:eastAsia="Times New Roman" w:hAnsi="Times New Roman" w:cs="Times New Roman"/>
                <w:sz w:val="18"/>
                <w:szCs w:val="18"/>
              </w:rPr>
              <w:t xml:space="preserve"> for Research and Conservation of Brazilian Primates - CBP/ICMBio) for the implementation of actions and studies for the conservation of the species </w:t>
            </w:r>
            <w:r>
              <w:rPr>
                <w:rFonts w:ascii="Times New Roman" w:eastAsia="Times New Roman" w:hAnsi="Times New Roman" w:cs="Times New Roman"/>
                <w:i/>
                <w:iCs/>
                <w:sz w:val="18"/>
                <w:szCs w:val="18"/>
              </w:rPr>
              <w:t xml:space="preserve">P. </w:t>
            </w:r>
            <w:proofErr w:type="spellStart"/>
            <w:r>
              <w:rPr>
                <w:rFonts w:ascii="Times New Roman" w:eastAsia="Times New Roman" w:hAnsi="Times New Roman" w:cs="Times New Roman"/>
                <w:i/>
                <w:iCs/>
                <w:sz w:val="18"/>
                <w:szCs w:val="18"/>
              </w:rPr>
              <w:t>grovesi</w:t>
            </w:r>
            <w:proofErr w:type="spellEnd"/>
            <w:r>
              <w:rPr>
                <w:rFonts w:ascii="Times New Roman" w:eastAsia="Times New Roman" w:hAnsi="Times New Roman" w:cs="Times New Roman"/>
                <w:sz w:val="18"/>
                <w:szCs w:val="18"/>
              </w:rPr>
              <w:t xml:space="preserve"> (https://l1nk.dev/AWzPu). New law to celebrate the municipal day of the </w:t>
            </w:r>
            <w:proofErr w:type="spellStart"/>
            <w:r>
              <w:rPr>
                <w:rFonts w:ascii="Times New Roman" w:eastAsia="Times New Roman" w:hAnsi="Times New Roman" w:cs="Times New Roman"/>
                <w:sz w:val="18"/>
                <w:szCs w:val="18"/>
              </w:rPr>
              <w:t>Zogue-Zogue</w:t>
            </w:r>
            <w:proofErr w:type="spellEnd"/>
            <w:r>
              <w:rPr>
                <w:rFonts w:ascii="Times New Roman" w:eastAsia="Times New Roman" w:hAnsi="Times New Roman" w:cs="Times New Roman"/>
                <w:sz w:val="18"/>
                <w:szCs w:val="18"/>
              </w:rPr>
              <w:t xml:space="preserve"> in 2025, as it is known, in the municipality of Alta Floresta, Mato Grosso/Brazil, with environmental education activities in the region where the species occurs (https://l1nq.com/2ctGX).</w:t>
            </w:r>
          </w:p>
        </w:tc>
      </w:tr>
      <w:tr w:rsidR="0072616B" w14:paraId="79C663D2" w14:textId="77777777">
        <w:trPr>
          <w:trHeight w:val="725"/>
          <w:jc w:val="center"/>
        </w:trPr>
        <w:tc>
          <w:tcPr>
            <w:tcW w:w="1695" w:type="dxa"/>
            <w:tcBorders>
              <w:top w:val="single" w:sz="4" w:space="0" w:color="ADADAD"/>
              <w:bottom w:val="single" w:sz="4" w:space="0" w:color="ADADAD"/>
            </w:tcBorders>
            <w:vAlign w:val="center"/>
          </w:tcPr>
          <w:p w14:paraId="4F61D56E"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Saguinus </w:t>
            </w:r>
            <w:proofErr w:type="spellStart"/>
            <w:r>
              <w:rPr>
                <w:rFonts w:ascii="Times New Roman" w:eastAsia="Times New Roman" w:hAnsi="Times New Roman" w:cs="Times New Roman"/>
                <w:i/>
                <w:iCs/>
                <w:sz w:val="18"/>
                <w:szCs w:val="18"/>
              </w:rPr>
              <w:t>bicolor</w:t>
            </w:r>
            <w:proofErr w:type="spellEnd"/>
          </w:p>
        </w:tc>
        <w:tc>
          <w:tcPr>
            <w:tcW w:w="1560" w:type="dxa"/>
            <w:tcBorders>
              <w:top w:val="single" w:sz="4" w:space="0" w:color="ADADAD"/>
              <w:bottom w:val="single" w:sz="4" w:space="0" w:color="ADADAD"/>
            </w:tcBorders>
            <w:vAlign w:val="center"/>
          </w:tcPr>
          <w:p w14:paraId="7745CBB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2018-2020 (Gordo et al. 2019)</w:t>
            </w:r>
          </w:p>
        </w:tc>
        <w:tc>
          <w:tcPr>
            <w:tcW w:w="1575" w:type="dxa"/>
            <w:tcBorders>
              <w:top w:val="single" w:sz="4" w:space="0" w:color="ADADAD"/>
              <w:bottom w:val="single" w:sz="4" w:space="0" w:color="ADADAD"/>
            </w:tcBorders>
            <w:vAlign w:val="center"/>
          </w:tcPr>
          <w:p w14:paraId="4BA4A41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Urban proximity; Habitat loss and fragmentation; Hybridization.</w:t>
            </w:r>
          </w:p>
        </w:tc>
        <w:tc>
          <w:tcPr>
            <w:tcW w:w="1680" w:type="dxa"/>
            <w:tcBorders>
              <w:top w:val="single" w:sz="4" w:space="0" w:color="ADADAD"/>
              <w:bottom w:val="single" w:sz="4" w:space="0" w:color="ADADAD"/>
            </w:tcBorders>
            <w:vAlign w:val="center"/>
          </w:tcPr>
          <w:p w14:paraId="0636D46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1140" w:type="dxa"/>
            <w:tcBorders>
              <w:top w:val="single" w:sz="4" w:space="0" w:color="ADADAD"/>
              <w:bottom w:val="single" w:sz="4" w:space="0" w:color="ADADAD"/>
            </w:tcBorders>
            <w:vAlign w:val="center"/>
          </w:tcPr>
          <w:p w14:paraId="007F3E0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2C7C28E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Gordo et al. 2021</w:t>
            </w:r>
          </w:p>
        </w:tc>
        <w:tc>
          <w:tcPr>
            <w:tcW w:w="2415" w:type="dxa"/>
            <w:tcBorders>
              <w:top w:val="single" w:sz="4" w:space="0" w:color="ADADAD"/>
              <w:bottom w:val="single" w:sz="4" w:space="0" w:color="ADADAD"/>
            </w:tcBorders>
            <w:vAlign w:val="center"/>
          </w:tcPr>
          <w:p w14:paraId="3239F7E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Occurs in a small geographical distribution (~8000 km²) in the Manaus region of the Amazon, which has 3% of its area urbanized, a proportion similar to that of the species in the Atlantic Forest (Teixeira et al. 2009), demonstrating the drastic effect of these anthropogenic attributes </w:t>
            </w:r>
            <w:r>
              <w:rPr>
                <w:rFonts w:ascii="Times New Roman" w:eastAsia="Times New Roman" w:hAnsi="Times New Roman" w:cs="Times New Roman"/>
                <w:sz w:val="18"/>
                <w:szCs w:val="18"/>
              </w:rPr>
              <w:lastRenderedPageBreak/>
              <w:t>present in a small distribution area.</w:t>
            </w:r>
          </w:p>
        </w:tc>
        <w:tc>
          <w:tcPr>
            <w:tcW w:w="4110" w:type="dxa"/>
            <w:tcBorders>
              <w:top w:val="single" w:sz="4" w:space="0" w:color="ADADAD"/>
              <w:bottom w:val="single" w:sz="4" w:space="0" w:color="ADADAD"/>
            </w:tcBorders>
            <w:vAlign w:val="center"/>
          </w:tcPr>
          <w:p w14:paraId="74E7C03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The conservation and management of this species (i</w:t>
            </w:r>
            <w:r>
              <w:rPr>
                <w:rFonts w:ascii="Times New Roman" w:eastAsia="Times New Roman" w:hAnsi="Times New Roman" w:cs="Times New Roman"/>
                <w:i/>
                <w:iCs/>
                <w:sz w:val="18"/>
                <w:szCs w:val="18"/>
              </w:rPr>
              <w:t>n situ</w:t>
            </w:r>
            <w:r>
              <w:rPr>
                <w:rFonts w:ascii="Times New Roman" w:eastAsia="Times New Roman" w:hAnsi="Times New Roman" w:cs="Times New Roman"/>
                <w:sz w:val="18"/>
                <w:szCs w:val="18"/>
              </w:rPr>
              <w:t xml:space="preserve"> and </w:t>
            </w:r>
            <w:r>
              <w:rPr>
                <w:rFonts w:ascii="Times New Roman" w:eastAsia="Times New Roman" w:hAnsi="Times New Roman" w:cs="Times New Roman"/>
                <w:i/>
                <w:iCs/>
                <w:sz w:val="18"/>
                <w:szCs w:val="18"/>
              </w:rPr>
              <w:t>ex situ</w:t>
            </w:r>
            <w:r>
              <w:rPr>
                <w:rFonts w:ascii="Times New Roman" w:eastAsia="Times New Roman" w:hAnsi="Times New Roman" w:cs="Times New Roman"/>
                <w:sz w:val="18"/>
                <w:szCs w:val="18"/>
              </w:rPr>
              <w:t xml:space="preserve">) is overseen by the National Action Plan for the Conservation of the Pied Tamarin, since 2011 (Gordo et al 2021). It occurs in several protected areas of restricted use and sustainable use (Gordo et al 2021), but in 2024 the first federal Strictly Protected Area was created, the Pied Tamarin Wildlife Refuge, to promote the conservation of the pied tamarin, which campaign and legal process used the fact of the species </w:t>
            </w:r>
            <w:r>
              <w:rPr>
                <w:rFonts w:ascii="Times New Roman" w:eastAsia="Times New Roman" w:hAnsi="Times New Roman" w:cs="Times New Roman"/>
                <w:sz w:val="18"/>
                <w:szCs w:val="18"/>
              </w:rPr>
              <w:lastRenderedPageBreak/>
              <w:t>being listed as a justification of urgency and relevance (</w:t>
            </w:r>
            <w:proofErr w:type="spellStart"/>
            <w:r>
              <w:rPr>
                <w:rFonts w:ascii="Times New Roman" w:eastAsia="Times New Roman" w:hAnsi="Times New Roman" w:cs="Times New Roman"/>
                <w:sz w:val="18"/>
                <w:szCs w:val="18"/>
              </w:rPr>
              <w:t>Lagroteria</w:t>
            </w:r>
            <w:proofErr w:type="spellEnd"/>
            <w:r>
              <w:rPr>
                <w:rFonts w:ascii="Times New Roman" w:eastAsia="Times New Roman" w:hAnsi="Times New Roman" w:cs="Times New Roman"/>
                <w:sz w:val="18"/>
                <w:szCs w:val="18"/>
              </w:rPr>
              <w:t xml:space="preserve"> et al. 2025). </w:t>
            </w:r>
          </w:p>
        </w:tc>
      </w:tr>
      <w:tr w:rsidR="0072616B" w14:paraId="10E9B816" w14:textId="77777777">
        <w:trPr>
          <w:trHeight w:val="1008"/>
          <w:jc w:val="center"/>
        </w:trPr>
        <w:tc>
          <w:tcPr>
            <w:tcW w:w="1695" w:type="dxa"/>
            <w:tcBorders>
              <w:top w:val="single" w:sz="4" w:space="0" w:color="ADADAD"/>
              <w:bottom w:val="single" w:sz="4" w:space="0" w:color="ADADAD"/>
            </w:tcBorders>
            <w:vAlign w:val="center"/>
          </w:tcPr>
          <w:p w14:paraId="4AF0635A"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lastRenderedPageBreak/>
              <w:t xml:space="preserve">Cebus </w:t>
            </w:r>
            <w:proofErr w:type="spellStart"/>
            <w:r>
              <w:rPr>
                <w:rFonts w:ascii="Times New Roman" w:eastAsia="Times New Roman" w:hAnsi="Times New Roman" w:cs="Times New Roman"/>
                <w:i/>
                <w:iCs/>
                <w:sz w:val="18"/>
                <w:szCs w:val="18"/>
              </w:rPr>
              <w:t>kaapori</w:t>
            </w:r>
            <w:proofErr w:type="spellEnd"/>
          </w:p>
        </w:tc>
        <w:tc>
          <w:tcPr>
            <w:tcW w:w="1560" w:type="dxa"/>
            <w:tcBorders>
              <w:top w:val="single" w:sz="4" w:space="0" w:color="ADADAD"/>
              <w:bottom w:val="single" w:sz="4" w:space="0" w:color="ADADAD"/>
            </w:tcBorders>
            <w:vAlign w:val="center"/>
          </w:tcPr>
          <w:p w14:paraId="03205B7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2010-2012</w:t>
            </w:r>
          </w:p>
          <w:p w14:paraId="0B61FA6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2012)</w:t>
            </w:r>
          </w:p>
          <w:p w14:paraId="48CF821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2012-2014</w:t>
            </w:r>
          </w:p>
          <w:p w14:paraId="5BBF23F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(Clark et al. 2014)</w:t>
            </w:r>
          </w:p>
          <w:p w14:paraId="4ED4517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2014-2016</w:t>
            </w:r>
          </w:p>
          <w:p w14:paraId="424610A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(Fialho et al. 2015)</w:t>
            </w:r>
          </w:p>
          <w:p w14:paraId="14FAC3D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2016-2018</w:t>
            </w:r>
          </w:p>
          <w:p w14:paraId="7339019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(Buss et al. 2017);</w:t>
            </w:r>
          </w:p>
          <w:p w14:paraId="6D00392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2022-2023 (Buss et al. 2022)</w:t>
            </w:r>
          </w:p>
        </w:tc>
        <w:tc>
          <w:tcPr>
            <w:tcW w:w="1575" w:type="dxa"/>
            <w:tcBorders>
              <w:top w:val="single" w:sz="4" w:space="0" w:color="ADADAD"/>
              <w:bottom w:val="single" w:sz="4" w:space="0" w:color="ADADAD"/>
            </w:tcBorders>
            <w:vAlign w:val="center"/>
          </w:tcPr>
          <w:p w14:paraId="3C9C974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Habitat loss and fragmentation; Climate change; Hunting; Population decline; Naturally rare; Harvesting; Forest fires; Arc of deforestation.</w:t>
            </w:r>
          </w:p>
        </w:tc>
        <w:tc>
          <w:tcPr>
            <w:tcW w:w="1680" w:type="dxa"/>
            <w:tcBorders>
              <w:top w:val="single" w:sz="4" w:space="0" w:color="ADADAD"/>
              <w:bottom w:val="single" w:sz="4" w:space="0" w:color="ADADAD"/>
            </w:tcBorders>
            <w:vAlign w:val="center"/>
          </w:tcPr>
          <w:p w14:paraId="5E656FF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1140" w:type="dxa"/>
            <w:tcBorders>
              <w:top w:val="single" w:sz="4" w:space="0" w:color="ADADAD"/>
              <w:bottom w:val="single" w:sz="4" w:space="0" w:color="ADADAD"/>
            </w:tcBorders>
            <w:vAlign w:val="center"/>
          </w:tcPr>
          <w:p w14:paraId="74852E6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3451C676"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Fialho et al. 2021a</w:t>
            </w:r>
          </w:p>
        </w:tc>
        <w:tc>
          <w:tcPr>
            <w:tcW w:w="2415" w:type="dxa"/>
            <w:tcBorders>
              <w:top w:val="single" w:sz="4" w:space="0" w:color="ADADAD"/>
              <w:bottom w:val="single" w:sz="4" w:space="0" w:color="ADADAD"/>
            </w:tcBorders>
            <w:vAlign w:val="center"/>
          </w:tcPr>
          <w:p w14:paraId="40377AC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Suffered the greatest loss of habitats, has the greatest overlap with the arc of deforestation in the Amazon.</w:t>
            </w:r>
          </w:p>
        </w:tc>
        <w:tc>
          <w:tcPr>
            <w:tcW w:w="4110" w:type="dxa"/>
            <w:tcBorders>
              <w:top w:val="single" w:sz="4" w:space="0" w:color="ADADAD"/>
              <w:bottom w:val="single" w:sz="4" w:space="0" w:color="ADADAD"/>
            </w:tcBorders>
            <w:vAlign w:val="center"/>
          </w:tcPr>
          <w:p w14:paraId="2B6D0872"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It has been listed in Appendix II of CITES from 1997 until 2023 to prevent uses incompatible with its survival (https://www.speciesplus.net/). Only three populations are viable and need all the support they can get to ensure the species' perpetuation (Fialho et al. 2021a). This support involves regularizing the </w:t>
            </w:r>
            <w:proofErr w:type="spellStart"/>
            <w:r>
              <w:rPr>
                <w:rFonts w:ascii="Times New Roman" w:eastAsia="Times New Roman" w:hAnsi="Times New Roman" w:cs="Times New Roman"/>
                <w:sz w:val="18"/>
                <w:szCs w:val="18"/>
              </w:rPr>
              <w:t>Gurupí</w:t>
            </w:r>
            <w:proofErr w:type="spellEnd"/>
            <w:r>
              <w:rPr>
                <w:rFonts w:ascii="Times New Roman" w:eastAsia="Times New Roman" w:hAnsi="Times New Roman" w:cs="Times New Roman"/>
                <w:sz w:val="18"/>
                <w:szCs w:val="18"/>
              </w:rPr>
              <w:t xml:space="preserve"> Biological Reserve, monitoring indigenous lands, and enforcing environmental legislation (Fialho et al. 2021a).</w:t>
            </w:r>
          </w:p>
        </w:tc>
      </w:tr>
      <w:tr w:rsidR="0072616B" w14:paraId="649714AA" w14:textId="77777777">
        <w:trPr>
          <w:trHeight w:val="953"/>
          <w:jc w:val="center"/>
        </w:trPr>
        <w:tc>
          <w:tcPr>
            <w:tcW w:w="1695" w:type="dxa"/>
            <w:tcBorders>
              <w:top w:val="single" w:sz="4" w:space="0" w:color="ADADAD"/>
              <w:bottom w:val="single" w:sz="4" w:space="0" w:color="ADADAD"/>
            </w:tcBorders>
            <w:vAlign w:val="center"/>
          </w:tcPr>
          <w:p w14:paraId="7147E015"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Callicebus </w:t>
            </w:r>
            <w:proofErr w:type="spellStart"/>
            <w:r>
              <w:rPr>
                <w:rFonts w:ascii="Times New Roman" w:eastAsia="Times New Roman" w:hAnsi="Times New Roman" w:cs="Times New Roman"/>
                <w:i/>
                <w:iCs/>
                <w:sz w:val="18"/>
                <w:szCs w:val="18"/>
              </w:rPr>
              <w:t>barbarabrownae</w:t>
            </w:r>
            <w:proofErr w:type="spellEnd"/>
          </w:p>
        </w:tc>
        <w:tc>
          <w:tcPr>
            <w:tcW w:w="1560" w:type="dxa"/>
            <w:tcBorders>
              <w:top w:val="single" w:sz="4" w:space="0" w:color="ADADAD"/>
              <w:bottom w:val="single" w:sz="4" w:space="0" w:color="ADADAD"/>
            </w:tcBorders>
            <w:vAlign w:val="center"/>
          </w:tcPr>
          <w:p w14:paraId="6D6C796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2010-2012</w:t>
            </w:r>
          </w:p>
          <w:p w14:paraId="7579E39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2012)</w:t>
            </w:r>
          </w:p>
        </w:tc>
        <w:tc>
          <w:tcPr>
            <w:tcW w:w="1575" w:type="dxa"/>
            <w:tcBorders>
              <w:top w:val="single" w:sz="4" w:space="0" w:color="ADADAD"/>
              <w:bottom w:val="single" w:sz="4" w:space="0" w:color="ADADAD"/>
            </w:tcBorders>
            <w:vAlign w:val="center"/>
          </w:tcPr>
          <w:p w14:paraId="601D183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Population reduction and size; Hunting; Habitat loss and fragmentation;</w:t>
            </w:r>
          </w:p>
        </w:tc>
        <w:tc>
          <w:tcPr>
            <w:tcW w:w="1680" w:type="dxa"/>
            <w:tcBorders>
              <w:top w:val="single" w:sz="4" w:space="0" w:color="ADADAD"/>
              <w:bottom w:val="single" w:sz="4" w:space="0" w:color="ADADAD"/>
            </w:tcBorders>
            <w:vAlign w:val="center"/>
          </w:tcPr>
          <w:p w14:paraId="573688F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Caatinga</w:t>
            </w:r>
          </w:p>
        </w:tc>
        <w:tc>
          <w:tcPr>
            <w:tcW w:w="1140" w:type="dxa"/>
            <w:tcBorders>
              <w:top w:val="single" w:sz="4" w:space="0" w:color="ADADAD"/>
              <w:bottom w:val="single" w:sz="4" w:space="0" w:color="ADADAD"/>
            </w:tcBorders>
            <w:vAlign w:val="center"/>
          </w:tcPr>
          <w:p w14:paraId="6230374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6EC6763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Printes et al. 2021</w:t>
            </w:r>
          </w:p>
        </w:tc>
        <w:tc>
          <w:tcPr>
            <w:tcW w:w="2415" w:type="dxa"/>
            <w:tcBorders>
              <w:top w:val="single" w:sz="4" w:space="0" w:color="ADADAD"/>
              <w:bottom w:val="single" w:sz="4" w:space="0" w:color="ADADAD"/>
            </w:tcBorders>
            <w:vAlign w:val="center"/>
          </w:tcPr>
          <w:p w14:paraId="4EB0FAE2"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Species with the greatest proportion of fragmented landscapes (with less than 30% habitat cover) and habitat loss in the Caatinga.</w:t>
            </w:r>
          </w:p>
        </w:tc>
        <w:tc>
          <w:tcPr>
            <w:tcW w:w="4110" w:type="dxa"/>
            <w:tcBorders>
              <w:top w:val="single" w:sz="4" w:space="0" w:color="ADADAD"/>
              <w:bottom w:val="single" w:sz="4" w:space="0" w:color="ADADAD"/>
            </w:tcBorders>
            <w:vAlign w:val="center"/>
          </w:tcPr>
          <w:p w14:paraId="76959C3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II of CITES from 1997 until 2023 to prevent uses incompatible with its survival (https://www.speciesplus.net/). The species has not been seen in any officially protected area (Printes et al. 2021).</w:t>
            </w:r>
          </w:p>
        </w:tc>
      </w:tr>
      <w:tr w:rsidR="0072616B" w14:paraId="51D397A5" w14:textId="77777777">
        <w:trPr>
          <w:trHeight w:val="953"/>
          <w:jc w:val="center"/>
        </w:trPr>
        <w:tc>
          <w:tcPr>
            <w:tcW w:w="1695" w:type="dxa"/>
            <w:tcBorders>
              <w:top w:val="single" w:sz="4" w:space="0" w:color="ADADAD"/>
              <w:bottom w:val="single" w:sz="4" w:space="0" w:color="ADADAD"/>
            </w:tcBorders>
            <w:vAlign w:val="center"/>
          </w:tcPr>
          <w:p w14:paraId="1300B592"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Sapajus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xanthosternos</w:t>
            </w:r>
            <w:proofErr w:type="spellEnd"/>
          </w:p>
        </w:tc>
        <w:tc>
          <w:tcPr>
            <w:tcW w:w="1560" w:type="dxa"/>
            <w:tcBorders>
              <w:top w:val="single" w:sz="4" w:space="0" w:color="ADADAD"/>
              <w:bottom w:val="single" w:sz="4" w:space="0" w:color="ADADAD"/>
            </w:tcBorders>
            <w:vAlign w:val="center"/>
          </w:tcPr>
          <w:p w14:paraId="1D42668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2000</w:t>
            </w:r>
          </w:p>
          <w:p w14:paraId="1763FD4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2000)</w:t>
            </w:r>
          </w:p>
          <w:p w14:paraId="71F80AB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2002-2004</w:t>
            </w:r>
          </w:p>
          <w:p w14:paraId="53BF253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(Konstant et al. 2002)</w:t>
            </w:r>
          </w:p>
          <w:p w14:paraId="6703344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2004-2006</w:t>
            </w:r>
          </w:p>
          <w:p w14:paraId="00FA43D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(Kierulff et al. 2006)</w:t>
            </w:r>
          </w:p>
        </w:tc>
        <w:tc>
          <w:tcPr>
            <w:tcW w:w="1575" w:type="dxa"/>
            <w:tcBorders>
              <w:top w:val="single" w:sz="4" w:space="0" w:color="ADADAD"/>
              <w:bottom w:val="single" w:sz="4" w:space="0" w:color="ADADAD"/>
            </w:tcBorders>
            <w:vAlign w:val="center"/>
          </w:tcPr>
          <w:p w14:paraId="1C096F1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Hunting; Capture for pet use, Habitat loss and fragmentation; Population reduction.</w:t>
            </w:r>
          </w:p>
        </w:tc>
        <w:tc>
          <w:tcPr>
            <w:tcW w:w="1680" w:type="dxa"/>
            <w:tcBorders>
              <w:top w:val="single" w:sz="4" w:space="0" w:color="ADADAD"/>
              <w:bottom w:val="single" w:sz="4" w:space="0" w:color="ADADAD"/>
            </w:tcBorders>
            <w:vAlign w:val="center"/>
          </w:tcPr>
          <w:p w14:paraId="30F792F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Caatinga</w:t>
            </w:r>
          </w:p>
        </w:tc>
        <w:tc>
          <w:tcPr>
            <w:tcW w:w="1140" w:type="dxa"/>
            <w:tcBorders>
              <w:top w:val="single" w:sz="4" w:space="0" w:color="ADADAD"/>
              <w:bottom w:val="single" w:sz="4" w:space="0" w:color="ADADAD"/>
            </w:tcBorders>
            <w:vAlign w:val="center"/>
          </w:tcPr>
          <w:p w14:paraId="24CE936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23FA451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Canale et al. 2021</w:t>
            </w:r>
          </w:p>
        </w:tc>
        <w:tc>
          <w:tcPr>
            <w:tcW w:w="2415" w:type="dxa"/>
            <w:tcBorders>
              <w:top w:val="single" w:sz="4" w:space="0" w:color="ADADAD"/>
              <w:bottom w:val="single" w:sz="4" w:space="0" w:color="ADADAD"/>
            </w:tcBorders>
            <w:vAlign w:val="center"/>
          </w:tcPr>
          <w:p w14:paraId="5339D4BE"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sz w:val="18"/>
                <w:szCs w:val="18"/>
              </w:rPr>
              <w:t>Species with the greatest proportion of fragmented landscapes (with less than 30% habitat cover) and habitat loss in the Caatinga.</w:t>
            </w:r>
          </w:p>
        </w:tc>
        <w:tc>
          <w:tcPr>
            <w:tcW w:w="4110" w:type="dxa"/>
            <w:tcBorders>
              <w:top w:val="single" w:sz="4" w:space="0" w:color="ADADAD"/>
              <w:bottom w:val="single" w:sz="4" w:space="0" w:color="ADADAD"/>
            </w:tcBorders>
            <w:vAlign w:val="center"/>
          </w:tcPr>
          <w:p w14:paraId="6CA35A7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It has been listed in Appendix II of CITES from 1997 until 2023 to prevent uses incompatible with its survival (https://www.speciesplus.net/). It has made progress in the conservation of its populations in its portion of the Atlantic Forest, but its populations in the Caatinga Forest are currently at risk due to increased deforestation in the region (Sobrinho et al. 2016; Souza et al. 2020; Canale et al. 2021) and the historical scarcity of conservation efforts directed to dry tropical forests (Leal et al. 2005; Santos et al. 2011). Nevertheless, it has been confirmed to occur in several public and private protected areas (Canale et al. 2021). The conservation actions are conducted by researchers </w:t>
            </w:r>
            <w:r>
              <w:rPr>
                <w:rFonts w:ascii="Times New Roman" w:eastAsia="Times New Roman" w:hAnsi="Times New Roman" w:cs="Times New Roman"/>
                <w:sz w:val="18"/>
                <w:szCs w:val="18"/>
              </w:rPr>
              <w:lastRenderedPageBreak/>
              <w:t>and institutions involved in the National Action Plan for the Northeastern Primates (Canale et al. 2021).</w:t>
            </w:r>
          </w:p>
        </w:tc>
      </w:tr>
      <w:tr w:rsidR="0072616B" w14:paraId="209A290B" w14:textId="77777777">
        <w:trPr>
          <w:trHeight w:val="953"/>
          <w:jc w:val="center"/>
        </w:trPr>
        <w:tc>
          <w:tcPr>
            <w:tcW w:w="1695" w:type="dxa"/>
            <w:tcBorders>
              <w:top w:val="single" w:sz="4" w:space="0" w:color="ADADAD"/>
              <w:bottom w:val="single" w:sz="4" w:space="0" w:color="ADADAD"/>
            </w:tcBorders>
            <w:vAlign w:val="center"/>
          </w:tcPr>
          <w:p w14:paraId="3D6D8928" w14:textId="77777777" w:rsidR="0072616B" w:rsidRDefault="00000000">
            <w:pPr>
              <w:spacing w:line="36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lastRenderedPageBreak/>
              <w:t xml:space="preserve">Callithrix </w:t>
            </w:r>
            <w:proofErr w:type="spellStart"/>
            <w:r>
              <w:rPr>
                <w:rFonts w:ascii="Times New Roman" w:eastAsia="Times New Roman" w:hAnsi="Times New Roman" w:cs="Times New Roman"/>
                <w:i/>
                <w:iCs/>
                <w:sz w:val="18"/>
                <w:szCs w:val="18"/>
              </w:rPr>
              <w:t>flaviceps</w:t>
            </w:r>
            <w:proofErr w:type="spellEnd"/>
          </w:p>
        </w:tc>
        <w:tc>
          <w:tcPr>
            <w:tcW w:w="1560" w:type="dxa"/>
            <w:tcBorders>
              <w:top w:val="single" w:sz="4" w:space="0" w:color="ADADAD"/>
              <w:bottom w:val="single" w:sz="4" w:space="0" w:color="ADADAD"/>
            </w:tcBorders>
            <w:vAlign w:val="center"/>
          </w:tcPr>
          <w:p w14:paraId="2E3392C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2022-2023 (Melo et al. 2022)</w:t>
            </w:r>
          </w:p>
        </w:tc>
        <w:tc>
          <w:tcPr>
            <w:tcW w:w="1575" w:type="dxa"/>
            <w:tcBorders>
              <w:top w:val="single" w:sz="4" w:space="0" w:color="ADADAD"/>
              <w:bottom w:val="single" w:sz="4" w:space="0" w:color="ADADAD"/>
            </w:tcBorders>
            <w:vAlign w:val="center"/>
          </w:tcPr>
          <w:p w14:paraId="0B93C96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Restricted range; Habitat loss and fragmentation; Hybridization; Population reduction; Yellow fever.</w:t>
            </w:r>
          </w:p>
        </w:tc>
        <w:tc>
          <w:tcPr>
            <w:tcW w:w="1680" w:type="dxa"/>
            <w:tcBorders>
              <w:top w:val="single" w:sz="4" w:space="0" w:color="ADADAD"/>
              <w:bottom w:val="single" w:sz="4" w:space="0" w:color="ADADAD"/>
            </w:tcBorders>
            <w:vAlign w:val="center"/>
          </w:tcPr>
          <w:p w14:paraId="3FA2ECE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686659D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3992633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Melo et al. 2021a</w:t>
            </w:r>
          </w:p>
        </w:tc>
        <w:tc>
          <w:tcPr>
            <w:tcW w:w="2415" w:type="dxa"/>
            <w:tcBorders>
              <w:top w:val="single" w:sz="4" w:space="0" w:color="ADADAD"/>
              <w:bottom w:val="single" w:sz="4" w:space="0" w:color="ADADAD"/>
            </w:tcBorders>
            <w:vAlign w:val="center"/>
          </w:tcPr>
          <w:p w14:paraId="3FF5902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a high proportion of roads and a high proportion of fragmented landscapes (with less than 30% habitat cover),</w:t>
            </w:r>
            <w:r>
              <w:t xml:space="preserve"> </w:t>
            </w:r>
            <w:r>
              <w:rPr>
                <w:rFonts w:ascii="Times New Roman" w:eastAsia="Times New Roman" w:hAnsi="Times New Roman" w:cs="Times New Roman"/>
                <w:sz w:val="18"/>
                <w:szCs w:val="18"/>
              </w:rPr>
              <w:t>as well as habitat loss over the last 10 years within its range (between 2007 and 2017).</w:t>
            </w:r>
          </w:p>
        </w:tc>
        <w:tc>
          <w:tcPr>
            <w:tcW w:w="4110" w:type="dxa"/>
            <w:tcBorders>
              <w:top w:val="single" w:sz="4" w:space="0" w:color="ADADAD"/>
              <w:bottom w:val="single" w:sz="4" w:space="0" w:color="ADADAD"/>
            </w:tcBorders>
            <w:vAlign w:val="center"/>
          </w:tcPr>
          <w:p w14:paraId="4AA7C0B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 of CITES from 1997 until 2023, which offers the highest level of protection for species affected by international trade in wild specimens (https://www.speciesplus.net/). It occurs in several public protected areas (Melo et al. 2021a).</w:t>
            </w:r>
          </w:p>
        </w:tc>
      </w:tr>
      <w:tr w:rsidR="0072616B" w14:paraId="7D53B872" w14:textId="77777777">
        <w:trPr>
          <w:trHeight w:val="953"/>
          <w:jc w:val="center"/>
        </w:trPr>
        <w:tc>
          <w:tcPr>
            <w:tcW w:w="1695" w:type="dxa"/>
            <w:tcBorders>
              <w:top w:val="single" w:sz="4" w:space="0" w:color="ADADAD"/>
              <w:bottom w:val="single" w:sz="4" w:space="0" w:color="ADADAD"/>
            </w:tcBorders>
            <w:vAlign w:val="center"/>
          </w:tcPr>
          <w:p w14:paraId="552553AD"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Callithrix aurita</w:t>
            </w:r>
          </w:p>
        </w:tc>
        <w:tc>
          <w:tcPr>
            <w:tcW w:w="1560" w:type="dxa"/>
            <w:tcBorders>
              <w:top w:val="single" w:sz="4" w:space="0" w:color="ADADAD"/>
              <w:bottom w:val="single" w:sz="4" w:space="0" w:color="ADADAD"/>
            </w:tcBorders>
            <w:vAlign w:val="center"/>
          </w:tcPr>
          <w:p w14:paraId="1407F50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2018-2020</w:t>
            </w:r>
          </w:p>
          <w:p w14:paraId="104FFDF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(Carvalho et al. 2019)</w:t>
            </w:r>
          </w:p>
        </w:tc>
        <w:tc>
          <w:tcPr>
            <w:tcW w:w="1575" w:type="dxa"/>
            <w:tcBorders>
              <w:top w:val="single" w:sz="4" w:space="0" w:color="ADADAD"/>
              <w:bottom w:val="single" w:sz="4" w:space="0" w:color="ADADAD"/>
            </w:tcBorders>
            <w:vAlign w:val="center"/>
          </w:tcPr>
          <w:p w14:paraId="67CDA55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Habitat loss and fragmentation; Hybridization; Yellow fever.</w:t>
            </w:r>
          </w:p>
        </w:tc>
        <w:tc>
          <w:tcPr>
            <w:tcW w:w="1680" w:type="dxa"/>
            <w:tcBorders>
              <w:top w:val="single" w:sz="4" w:space="0" w:color="ADADAD"/>
              <w:bottom w:val="single" w:sz="4" w:space="0" w:color="ADADAD"/>
            </w:tcBorders>
            <w:vAlign w:val="center"/>
          </w:tcPr>
          <w:p w14:paraId="574D13E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43019D8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275" w:type="dxa"/>
            <w:tcBorders>
              <w:top w:val="single" w:sz="4" w:space="0" w:color="ADADAD"/>
              <w:bottom w:val="single" w:sz="4" w:space="0" w:color="ADADAD"/>
            </w:tcBorders>
            <w:vAlign w:val="center"/>
          </w:tcPr>
          <w:p w14:paraId="3005DDC6"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Melo et al. 2021b</w:t>
            </w:r>
          </w:p>
        </w:tc>
        <w:tc>
          <w:tcPr>
            <w:tcW w:w="2415" w:type="dxa"/>
            <w:tcBorders>
              <w:top w:val="single" w:sz="4" w:space="0" w:color="ADADAD"/>
              <w:bottom w:val="single" w:sz="4" w:space="0" w:color="ADADAD"/>
            </w:tcBorders>
            <w:vAlign w:val="center"/>
          </w:tcPr>
          <w:p w14:paraId="6C19CD9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a high proportion of roads and urban areas within its range.</w:t>
            </w:r>
          </w:p>
        </w:tc>
        <w:tc>
          <w:tcPr>
            <w:tcW w:w="4110" w:type="dxa"/>
            <w:tcBorders>
              <w:top w:val="single" w:sz="4" w:space="0" w:color="ADADAD"/>
              <w:bottom w:val="single" w:sz="4" w:space="0" w:color="ADADAD"/>
            </w:tcBorders>
            <w:vAlign w:val="center"/>
          </w:tcPr>
          <w:p w14:paraId="34F02F4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 of CITES from 1997 until 2023, which offers the highest level of protection for species affected by international trade in wild specimens (</w:t>
            </w:r>
            <w:hyperlink r:id="rId5">
              <w:r w:rsidR="0072616B">
                <w:rPr>
                  <w:rFonts w:ascii="Times New Roman" w:eastAsia="Times New Roman" w:hAnsi="Times New Roman" w:cs="Times New Roman"/>
                  <w:sz w:val="18"/>
                  <w:szCs w:val="18"/>
                  <w:u w:val="single"/>
                </w:rPr>
                <w:t>https://www.speciespl</w:t>
              </w:r>
            </w:hyperlink>
            <w:r>
              <w:rPr>
                <w:rFonts w:ascii="Times New Roman" w:eastAsia="Times New Roman" w:hAnsi="Times New Roman" w:cs="Times New Roman"/>
                <w:sz w:val="18"/>
                <w:szCs w:val="18"/>
              </w:rPr>
              <w:t>). It occurs in several public and private protected areas (Melo et al. 2021b).</w:t>
            </w:r>
          </w:p>
        </w:tc>
      </w:tr>
      <w:tr w:rsidR="0072616B" w14:paraId="0E1BD002" w14:textId="77777777">
        <w:trPr>
          <w:trHeight w:val="953"/>
          <w:jc w:val="center"/>
        </w:trPr>
        <w:tc>
          <w:tcPr>
            <w:tcW w:w="1695" w:type="dxa"/>
            <w:tcBorders>
              <w:top w:val="single" w:sz="4" w:space="0" w:color="ADADAD"/>
              <w:bottom w:val="single" w:sz="4" w:space="0" w:color="ADADAD"/>
            </w:tcBorders>
            <w:vAlign w:val="center"/>
          </w:tcPr>
          <w:p w14:paraId="0FD7E9F3"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Alouatta </w:t>
            </w:r>
            <w:proofErr w:type="spellStart"/>
            <w:r>
              <w:rPr>
                <w:rFonts w:ascii="Times New Roman" w:eastAsia="Times New Roman" w:hAnsi="Times New Roman" w:cs="Times New Roman"/>
                <w:i/>
                <w:iCs/>
                <w:sz w:val="18"/>
                <w:szCs w:val="18"/>
              </w:rPr>
              <w:t>guariba</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clamitans</w:t>
            </w:r>
            <w:proofErr w:type="spellEnd"/>
            <w:r>
              <w:rPr>
                <w:rFonts w:ascii="Times New Roman" w:eastAsia="Times New Roman" w:hAnsi="Times New Roman" w:cs="Times New Roman"/>
                <w:i/>
                <w:iCs/>
                <w:sz w:val="18"/>
                <w:szCs w:val="18"/>
              </w:rPr>
              <w:t>**</w:t>
            </w:r>
          </w:p>
        </w:tc>
        <w:tc>
          <w:tcPr>
            <w:tcW w:w="1560" w:type="dxa"/>
            <w:tcBorders>
              <w:top w:val="single" w:sz="4" w:space="0" w:color="ADADAD"/>
              <w:bottom w:val="single" w:sz="4" w:space="0" w:color="ADADAD"/>
            </w:tcBorders>
            <w:vAlign w:val="center"/>
          </w:tcPr>
          <w:p w14:paraId="6936BE8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2018-2020</w:t>
            </w:r>
          </w:p>
          <w:p w14:paraId="74393F06"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(Buss et al. 2019);</w:t>
            </w:r>
          </w:p>
          <w:p w14:paraId="5333C98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2022-2023 (</w:t>
            </w:r>
            <w:proofErr w:type="spellStart"/>
            <w:r>
              <w:rPr>
                <w:rFonts w:ascii="Times New Roman" w:eastAsia="Times New Roman" w:hAnsi="Times New Roman" w:cs="Times New Roman"/>
                <w:sz w:val="18"/>
                <w:szCs w:val="18"/>
              </w:rPr>
              <w:t>Oklander</w:t>
            </w:r>
            <w:proofErr w:type="spellEnd"/>
            <w:r>
              <w:rPr>
                <w:rFonts w:ascii="Times New Roman" w:eastAsia="Times New Roman" w:hAnsi="Times New Roman" w:cs="Times New Roman"/>
                <w:sz w:val="18"/>
                <w:szCs w:val="18"/>
              </w:rPr>
              <w:t xml:space="preserve"> et al. 2022)</w:t>
            </w:r>
          </w:p>
        </w:tc>
        <w:tc>
          <w:tcPr>
            <w:tcW w:w="1575" w:type="dxa"/>
            <w:tcBorders>
              <w:top w:val="single" w:sz="4" w:space="0" w:color="ADADAD"/>
              <w:bottom w:val="single" w:sz="4" w:space="0" w:color="ADADAD"/>
            </w:tcBorders>
            <w:vAlign w:val="center"/>
          </w:tcPr>
          <w:p w14:paraId="04C7461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Habitat loss and fragmentation; Hunting; Pet trade/Trapping; Yellow fever; Urban proximity; Attacks by domestic dogs; Mistreatment; Electrocution; Road accidents.</w:t>
            </w:r>
          </w:p>
        </w:tc>
        <w:tc>
          <w:tcPr>
            <w:tcW w:w="1680" w:type="dxa"/>
            <w:tcBorders>
              <w:top w:val="single" w:sz="4" w:space="0" w:color="ADADAD"/>
              <w:bottom w:val="single" w:sz="4" w:space="0" w:color="ADADAD"/>
            </w:tcBorders>
            <w:vAlign w:val="center"/>
          </w:tcPr>
          <w:p w14:paraId="6BD8B87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7429C4C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275" w:type="dxa"/>
            <w:tcBorders>
              <w:top w:val="single" w:sz="4" w:space="0" w:color="ADADAD"/>
              <w:bottom w:val="single" w:sz="4" w:space="0" w:color="ADADAD"/>
            </w:tcBorders>
            <w:vAlign w:val="center"/>
          </w:tcPr>
          <w:p w14:paraId="017024B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2415" w:type="dxa"/>
            <w:tcBorders>
              <w:top w:val="single" w:sz="4" w:space="0" w:color="ADADAD"/>
              <w:bottom w:val="single" w:sz="4" w:space="0" w:color="ADADAD"/>
            </w:tcBorders>
            <w:vAlign w:val="center"/>
          </w:tcPr>
          <w:p w14:paraId="463D99D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a high proportion of roads and urban areas within its range, as well as a high proportion of fragmented landscapes (with less than 30% habitat cover).</w:t>
            </w:r>
          </w:p>
        </w:tc>
        <w:tc>
          <w:tcPr>
            <w:tcW w:w="4110" w:type="dxa"/>
            <w:tcBorders>
              <w:top w:val="single" w:sz="4" w:space="0" w:color="ADADAD"/>
              <w:bottom w:val="single" w:sz="4" w:space="0" w:color="ADADAD"/>
            </w:tcBorders>
            <w:vAlign w:val="center"/>
          </w:tcPr>
          <w:p w14:paraId="44445FC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II of CITES from 1997 until 2023 to prevent uses incompatible with its survival (</w:t>
            </w:r>
            <w:hyperlink r:id="rId6">
              <w:r w:rsidR="0072616B">
                <w:rPr>
                  <w:rFonts w:ascii="Times New Roman" w:eastAsia="Times New Roman" w:hAnsi="Times New Roman" w:cs="Times New Roman"/>
                  <w:sz w:val="18"/>
                  <w:szCs w:val="18"/>
                  <w:u w:val="single"/>
                </w:rPr>
                <w:t>https://www.speciesplus.net/</w:t>
              </w:r>
            </w:hyperlink>
            <w:r>
              <w:rPr>
                <w:rFonts w:ascii="Times New Roman" w:eastAsia="Times New Roman" w:hAnsi="Times New Roman" w:cs="Times New Roman"/>
                <w:sz w:val="18"/>
                <w:szCs w:val="18"/>
              </w:rPr>
              <w:t xml:space="preserve">). Since the early 1990s, research, environmental education, and management actions have been implemented by the </w:t>
            </w:r>
            <w:proofErr w:type="spellStart"/>
            <w:r>
              <w:rPr>
                <w:rFonts w:ascii="Times New Roman" w:eastAsia="Times New Roman" w:hAnsi="Times New Roman" w:cs="Times New Roman"/>
                <w:sz w:val="18"/>
                <w:szCs w:val="18"/>
              </w:rPr>
              <w:t>Bugio</w:t>
            </w:r>
            <w:proofErr w:type="spellEnd"/>
            <w:r>
              <w:rPr>
                <w:rFonts w:ascii="Times New Roman" w:eastAsia="Times New Roman" w:hAnsi="Times New Roman" w:cs="Times New Roman"/>
                <w:sz w:val="18"/>
                <w:szCs w:val="18"/>
              </w:rPr>
              <w:t xml:space="preserve"> Project in the northern region of the state of Santa Catarina (</w:t>
            </w:r>
            <w:proofErr w:type="spellStart"/>
            <w:r>
              <w:rPr>
                <w:rFonts w:ascii="Times New Roman" w:eastAsia="Times New Roman" w:hAnsi="Times New Roman" w:cs="Times New Roman"/>
                <w:sz w:val="20"/>
                <w:szCs w:val="20"/>
              </w:rPr>
              <w:t>Jerusalinsky</w:t>
            </w:r>
            <w:proofErr w:type="spellEnd"/>
            <w:r>
              <w:rPr>
                <w:rFonts w:ascii="Times New Roman" w:eastAsia="Times New Roman" w:hAnsi="Times New Roman" w:cs="Times New Roman"/>
                <w:sz w:val="20"/>
                <w:szCs w:val="20"/>
              </w:rPr>
              <w:t xml:space="preserve"> et al. 2021)</w:t>
            </w:r>
            <w:r>
              <w:rPr>
                <w:rFonts w:ascii="Times New Roman" w:eastAsia="Times New Roman" w:hAnsi="Times New Roman" w:cs="Times New Roman"/>
                <w:sz w:val="18"/>
                <w:szCs w:val="18"/>
              </w:rPr>
              <w:t>. In 1993, the Urban Monkeys Program implemented conservation actions that included the creation of new protected areas, environmental education activities, and the installation of rope bridges in the south of the city of Porto Alegre, aiming to minimize roadkill, dog attacks, and accidents involving electric shocks from public power lines (</w:t>
            </w:r>
            <w:proofErr w:type="spellStart"/>
            <w:r>
              <w:rPr>
                <w:rFonts w:ascii="Times New Roman" w:eastAsia="Times New Roman" w:hAnsi="Times New Roman" w:cs="Times New Roman"/>
                <w:sz w:val="18"/>
                <w:szCs w:val="18"/>
              </w:rPr>
              <w:t>Jerusalinsky</w:t>
            </w:r>
            <w:proofErr w:type="spellEnd"/>
            <w:r>
              <w:rPr>
                <w:rFonts w:ascii="Times New Roman" w:eastAsia="Times New Roman" w:hAnsi="Times New Roman" w:cs="Times New Roman"/>
                <w:sz w:val="18"/>
                <w:szCs w:val="18"/>
              </w:rPr>
              <w:t xml:space="preserve"> et al.,</w:t>
            </w:r>
            <w:r>
              <w:rPr>
                <w:rFonts w:ascii="Times New Roman" w:eastAsia="Times New Roman" w:hAnsi="Times New Roman" w:cs="Times New Roman"/>
                <w:sz w:val="20"/>
                <w:szCs w:val="20"/>
              </w:rPr>
              <w:t xml:space="preserve"> 2021</w:t>
            </w:r>
            <w:r>
              <w:rPr>
                <w:rFonts w:ascii="Times New Roman" w:eastAsia="Times New Roman" w:hAnsi="Times New Roman" w:cs="Times New Roman"/>
                <w:sz w:val="18"/>
                <w:szCs w:val="18"/>
              </w:rPr>
              <w:t>). The municipality of São Paulo has developed some reintroductions and environmental education activities for local communities (</w:t>
            </w:r>
            <w:proofErr w:type="spellStart"/>
            <w:r>
              <w:rPr>
                <w:rFonts w:ascii="Times New Roman" w:eastAsia="Times New Roman" w:hAnsi="Times New Roman" w:cs="Times New Roman"/>
                <w:sz w:val="20"/>
                <w:szCs w:val="20"/>
              </w:rPr>
              <w:t>Jerusalinsky</w:t>
            </w:r>
            <w:proofErr w:type="spellEnd"/>
            <w:r>
              <w:rPr>
                <w:rFonts w:ascii="Times New Roman" w:eastAsia="Times New Roman" w:hAnsi="Times New Roman" w:cs="Times New Roman"/>
                <w:sz w:val="20"/>
                <w:szCs w:val="20"/>
              </w:rPr>
              <w:t xml:space="preserve"> et al. 2021</w:t>
            </w:r>
            <w:r>
              <w:rPr>
                <w:rFonts w:ascii="Times New Roman" w:eastAsia="Times New Roman" w:hAnsi="Times New Roman" w:cs="Times New Roman"/>
                <w:sz w:val="18"/>
                <w:szCs w:val="18"/>
              </w:rPr>
              <w:t>).</w:t>
            </w:r>
          </w:p>
        </w:tc>
      </w:tr>
      <w:tr w:rsidR="0072616B" w14:paraId="03B18F64" w14:textId="77777777">
        <w:trPr>
          <w:trHeight w:val="953"/>
          <w:jc w:val="center"/>
        </w:trPr>
        <w:tc>
          <w:tcPr>
            <w:tcW w:w="1695" w:type="dxa"/>
            <w:tcBorders>
              <w:top w:val="single" w:sz="4" w:space="0" w:color="ADADAD"/>
              <w:bottom w:val="single" w:sz="4" w:space="0" w:color="ADADAD"/>
            </w:tcBorders>
            <w:vAlign w:val="center"/>
          </w:tcPr>
          <w:p w14:paraId="5C07875C"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lastRenderedPageBreak/>
              <w:t xml:space="preserve">Alouatta </w:t>
            </w:r>
            <w:proofErr w:type="spellStart"/>
            <w:r>
              <w:rPr>
                <w:rFonts w:ascii="Times New Roman" w:eastAsia="Times New Roman" w:hAnsi="Times New Roman" w:cs="Times New Roman"/>
                <w:i/>
                <w:iCs/>
                <w:sz w:val="18"/>
                <w:szCs w:val="18"/>
              </w:rPr>
              <w:t>guariba</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guariba</w:t>
            </w:r>
            <w:proofErr w:type="spellEnd"/>
            <w:r>
              <w:rPr>
                <w:rFonts w:ascii="Times New Roman" w:eastAsia="Times New Roman" w:hAnsi="Times New Roman" w:cs="Times New Roman"/>
                <w:i/>
                <w:iCs/>
                <w:sz w:val="18"/>
                <w:szCs w:val="18"/>
              </w:rPr>
              <w:t>**</w:t>
            </w:r>
          </w:p>
        </w:tc>
        <w:tc>
          <w:tcPr>
            <w:tcW w:w="1560" w:type="dxa"/>
            <w:tcBorders>
              <w:top w:val="single" w:sz="4" w:space="0" w:color="ADADAD"/>
              <w:bottom w:val="single" w:sz="4" w:space="0" w:color="ADADAD"/>
            </w:tcBorders>
            <w:vAlign w:val="center"/>
          </w:tcPr>
          <w:p w14:paraId="27E0BBD3"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2012-2014</w:t>
            </w:r>
          </w:p>
          <w:p w14:paraId="73925A9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2014-2016</w:t>
            </w:r>
          </w:p>
          <w:p w14:paraId="50AAB4B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2016-2018</w:t>
            </w:r>
          </w:p>
          <w:p w14:paraId="3FE2AFC2"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2012; Neves et al. 2015, 2017)</w:t>
            </w:r>
          </w:p>
          <w:p w14:paraId="767D8DEC"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2018-2020</w:t>
            </w:r>
          </w:p>
          <w:p w14:paraId="49BA9EE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(Buss et al. 2019);</w:t>
            </w:r>
          </w:p>
          <w:p w14:paraId="176DF93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2022-2023 (</w:t>
            </w:r>
            <w:proofErr w:type="spellStart"/>
            <w:r>
              <w:rPr>
                <w:rFonts w:ascii="Times New Roman" w:eastAsia="Times New Roman" w:hAnsi="Times New Roman" w:cs="Times New Roman"/>
                <w:sz w:val="18"/>
                <w:szCs w:val="18"/>
              </w:rPr>
              <w:t>Oklander</w:t>
            </w:r>
            <w:proofErr w:type="spellEnd"/>
            <w:r>
              <w:rPr>
                <w:rFonts w:ascii="Times New Roman" w:eastAsia="Times New Roman" w:hAnsi="Times New Roman" w:cs="Times New Roman"/>
                <w:sz w:val="18"/>
                <w:szCs w:val="18"/>
              </w:rPr>
              <w:t xml:space="preserve"> et al. 2022)</w:t>
            </w:r>
          </w:p>
        </w:tc>
        <w:tc>
          <w:tcPr>
            <w:tcW w:w="1575" w:type="dxa"/>
            <w:tcBorders>
              <w:top w:val="single" w:sz="4" w:space="0" w:color="ADADAD"/>
              <w:bottom w:val="single" w:sz="4" w:space="0" w:color="ADADAD"/>
            </w:tcBorders>
            <w:vAlign w:val="center"/>
          </w:tcPr>
          <w:p w14:paraId="70FEF79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Habitat loss and fragmentation; Hunting; Pet trade/Trapping; Yellow fever; Urban proximity; Population size; Electrocution; Domestic dog attacks; Road accidents; Potential impact of COVID-19.</w:t>
            </w:r>
          </w:p>
        </w:tc>
        <w:tc>
          <w:tcPr>
            <w:tcW w:w="1680" w:type="dxa"/>
            <w:tcBorders>
              <w:top w:val="single" w:sz="4" w:space="0" w:color="ADADAD"/>
              <w:bottom w:val="single" w:sz="4" w:space="0" w:color="ADADAD"/>
            </w:tcBorders>
            <w:vAlign w:val="center"/>
          </w:tcPr>
          <w:p w14:paraId="006D4DA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7C499606"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2E0D5C8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2415" w:type="dxa"/>
            <w:tcBorders>
              <w:top w:val="single" w:sz="4" w:space="0" w:color="ADADAD"/>
              <w:bottom w:val="single" w:sz="4" w:space="0" w:color="ADADAD"/>
            </w:tcBorders>
            <w:vAlign w:val="center"/>
          </w:tcPr>
          <w:p w14:paraId="51A30E6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a high proportion of roads and urban areas within its range, as well as a high proportion of fragmented landscapes (with less than 30% habitat cover).</w:t>
            </w:r>
          </w:p>
        </w:tc>
        <w:tc>
          <w:tcPr>
            <w:tcW w:w="4110" w:type="dxa"/>
            <w:tcBorders>
              <w:top w:val="single" w:sz="4" w:space="0" w:color="ADADAD"/>
              <w:bottom w:val="single" w:sz="4" w:space="0" w:color="ADADAD"/>
            </w:tcBorders>
            <w:vAlign w:val="center"/>
          </w:tcPr>
          <w:p w14:paraId="776BF56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II of CITES from 1997 until 2023 to prevent uses incompatible with its survival (https://www.speciesplus.net/). It was included in the National Action Plan for the Central Atlantic Forest, which focuses on research and management of the species and its habitats (</w:t>
            </w:r>
            <w:proofErr w:type="spellStart"/>
            <w:r>
              <w:rPr>
                <w:rFonts w:ascii="Times New Roman" w:eastAsia="Times New Roman" w:hAnsi="Times New Roman" w:cs="Times New Roman"/>
                <w:sz w:val="20"/>
                <w:szCs w:val="20"/>
              </w:rPr>
              <w:t>Jerusalinsky</w:t>
            </w:r>
            <w:proofErr w:type="spellEnd"/>
            <w:r>
              <w:rPr>
                <w:rFonts w:ascii="Times New Roman" w:eastAsia="Times New Roman" w:hAnsi="Times New Roman" w:cs="Times New Roman"/>
                <w:sz w:val="20"/>
                <w:szCs w:val="20"/>
              </w:rPr>
              <w:t xml:space="preserve"> et al. 2021)</w:t>
            </w:r>
            <w:r>
              <w:rPr>
                <w:rFonts w:ascii="Times New Roman" w:eastAsia="Times New Roman" w:hAnsi="Times New Roman" w:cs="Times New Roman"/>
                <w:sz w:val="18"/>
                <w:szCs w:val="18"/>
              </w:rPr>
              <w:t xml:space="preserve">. The Red-Howler Project is developing research and management actions, with support from the Rain Forest Trust, the Primate Action Fund (CI), and the Mohamed </w:t>
            </w:r>
            <w:proofErr w:type="spellStart"/>
            <w:r>
              <w:rPr>
                <w:rFonts w:ascii="Times New Roman" w:eastAsia="Times New Roman" w:hAnsi="Times New Roman" w:cs="Times New Roman"/>
                <w:sz w:val="18"/>
                <w:szCs w:val="18"/>
              </w:rPr>
              <w:t>BinZayed</w:t>
            </w:r>
            <w:proofErr w:type="spellEnd"/>
            <w:r>
              <w:rPr>
                <w:rFonts w:ascii="Times New Roman" w:eastAsia="Times New Roman" w:hAnsi="Times New Roman" w:cs="Times New Roman"/>
                <w:sz w:val="18"/>
                <w:szCs w:val="18"/>
              </w:rPr>
              <w:t xml:space="preserve"> Fund (</w:t>
            </w:r>
            <w:proofErr w:type="spellStart"/>
            <w:r>
              <w:rPr>
                <w:rFonts w:ascii="Times New Roman" w:eastAsia="Times New Roman" w:hAnsi="Times New Roman" w:cs="Times New Roman"/>
                <w:sz w:val="20"/>
                <w:szCs w:val="20"/>
              </w:rPr>
              <w:t>Jerusalinsky</w:t>
            </w:r>
            <w:proofErr w:type="spellEnd"/>
            <w:r>
              <w:rPr>
                <w:rFonts w:ascii="Times New Roman" w:eastAsia="Times New Roman" w:hAnsi="Times New Roman" w:cs="Times New Roman"/>
                <w:sz w:val="20"/>
                <w:szCs w:val="20"/>
              </w:rPr>
              <w:t xml:space="preserve"> et al. 2021)</w:t>
            </w:r>
            <w:r>
              <w:rPr>
                <w:rFonts w:ascii="Times New Roman" w:eastAsia="Times New Roman" w:hAnsi="Times New Roman" w:cs="Times New Roman"/>
                <w:sz w:val="18"/>
                <w:szCs w:val="18"/>
              </w:rPr>
              <w:t xml:space="preserve">. Activities include the release of howler monkeys that were illegally kept in captivity (Serra Bonita, </w:t>
            </w:r>
            <w:proofErr w:type="spellStart"/>
            <w:r>
              <w:rPr>
                <w:rFonts w:ascii="Times New Roman" w:eastAsia="Times New Roman" w:hAnsi="Times New Roman" w:cs="Times New Roman"/>
                <w:sz w:val="18"/>
                <w:szCs w:val="18"/>
              </w:rPr>
              <w:t>Camacan</w:t>
            </w:r>
            <w:proofErr w:type="spellEnd"/>
            <w:r>
              <w:rPr>
                <w:rFonts w:ascii="Times New Roman" w:eastAsia="Times New Roman" w:hAnsi="Times New Roman" w:cs="Times New Roman"/>
                <w:sz w:val="18"/>
                <w:szCs w:val="18"/>
              </w:rPr>
              <w:t>, Bahia) and the management of a complex of private reserves covering more than 2,000 hectares (</w:t>
            </w:r>
            <w:proofErr w:type="spellStart"/>
            <w:r>
              <w:rPr>
                <w:rFonts w:ascii="Times New Roman" w:eastAsia="Times New Roman" w:hAnsi="Times New Roman" w:cs="Times New Roman"/>
                <w:sz w:val="20"/>
                <w:szCs w:val="20"/>
              </w:rPr>
              <w:t>Jerusalinsky</w:t>
            </w:r>
            <w:proofErr w:type="spellEnd"/>
            <w:r>
              <w:rPr>
                <w:rFonts w:ascii="Times New Roman" w:eastAsia="Times New Roman" w:hAnsi="Times New Roman" w:cs="Times New Roman"/>
                <w:sz w:val="20"/>
                <w:szCs w:val="20"/>
              </w:rPr>
              <w:t xml:space="preserve"> et al. 2021</w:t>
            </w:r>
            <w:r>
              <w:rPr>
                <w:rFonts w:ascii="Times New Roman" w:eastAsia="Times New Roman" w:hAnsi="Times New Roman" w:cs="Times New Roman"/>
                <w:sz w:val="18"/>
                <w:szCs w:val="18"/>
              </w:rPr>
              <w:t>).</w:t>
            </w:r>
          </w:p>
        </w:tc>
      </w:tr>
      <w:tr w:rsidR="0072616B" w14:paraId="200F1524" w14:textId="77777777">
        <w:trPr>
          <w:trHeight w:val="953"/>
          <w:jc w:val="center"/>
        </w:trPr>
        <w:tc>
          <w:tcPr>
            <w:tcW w:w="1695" w:type="dxa"/>
            <w:tcBorders>
              <w:top w:val="single" w:sz="4" w:space="0" w:color="ADADAD"/>
              <w:bottom w:val="single" w:sz="4" w:space="0" w:color="ADADAD"/>
            </w:tcBorders>
            <w:vAlign w:val="center"/>
          </w:tcPr>
          <w:p w14:paraId="4DD69A43"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Sapajus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flavius</w:t>
            </w:r>
            <w:proofErr w:type="spellEnd"/>
          </w:p>
        </w:tc>
        <w:tc>
          <w:tcPr>
            <w:tcW w:w="1560" w:type="dxa"/>
            <w:tcBorders>
              <w:top w:val="single" w:sz="4" w:space="0" w:color="ADADAD"/>
              <w:bottom w:val="single" w:sz="4" w:space="0" w:color="ADADAD"/>
            </w:tcBorders>
            <w:vAlign w:val="center"/>
          </w:tcPr>
          <w:p w14:paraId="3CE8D94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2010-2012</w:t>
            </w:r>
          </w:p>
          <w:p w14:paraId="4BE34F1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2012)</w:t>
            </w:r>
          </w:p>
        </w:tc>
        <w:tc>
          <w:tcPr>
            <w:tcW w:w="1575" w:type="dxa"/>
            <w:tcBorders>
              <w:top w:val="single" w:sz="4" w:space="0" w:color="ADADAD"/>
              <w:bottom w:val="single" w:sz="4" w:space="0" w:color="ADADAD"/>
            </w:tcBorders>
            <w:vAlign w:val="center"/>
          </w:tcPr>
          <w:p w14:paraId="6A5DA282"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Habitat loss and fragmentation; Hunting; Population size.</w:t>
            </w:r>
          </w:p>
        </w:tc>
        <w:tc>
          <w:tcPr>
            <w:tcW w:w="1680" w:type="dxa"/>
            <w:tcBorders>
              <w:top w:val="single" w:sz="4" w:space="0" w:color="ADADAD"/>
              <w:bottom w:val="single" w:sz="4" w:space="0" w:color="ADADAD"/>
            </w:tcBorders>
            <w:vAlign w:val="center"/>
          </w:tcPr>
          <w:p w14:paraId="253032D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451A2A62"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275" w:type="dxa"/>
            <w:tcBorders>
              <w:top w:val="single" w:sz="4" w:space="0" w:color="ADADAD"/>
              <w:bottom w:val="single" w:sz="4" w:space="0" w:color="ADADAD"/>
            </w:tcBorders>
            <w:vAlign w:val="center"/>
          </w:tcPr>
          <w:p w14:paraId="17D8BCC2" w14:textId="77777777" w:rsidR="0072616B" w:rsidRPr="00BB2186" w:rsidRDefault="00000000">
            <w:pPr>
              <w:spacing w:line="360" w:lineRule="auto"/>
              <w:jc w:val="both"/>
              <w:rPr>
                <w:rFonts w:ascii="Times New Roman" w:eastAsia="Times New Roman" w:hAnsi="Times New Roman" w:cs="Times New Roman"/>
                <w:sz w:val="18"/>
                <w:szCs w:val="18"/>
                <w:lang w:val="pt-BR"/>
              </w:rPr>
            </w:pPr>
            <w:r w:rsidRPr="00BB2186">
              <w:rPr>
                <w:rFonts w:ascii="Times New Roman" w:eastAsia="Times New Roman" w:hAnsi="Times New Roman" w:cs="Times New Roman"/>
                <w:sz w:val="18"/>
                <w:szCs w:val="18"/>
                <w:lang w:val="pt-BR"/>
              </w:rPr>
              <w:t>Valença-Montenegro et al. 2021a</w:t>
            </w:r>
          </w:p>
        </w:tc>
        <w:tc>
          <w:tcPr>
            <w:tcW w:w="2415" w:type="dxa"/>
            <w:tcBorders>
              <w:top w:val="single" w:sz="4" w:space="0" w:color="ADADAD"/>
              <w:bottom w:val="single" w:sz="4" w:space="0" w:color="ADADAD"/>
            </w:tcBorders>
            <w:vAlign w:val="center"/>
          </w:tcPr>
          <w:p w14:paraId="70CE1911" w14:textId="257056E6"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Populations rediscovered in the wild in 2006 (Oliveira &amp; Langguth 2006; Pontes et al. 2006), worryingly, currently occupy </w:t>
            </w:r>
            <w:r w:rsidRPr="00EE2F89">
              <w:rPr>
                <w:rFonts w:ascii="Times New Roman" w:eastAsia="Times New Roman" w:hAnsi="Times New Roman" w:cs="Times New Roman"/>
                <w:sz w:val="18"/>
                <w:szCs w:val="18"/>
              </w:rPr>
              <w:t xml:space="preserve">landscapes greatly affected by </w:t>
            </w:r>
            <w:r w:rsidR="00BB2186" w:rsidRPr="00AC2F17">
              <w:rPr>
                <w:rFonts w:ascii="Times New Roman" w:eastAsia="Times New Roman" w:hAnsi="Times New Roman" w:cs="Times New Roman"/>
                <w:color w:val="004F88"/>
                <w:sz w:val="18"/>
                <w:szCs w:val="18"/>
              </w:rPr>
              <w:t>road</w:t>
            </w:r>
            <w:r w:rsidRPr="00AC2F17">
              <w:rPr>
                <w:rFonts w:ascii="Times New Roman" w:eastAsia="Times New Roman" w:hAnsi="Times New Roman" w:cs="Times New Roman"/>
                <w:color w:val="004F88"/>
                <w:sz w:val="18"/>
                <w:szCs w:val="18"/>
              </w:rPr>
              <w:t>s</w:t>
            </w:r>
            <w:r w:rsidRPr="00EE2F8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and urban areas in the Atlantic Forest.</w:t>
            </w:r>
          </w:p>
        </w:tc>
        <w:tc>
          <w:tcPr>
            <w:tcW w:w="4110" w:type="dxa"/>
            <w:tcBorders>
              <w:top w:val="single" w:sz="4" w:space="0" w:color="ADADAD"/>
              <w:bottom w:val="single" w:sz="4" w:space="0" w:color="ADADAD"/>
            </w:tcBorders>
            <w:vAlign w:val="center"/>
          </w:tcPr>
          <w:p w14:paraId="2DA4A30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II of CITES from 1997 until 2023 to prevent uses incompatible with its survival (</w:t>
            </w:r>
            <w:hyperlink r:id="rId7">
              <w:r w:rsidR="0072616B">
                <w:rPr>
                  <w:rFonts w:ascii="Times New Roman" w:eastAsia="Times New Roman" w:hAnsi="Times New Roman" w:cs="Times New Roman"/>
                  <w:sz w:val="18"/>
                  <w:szCs w:val="18"/>
                  <w:u w:val="single"/>
                </w:rPr>
                <w:t>https://www.speciesplus.net/</w:t>
              </w:r>
            </w:hyperlink>
            <w:r>
              <w:rPr>
                <w:rFonts w:ascii="Times New Roman" w:eastAsia="Times New Roman" w:hAnsi="Times New Roman" w:cs="Times New Roman"/>
                <w:sz w:val="18"/>
                <w:szCs w:val="18"/>
              </w:rPr>
              <w:t xml:space="preserve">), as </w:t>
            </w:r>
            <w:r>
              <w:rPr>
                <w:rFonts w:ascii="Times New Roman" w:eastAsia="Times New Roman" w:hAnsi="Times New Roman" w:cs="Times New Roman"/>
                <w:i/>
                <w:iCs/>
                <w:sz w:val="18"/>
                <w:szCs w:val="18"/>
              </w:rPr>
              <w:t xml:space="preserve">Cebus </w:t>
            </w:r>
            <w:proofErr w:type="spellStart"/>
            <w:r>
              <w:rPr>
                <w:rFonts w:ascii="Times New Roman" w:eastAsia="Times New Roman" w:hAnsi="Times New Roman" w:cs="Times New Roman"/>
                <w:i/>
                <w:iCs/>
                <w:sz w:val="18"/>
                <w:szCs w:val="18"/>
              </w:rPr>
              <w:t>flavius</w:t>
            </w:r>
            <w:proofErr w:type="spellEnd"/>
            <w:r>
              <w:rPr>
                <w:rFonts w:ascii="Times New Roman" w:eastAsia="Times New Roman" w:hAnsi="Times New Roman" w:cs="Times New Roman"/>
                <w:sz w:val="18"/>
                <w:szCs w:val="18"/>
              </w:rPr>
              <w:t>. It has been targeted by the Brazilian National Action Plan for the Conservation of Primates in the Northeast (</w:t>
            </w:r>
            <w:proofErr w:type="spellStart"/>
            <w:r>
              <w:rPr>
                <w:rFonts w:ascii="Times New Roman" w:eastAsia="Times New Roman" w:hAnsi="Times New Roman" w:cs="Times New Roman"/>
                <w:sz w:val="18"/>
                <w:szCs w:val="18"/>
              </w:rPr>
              <w:t>PANPriNE</w:t>
            </w:r>
            <w:proofErr w:type="spellEnd"/>
            <w:r>
              <w:rPr>
                <w:rFonts w:ascii="Times New Roman" w:eastAsia="Times New Roman" w:hAnsi="Times New Roman" w:cs="Times New Roman"/>
                <w:sz w:val="18"/>
                <w:szCs w:val="18"/>
              </w:rPr>
              <w:t>), (Valença-Montenegro et al. 2021a), receiving more attention from research since its rediscovery in the wild in 2006. The Blonde Capuchin Project (</w:t>
            </w:r>
            <w:proofErr w:type="spellStart"/>
            <w:r>
              <w:rPr>
                <w:rFonts w:ascii="Times New Roman" w:eastAsia="Times New Roman" w:hAnsi="Times New Roman" w:cs="Times New Roman"/>
                <w:sz w:val="18"/>
                <w:szCs w:val="18"/>
              </w:rPr>
              <w:t>Projeto</w:t>
            </w:r>
            <w:proofErr w:type="spellEnd"/>
            <w:r>
              <w:rPr>
                <w:rFonts w:ascii="Times New Roman" w:eastAsia="Times New Roman" w:hAnsi="Times New Roman" w:cs="Times New Roman"/>
                <w:sz w:val="18"/>
                <w:szCs w:val="18"/>
              </w:rPr>
              <w:t xml:space="preserve"> Galego), for instance, began in 2010, focusing on scientific research and human resources training to promote the conservation of the species. In 2018, the </w:t>
            </w:r>
            <w:proofErr w:type="gramStart"/>
            <w:r>
              <w:rPr>
                <w:rFonts w:ascii="Times New Roman" w:eastAsia="Times New Roman" w:hAnsi="Times New Roman" w:cs="Times New Roman"/>
                <w:sz w:val="18"/>
                <w:szCs w:val="18"/>
              </w:rPr>
              <w:t>Blonde</w:t>
            </w:r>
            <w:proofErr w:type="gramEnd"/>
            <w:r>
              <w:rPr>
                <w:rFonts w:ascii="Times New Roman" w:eastAsia="Times New Roman" w:hAnsi="Times New Roman" w:cs="Times New Roman"/>
                <w:sz w:val="18"/>
                <w:szCs w:val="18"/>
              </w:rPr>
              <w:t xml:space="preserve"> capuchin project started capacity building of local teachers, students' sensitization, and other outreach and science popularization activities to promote community engagement (https://www.mapacultural.pe.gov.br/projeto/3220/#info). The species threat category has changed from CR </w:t>
            </w:r>
            <w:r>
              <w:rPr>
                <w:rFonts w:ascii="Times New Roman" w:eastAsia="Times New Roman" w:hAnsi="Times New Roman" w:cs="Times New Roman"/>
                <w:sz w:val="18"/>
                <w:szCs w:val="18"/>
              </w:rPr>
              <w:lastRenderedPageBreak/>
              <w:t xml:space="preserve">to EN. </w:t>
            </w:r>
            <w:r w:rsidRPr="00BB2186">
              <w:rPr>
                <w:rFonts w:ascii="Times New Roman" w:eastAsia="Times New Roman" w:hAnsi="Times New Roman" w:cs="Times New Roman"/>
                <w:sz w:val="18"/>
                <w:szCs w:val="18"/>
                <w:lang w:val="pt-BR"/>
              </w:rPr>
              <w:t xml:space="preserve">The </w:t>
            </w:r>
            <w:proofErr w:type="spellStart"/>
            <w:r w:rsidRPr="00BB2186">
              <w:rPr>
                <w:rFonts w:ascii="Times New Roman" w:eastAsia="Times New Roman" w:hAnsi="Times New Roman" w:cs="Times New Roman"/>
                <w:sz w:val="18"/>
                <w:szCs w:val="18"/>
                <w:lang w:val="pt-BR"/>
              </w:rPr>
              <w:t>species</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is</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targeted</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by</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two</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recently</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created</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state</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public</w:t>
            </w:r>
            <w:proofErr w:type="spellEnd"/>
            <w:r w:rsidRPr="00BB2186">
              <w:rPr>
                <w:rFonts w:ascii="Times New Roman" w:eastAsia="Times New Roman" w:hAnsi="Times New Roman" w:cs="Times New Roman"/>
                <w:sz w:val="18"/>
                <w:szCs w:val="18"/>
                <w:lang w:val="pt-BR"/>
              </w:rPr>
              <w:t xml:space="preserve"> policies:  </w:t>
            </w:r>
            <w:proofErr w:type="spellStart"/>
            <w:r w:rsidRPr="00BB2186">
              <w:rPr>
                <w:rFonts w:ascii="Times New Roman" w:eastAsia="Times New Roman" w:hAnsi="Times New Roman" w:cs="Times New Roman"/>
                <w:sz w:val="18"/>
                <w:szCs w:val="18"/>
                <w:lang w:val="pt-BR"/>
              </w:rPr>
              <w:t>the</w:t>
            </w:r>
            <w:proofErr w:type="spellEnd"/>
            <w:r w:rsidRPr="00BB2186">
              <w:rPr>
                <w:rFonts w:ascii="Times New Roman" w:eastAsia="Times New Roman" w:hAnsi="Times New Roman" w:cs="Times New Roman"/>
                <w:sz w:val="18"/>
                <w:szCs w:val="18"/>
                <w:lang w:val="pt-BR"/>
              </w:rPr>
              <w:t xml:space="preserve"> </w:t>
            </w:r>
            <w:r w:rsidRPr="00BB2186">
              <w:rPr>
                <w:rFonts w:ascii="Times New Roman" w:eastAsia="Times New Roman" w:hAnsi="Times New Roman" w:cs="Times New Roman"/>
                <w:i/>
                <w:iCs/>
                <w:sz w:val="18"/>
                <w:szCs w:val="18"/>
                <w:lang w:val="pt-BR"/>
              </w:rPr>
              <w:t>Plano de Ação Estadual para Conservação de Primatas de Pernambuco</w:t>
            </w:r>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PAEPriPE</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created</w:t>
            </w:r>
            <w:proofErr w:type="spellEnd"/>
            <w:r w:rsidRPr="00BB2186">
              <w:rPr>
                <w:rFonts w:ascii="Times New Roman" w:eastAsia="Times New Roman" w:hAnsi="Times New Roman" w:cs="Times New Roman"/>
                <w:sz w:val="18"/>
                <w:szCs w:val="18"/>
                <w:lang w:val="pt-BR"/>
              </w:rPr>
              <w:t xml:space="preserve"> in 2024, </w:t>
            </w:r>
            <w:proofErr w:type="spellStart"/>
            <w:r w:rsidRPr="00BB2186">
              <w:rPr>
                <w:rFonts w:ascii="Times New Roman" w:eastAsia="Times New Roman" w:hAnsi="Times New Roman" w:cs="Times New Roman"/>
                <w:sz w:val="18"/>
                <w:szCs w:val="18"/>
                <w:lang w:val="pt-BR"/>
              </w:rPr>
              <w:t>and</w:t>
            </w:r>
            <w:proofErr w:type="spellEnd"/>
            <w:r w:rsidRPr="00BB2186">
              <w:rPr>
                <w:rFonts w:ascii="Times New Roman" w:eastAsia="Times New Roman" w:hAnsi="Times New Roman" w:cs="Times New Roman"/>
                <w:sz w:val="18"/>
                <w:szCs w:val="18"/>
                <w:lang w:val="pt-BR"/>
              </w:rPr>
              <w:t xml:space="preserve"> </w:t>
            </w:r>
            <w:proofErr w:type="spellStart"/>
            <w:r w:rsidRPr="00BB2186">
              <w:rPr>
                <w:rFonts w:ascii="Times New Roman" w:eastAsia="Times New Roman" w:hAnsi="Times New Roman" w:cs="Times New Roman"/>
                <w:sz w:val="18"/>
                <w:szCs w:val="18"/>
                <w:lang w:val="pt-BR"/>
              </w:rPr>
              <w:t>the</w:t>
            </w:r>
            <w:proofErr w:type="spellEnd"/>
            <w:r w:rsidRPr="00BB2186">
              <w:rPr>
                <w:rFonts w:ascii="Times New Roman" w:eastAsia="Times New Roman" w:hAnsi="Times New Roman" w:cs="Times New Roman"/>
                <w:sz w:val="18"/>
                <w:szCs w:val="18"/>
                <w:lang w:val="pt-BR"/>
              </w:rPr>
              <w:t xml:space="preserve"> </w:t>
            </w:r>
            <w:r w:rsidRPr="00BB2186">
              <w:rPr>
                <w:rFonts w:ascii="Times New Roman" w:eastAsia="Times New Roman" w:hAnsi="Times New Roman" w:cs="Times New Roman"/>
                <w:i/>
                <w:iCs/>
                <w:sz w:val="18"/>
                <w:szCs w:val="18"/>
                <w:lang w:val="pt-BR"/>
              </w:rPr>
              <w:t xml:space="preserve">Plano de Ação Estadual para Conservação do Macaco-prego-galego na Caatinga de Alagoas </w:t>
            </w:r>
            <w:r w:rsidRPr="00BB2186">
              <w:rPr>
                <w:rFonts w:ascii="Times New Roman" w:eastAsia="Times New Roman" w:hAnsi="Times New Roman" w:cs="Times New Roman"/>
                <w:sz w:val="18"/>
                <w:szCs w:val="18"/>
                <w:lang w:val="pt-BR"/>
              </w:rPr>
              <w:t xml:space="preserve">(PAE Galego), </w:t>
            </w:r>
            <w:proofErr w:type="spellStart"/>
            <w:r w:rsidRPr="00BB2186">
              <w:rPr>
                <w:rFonts w:ascii="Times New Roman" w:eastAsia="Times New Roman" w:hAnsi="Times New Roman" w:cs="Times New Roman"/>
                <w:sz w:val="18"/>
                <w:szCs w:val="18"/>
                <w:lang w:val="pt-BR"/>
              </w:rPr>
              <w:t>created</w:t>
            </w:r>
            <w:proofErr w:type="spellEnd"/>
            <w:r w:rsidRPr="00BB2186">
              <w:rPr>
                <w:rFonts w:ascii="Times New Roman" w:eastAsia="Times New Roman" w:hAnsi="Times New Roman" w:cs="Times New Roman"/>
                <w:sz w:val="18"/>
                <w:szCs w:val="18"/>
                <w:lang w:val="pt-BR"/>
              </w:rPr>
              <w:t xml:space="preserve"> in 2025. </w:t>
            </w:r>
            <w:r>
              <w:rPr>
                <w:rFonts w:ascii="Times New Roman" w:eastAsia="Times New Roman" w:hAnsi="Times New Roman" w:cs="Times New Roman"/>
                <w:sz w:val="18"/>
                <w:szCs w:val="18"/>
              </w:rPr>
              <w:t xml:space="preserve">The species has already been reported in several public and private protected areas (Valença-Montenegro et al., 2021a). </w:t>
            </w:r>
          </w:p>
        </w:tc>
      </w:tr>
      <w:tr w:rsidR="0072616B" w14:paraId="75CAAC0A" w14:textId="77777777">
        <w:trPr>
          <w:trHeight w:val="953"/>
          <w:jc w:val="center"/>
        </w:trPr>
        <w:tc>
          <w:tcPr>
            <w:tcW w:w="1695" w:type="dxa"/>
            <w:tcBorders>
              <w:top w:val="single" w:sz="4" w:space="0" w:color="ADADAD"/>
              <w:bottom w:val="single" w:sz="4" w:space="0" w:color="ADADAD"/>
            </w:tcBorders>
            <w:vAlign w:val="center"/>
          </w:tcPr>
          <w:p w14:paraId="7DAAD87F"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lastRenderedPageBreak/>
              <w:t>Leontopithecus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caissara</w:t>
            </w:r>
            <w:proofErr w:type="spellEnd"/>
          </w:p>
        </w:tc>
        <w:tc>
          <w:tcPr>
            <w:tcW w:w="1560" w:type="dxa"/>
            <w:tcBorders>
              <w:top w:val="single" w:sz="4" w:space="0" w:color="ADADAD"/>
              <w:bottom w:val="single" w:sz="4" w:space="0" w:color="ADADAD"/>
            </w:tcBorders>
            <w:vAlign w:val="center"/>
          </w:tcPr>
          <w:p w14:paraId="1E4078D9"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2000</w:t>
            </w:r>
          </w:p>
          <w:p w14:paraId="2A68E849"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2000)</w:t>
            </w:r>
          </w:p>
          <w:p w14:paraId="15A40EF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2002-2004</w:t>
            </w:r>
          </w:p>
          <w:p w14:paraId="51DFCAE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(Konstant et al. 2002)</w:t>
            </w:r>
          </w:p>
          <w:p w14:paraId="11784608"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2004-2006</w:t>
            </w:r>
          </w:p>
          <w:p w14:paraId="4E235E46"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(Aguiar et al. 2006)</w:t>
            </w:r>
          </w:p>
        </w:tc>
        <w:tc>
          <w:tcPr>
            <w:tcW w:w="1575" w:type="dxa"/>
            <w:tcBorders>
              <w:top w:val="single" w:sz="4" w:space="0" w:color="ADADAD"/>
              <w:bottom w:val="single" w:sz="4" w:space="0" w:color="ADADAD"/>
            </w:tcBorders>
            <w:vAlign w:val="center"/>
          </w:tcPr>
          <w:p w14:paraId="3DE4743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Population size; Habitat fragmentation; Restricted range.</w:t>
            </w:r>
          </w:p>
        </w:tc>
        <w:tc>
          <w:tcPr>
            <w:tcW w:w="1680" w:type="dxa"/>
            <w:tcBorders>
              <w:top w:val="single" w:sz="4" w:space="0" w:color="ADADAD"/>
              <w:bottom w:val="single" w:sz="4" w:space="0" w:color="ADADAD"/>
            </w:tcBorders>
            <w:vAlign w:val="center"/>
          </w:tcPr>
          <w:p w14:paraId="004AC164"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4EE9CC4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275" w:type="dxa"/>
            <w:tcBorders>
              <w:top w:val="single" w:sz="4" w:space="0" w:color="ADADAD"/>
              <w:bottom w:val="single" w:sz="4" w:space="0" w:color="ADADAD"/>
            </w:tcBorders>
            <w:vAlign w:val="center"/>
          </w:tcPr>
          <w:p w14:paraId="7A4EAD69"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Ludwig et al. 2021</w:t>
            </w:r>
          </w:p>
        </w:tc>
        <w:tc>
          <w:tcPr>
            <w:tcW w:w="2415" w:type="dxa"/>
            <w:tcBorders>
              <w:top w:val="single" w:sz="4" w:space="0" w:color="ADADAD"/>
              <w:bottom w:val="single" w:sz="4" w:space="0" w:color="ADADAD"/>
            </w:tcBorders>
            <w:vAlign w:val="center"/>
          </w:tcPr>
          <w:p w14:paraId="375F99C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i/>
                <w:iCs/>
                <w:sz w:val="18"/>
                <w:szCs w:val="18"/>
              </w:rPr>
              <w:t xml:space="preserve">L. </w:t>
            </w:r>
            <w:proofErr w:type="spellStart"/>
            <w:r>
              <w:rPr>
                <w:rFonts w:ascii="Times New Roman" w:eastAsia="Times New Roman" w:hAnsi="Times New Roman" w:cs="Times New Roman"/>
                <w:i/>
                <w:iCs/>
                <w:sz w:val="18"/>
                <w:szCs w:val="18"/>
              </w:rPr>
              <w:t>caissara</w:t>
            </w:r>
            <w:proofErr w:type="spellEnd"/>
            <w:r>
              <w:rPr>
                <w:rFonts w:ascii="Times New Roman" w:eastAsia="Times New Roman" w:hAnsi="Times New Roman" w:cs="Times New Roman"/>
                <w:sz w:val="18"/>
                <w:szCs w:val="18"/>
              </w:rPr>
              <w:t xml:space="preserve"> has the smallest range, with less than 1000 km</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w:t>
            </w:r>
            <w:r>
              <w:t xml:space="preserve"> </w:t>
            </w:r>
            <w:r>
              <w:rPr>
                <w:rFonts w:ascii="Times New Roman" w:eastAsia="Times New Roman" w:hAnsi="Times New Roman" w:cs="Times New Roman"/>
                <w:sz w:val="18"/>
                <w:szCs w:val="18"/>
              </w:rPr>
              <w:t>but the remaining landscape occupied by its population has well-preserved characteristics on a landscape scale.</w:t>
            </w:r>
          </w:p>
        </w:tc>
        <w:tc>
          <w:tcPr>
            <w:tcW w:w="4110" w:type="dxa"/>
            <w:tcBorders>
              <w:top w:val="single" w:sz="4" w:space="0" w:color="ADADAD"/>
              <w:bottom w:val="single" w:sz="4" w:space="0" w:color="ADADAD"/>
            </w:tcBorders>
            <w:vAlign w:val="center"/>
          </w:tcPr>
          <w:p w14:paraId="699AE18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 of CITES from 1997 until 2023, which offers the highest level of protection for species affected by international trade in wild specimens (https://www.speciesplus.net/). This species occurs in several protected areas in Paraná and São Paulo (Ludwig et al. 2021). Considerable efforts are being devoted to research on the species and the implementation of education programs, that contributed to conservation programs at the state and federal levels (e.g., National Action Plan for the Conservation of Mammals in the Central Atlantic Forest) (Nascimento et al. 2016; Ludwig et al. 2021), reflecting in the change of category, more recently, from Critically Endangered to Endangered (Ludwig et al. 2021; Nascimento et al. 2021). Over the past 10 years, IPÊ's efforts in São Paulo (2005-2014) have contributed to a 20-30% reduction in direct threats (Ludwig et al. 2021).</w:t>
            </w:r>
          </w:p>
        </w:tc>
      </w:tr>
      <w:tr w:rsidR="0072616B" w14:paraId="6D5EE526" w14:textId="77777777">
        <w:trPr>
          <w:trHeight w:val="953"/>
          <w:jc w:val="center"/>
        </w:trPr>
        <w:tc>
          <w:tcPr>
            <w:tcW w:w="1695" w:type="dxa"/>
            <w:tcBorders>
              <w:top w:val="single" w:sz="4" w:space="0" w:color="ADADAD"/>
              <w:bottom w:val="single" w:sz="4" w:space="0" w:color="ADADAD"/>
            </w:tcBorders>
            <w:vAlign w:val="center"/>
          </w:tcPr>
          <w:p w14:paraId="7B36FE14"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Leontopithecus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chrysopygus</w:t>
            </w:r>
            <w:proofErr w:type="spellEnd"/>
          </w:p>
        </w:tc>
        <w:tc>
          <w:tcPr>
            <w:tcW w:w="1560" w:type="dxa"/>
            <w:tcBorders>
              <w:top w:val="single" w:sz="4" w:space="0" w:color="ADADAD"/>
              <w:bottom w:val="single" w:sz="4" w:space="0" w:color="ADADAD"/>
            </w:tcBorders>
            <w:vAlign w:val="center"/>
          </w:tcPr>
          <w:p w14:paraId="07BE4E9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2000</w:t>
            </w:r>
          </w:p>
          <w:p w14:paraId="2ADA8E9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2000)</w:t>
            </w:r>
          </w:p>
        </w:tc>
        <w:tc>
          <w:tcPr>
            <w:tcW w:w="1575" w:type="dxa"/>
            <w:tcBorders>
              <w:top w:val="single" w:sz="4" w:space="0" w:color="ADADAD"/>
              <w:bottom w:val="single" w:sz="4" w:space="0" w:color="ADADAD"/>
            </w:tcBorders>
            <w:vAlign w:val="center"/>
          </w:tcPr>
          <w:p w14:paraId="1D9C06A0"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Isolated populations.</w:t>
            </w:r>
          </w:p>
        </w:tc>
        <w:tc>
          <w:tcPr>
            <w:tcW w:w="1680" w:type="dxa"/>
            <w:tcBorders>
              <w:top w:val="single" w:sz="4" w:space="0" w:color="ADADAD"/>
              <w:bottom w:val="single" w:sz="4" w:space="0" w:color="ADADAD"/>
            </w:tcBorders>
            <w:vAlign w:val="center"/>
          </w:tcPr>
          <w:p w14:paraId="05B6F993"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579140E3"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275" w:type="dxa"/>
            <w:tcBorders>
              <w:top w:val="single" w:sz="4" w:space="0" w:color="ADADAD"/>
              <w:bottom w:val="single" w:sz="4" w:space="0" w:color="ADADAD"/>
            </w:tcBorders>
            <w:vAlign w:val="center"/>
          </w:tcPr>
          <w:p w14:paraId="7A731F0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Rezende et al. 2020</w:t>
            </w:r>
          </w:p>
        </w:tc>
        <w:tc>
          <w:tcPr>
            <w:tcW w:w="2415" w:type="dxa"/>
            <w:tcBorders>
              <w:top w:val="single" w:sz="4" w:space="0" w:color="ADADAD"/>
              <w:bottom w:val="single" w:sz="4" w:space="0" w:color="ADADAD"/>
            </w:tcBorders>
            <w:vAlign w:val="center"/>
          </w:tcPr>
          <w:p w14:paraId="2D7B26B7"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High proportion of fragmented landscapes (with less than 30% habitat cover) within its range.</w:t>
            </w:r>
          </w:p>
        </w:tc>
        <w:tc>
          <w:tcPr>
            <w:tcW w:w="4110" w:type="dxa"/>
            <w:tcBorders>
              <w:top w:val="single" w:sz="4" w:space="0" w:color="ADADAD"/>
              <w:bottom w:val="single" w:sz="4" w:space="0" w:color="ADADAD"/>
            </w:tcBorders>
            <w:vAlign w:val="center"/>
          </w:tcPr>
          <w:p w14:paraId="6889110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It has been listed in Appendix I of CITES from 1997 until 2023, which offers the highest level of protection for species affected by international trade in wild specimens (https://www.speciesplus.net/). Management program (through translocations and reintroductions), research, environmental education, </w:t>
            </w:r>
            <w:r>
              <w:rPr>
                <w:rFonts w:ascii="Times New Roman" w:eastAsia="Times New Roman" w:hAnsi="Times New Roman" w:cs="Times New Roman"/>
                <w:sz w:val="18"/>
                <w:szCs w:val="18"/>
              </w:rPr>
              <w:lastRenderedPageBreak/>
              <w:t>creation of protected areas in remaining forest fragments, and forest corridors, provided for in the National Action Plan for the Conservation of Mammals in the Central Atlantic Forest (ICMBio 2010), in addition to the Emergency Plan for the Conservation of Primates in the State of São Paulo. It occurs in public and private protected areas in São Paulo (Rezende et al. 2020).</w:t>
            </w:r>
          </w:p>
        </w:tc>
      </w:tr>
      <w:tr w:rsidR="0072616B" w14:paraId="6F4A220F" w14:textId="77777777">
        <w:trPr>
          <w:trHeight w:val="953"/>
          <w:jc w:val="center"/>
        </w:trPr>
        <w:tc>
          <w:tcPr>
            <w:tcW w:w="1695" w:type="dxa"/>
            <w:tcBorders>
              <w:top w:val="single" w:sz="4" w:space="0" w:color="ADADAD"/>
              <w:bottom w:val="single" w:sz="4" w:space="0" w:color="ADADAD"/>
            </w:tcBorders>
            <w:vAlign w:val="center"/>
          </w:tcPr>
          <w:p w14:paraId="6C89D811"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lastRenderedPageBreak/>
              <w:t>Leontopithecus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rosalia</w:t>
            </w:r>
            <w:proofErr w:type="spellEnd"/>
          </w:p>
        </w:tc>
        <w:tc>
          <w:tcPr>
            <w:tcW w:w="1560" w:type="dxa"/>
            <w:tcBorders>
              <w:top w:val="single" w:sz="4" w:space="0" w:color="ADADAD"/>
              <w:bottom w:val="single" w:sz="4" w:space="0" w:color="ADADAD"/>
            </w:tcBorders>
            <w:vAlign w:val="center"/>
          </w:tcPr>
          <w:p w14:paraId="7F32E85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2000</w:t>
            </w:r>
          </w:p>
          <w:p w14:paraId="5F08BF5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2000)</w:t>
            </w:r>
          </w:p>
        </w:tc>
        <w:tc>
          <w:tcPr>
            <w:tcW w:w="1575" w:type="dxa"/>
            <w:tcBorders>
              <w:top w:val="single" w:sz="4" w:space="0" w:color="ADADAD"/>
              <w:bottom w:val="single" w:sz="4" w:space="0" w:color="ADADAD"/>
            </w:tcBorders>
            <w:vAlign w:val="center"/>
          </w:tcPr>
          <w:p w14:paraId="6DA1C6D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Population size; Habitat loss.</w:t>
            </w:r>
          </w:p>
        </w:tc>
        <w:tc>
          <w:tcPr>
            <w:tcW w:w="1680" w:type="dxa"/>
            <w:tcBorders>
              <w:top w:val="single" w:sz="4" w:space="0" w:color="ADADAD"/>
              <w:bottom w:val="single" w:sz="4" w:space="0" w:color="ADADAD"/>
            </w:tcBorders>
            <w:vAlign w:val="center"/>
          </w:tcPr>
          <w:p w14:paraId="7257376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16F5FEFB"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275" w:type="dxa"/>
            <w:tcBorders>
              <w:top w:val="single" w:sz="4" w:space="0" w:color="ADADAD"/>
              <w:bottom w:val="single" w:sz="4" w:space="0" w:color="ADADAD"/>
            </w:tcBorders>
            <w:vAlign w:val="center"/>
          </w:tcPr>
          <w:p w14:paraId="7643A771"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Ruiz-Miranda et al. 2021</w:t>
            </w:r>
          </w:p>
        </w:tc>
        <w:tc>
          <w:tcPr>
            <w:tcW w:w="2415" w:type="dxa"/>
            <w:tcBorders>
              <w:top w:val="single" w:sz="4" w:space="0" w:color="ADADAD"/>
              <w:bottom w:val="single" w:sz="4" w:space="0" w:color="ADADAD"/>
            </w:tcBorders>
            <w:vAlign w:val="center"/>
          </w:tcPr>
          <w:p w14:paraId="1C7B861A" w14:textId="3D18EE4A"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Occupy landscapes greatly affected by </w:t>
            </w:r>
            <w:r w:rsidR="00BB2186" w:rsidRPr="00AC2F17">
              <w:rPr>
                <w:rFonts w:ascii="Times New Roman" w:eastAsia="Times New Roman" w:hAnsi="Times New Roman" w:cs="Times New Roman"/>
                <w:color w:val="004F88"/>
                <w:sz w:val="18"/>
                <w:szCs w:val="18"/>
              </w:rPr>
              <w:t>road</w:t>
            </w:r>
            <w:r w:rsidRPr="00AC2F17">
              <w:rPr>
                <w:rFonts w:ascii="Times New Roman" w:eastAsia="Times New Roman" w:hAnsi="Times New Roman" w:cs="Times New Roman"/>
                <w:color w:val="004F88"/>
                <w:sz w:val="18"/>
                <w:szCs w:val="18"/>
              </w:rPr>
              <w:t>s</w:t>
            </w:r>
            <w:r w:rsidRPr="00EE2F8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in the Atlantic Forest.</w:t>
            </w:r>
          </w:p>
        </w:tc>
        <w:tc>
          <w:tcPr>
            <w:tcW w:w="4110" w:type="dxa"/>
            <w:tcBorders>
              <w:top w:val="single" w:sz="4" w:space="0" w:color="ADADAD"/>
              <w:bottom w:val="single" w:sz="4" w:space="0" w:color="ADADAD"/>
            </w:tcBorders>
            <w:vAlign w:val="center"/>
          </w:tcPr>
          <w:p w14:paraId="49D44439"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It has been listed in Appendix I of CITES from 1997 until 2023, which offers the highest level of protection for species affected by international trade in wild specimens (https://www.speciesplus.net/).</w:t>
            </w:r>
            <w:r>
              <w:t xml:space="preserve"> </w:t>
            </w:r>
            <w:r>
              <w:rPr>
                <w:rFonts w:ascii="Times New Roman" w:eastAsia="Times New Roman" w:hAnsi="Times New Roman" w:cs="Times New Roman"/>
                <w:sz w:val="18"/>
                <w:szCs w:val="18"/>
              </w:rPr>
              <w:t xml:space="preserve">The first conservation initiatives began with field research and a breeding program for the species in the late 1960s (Ruiz-Miranda et al. 2021). Another international breeding program and a </w:t>
            </w:r>
            <w:proofErr w:type="spellStart"/>
            <w:r>
              <w:rPr>
                <w:rFonts w:ascii="Times New Roman" w:eastAsia="Times New Roman" w:hAnsi="Times New Roman" w:cs="Times New Roman"/>
                <w:sz w:val="18"/>
                <w:szCs w:val="18"/>
              </w:rPr>
              <w:t>studybook</w:t>
            </w:r>
            <w:proofErr w:type="spellEnd"/>
            <w:r>
              <w:rPr>
                <w:rFonts w:ascii="Times New Roman" w:eastAsia="Times New Roman" w:hAnsi="Times New Roman" w:cs="Times New Roman"/>
                <w:sz w:val="18"/>
                <w:szCs w:val="18"/>
              </w:rPr>
              <w:t xml:space="preserve"> for captive populations were created. They initiated the Conservation Program at the National Zoo, Smithsonian Institution, in 1983 (Ruiz-Miranda et al. 2021), incorporated by the Brazilian NGO Golden Lion Tamarin Association (</w:t>
            </w:r>
            <w:proofErr w:type="spellStart"/>
            <w:r>
              <w:rPr>
                <w:rFonts w:ascii="Times New Roman" w:eastAsia="Times New Roman" w:hAnsi="Times New Roman" w:cs="Times New Roman"/>
                <w:i/>
                <w:iCs/>
                <w:sz w:val="18"/>
                <w:szCs w:val="18"/>
              </w:rPr>
              <w:t>Associação</w:t>
            </w:r>
            <w:proofErr w:type="spellEnd"/>
            <w:r>
              <w:rPr>
                <w:rFonts w:ascii="Times New Roman" w:eastAsia="Times New Roman" w:hAnsi="Times New Roman" w:cs="Times New Roman"/>
                <w:sz w:val="18"/>
                <w:szCs w:val="18"/>
              </w:rPr>
              <w:t xml:space="preserve"> </w:t>
            </w:r>
            <w:r>
              <w:rPr>
                <w:rFonts w:ascii="Times New Roman" w:eastAsia="Times New Roman" w:hAnsi="Times New Roman" w:cs="Times New Roman"/>
                <w:i/>
                <w:iCs/>
                <w:sz w:val="18"/>
                <w:szCs w:val="18"/>
              </w:rPr>
              <w:t>Mico Leão Dourado</w:t>
            </w:r>
            <w:r>
              <w:rPr>
                <w:rFonts w:ascii="Times New Roman" w:eastAsia="Times New Roman" w:hAnsi="Times New Roman" w:cs="Times New Roman"/>
                <w:sz w:val="18"/>
                <w:szCs w:val="18"/>
              </w:rPr>
              <w:t xml:space="preserve">), founded in 1993, which remains active and includes field research, reintroduction, environmental education, and habitat restoration programs (Ruiz-Miranda et al. 2021). Nowadays, conservation efforts are concentrated in the São João River Basin, which includes the </w:t>
            </w:r>
            <w:proofErr w:type="spellStart"/>
            <w:r>
              <w:rPr>
                <w:rFonts w:ascii="Times New Roman" w:eastAsia="Times New Roman" w:hAnsi="Times New Roman" w:cs="Times New Roman"/>
                <w:sz w:val="18"/>
                <w:szCs w:val="18"/>
              </w:rPr>
              <w:t>Poço</w:t>
            </w:r>
            <w:proofErr w:type="spellEnd"/>
            <w:r>
              <w:rPr>
                <w:rFonts w:ascii="Times New Roman" w:eastAsia="Times New Roman" w:hAnsi="Times New Roman" w:cs="Times New Roman"/>
                <w:sz w:val="18"/>
                <w:szCs w:val="18"/>
              </w:rPr>
              <w:t xml:space="preserve"> das Antas Biological Reserve, created in 1972, the </w:t>
            </w:r>
            <w:proofErr w:type="spellStart"/>
            <w:r>
              <w:rPr>
                <w:rFonts w:ascii="Times New Roman" w:eastAsia="Times New Roman" w:hAnsi="Times New Roman" w:cs="Times New Roman"/>
                <w:sz w:val="18"/>
                <w:szCs w:val="18"/>
              </w:rPr>
              <w:t>União</w:t>
            </w:r>
            <w:proofErr w:type="spellEnd"/>
            <w:r>
              <w:rPr>
                <w:rFonts w:ascii="Times New Roman" w:eastAsia="Times New Roman" w:hAnsi="Times New Roman" w:cs="Times New Roman"/>
                <w:sz w:val="18"/>
                <w:szCs w:val="18"/>
              </w:rPr>
              <w:t xml:space="preserve"> Biological Reserve, created in 2008, and the São João Mico-Leão-Dourado Federal Environmental Protection Area, created in 2002 (Ruiz-Miranda et al. 2021). The Golden Lion Tamarin Association has a strong and active strategic management plan for the conservation of the species </w:t>
            </w:r>
            <w:r>
              <w:rPr>
                <w:rFonts w:ascii="Times New Roman" w:eastAsia="Times New Roman" w:hAnsi="Times New Roman" w:cs="Times New Roman"/>
                <w:sz w:val="18"/>
                <w:szCs w:val="18"/>
              </w:rPr>
              <w:lastRenderedPageBreak/>
              <w:t>in its habitat and a captive population (Ruiz-Miranda et al. 2021).</w:t>
            </w:r>
          </w:p>
        </w:tc>
      </w:tr>
      <w:tr w:rsidR="0072616B" w14:paraId="7D80183A" w14:textId="77777777">
        <w:trPr>
          <w:trHeight w:val="953"/>
          <w:jc w:val="center"/>
        </w:trPr>
        <w:tc>
          <w:tcPr>
            <w:tcW w:w="1695" w:type="dxa"/>
            <w:tcBorders>
              <w:top w:val="single" w:sz="4" w:space="0" w:color="ADADAD"/>
              <w:bottom w:val="single" w:sz="4" w:space="0" w:color="ADADAD"/>
            </w:tcBorders>
            <w:vAlign w:val="center"/>
          </w:tcPr>
          <w:p w14:paraId="0A09941C"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lastRenderedPageBreak/>
              <w:t>Brachyteles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hypoxanthus</w:t>
            </w:r>
            <w:proofErr w:type="spellEnd"/>
          </w:p>
        </w:tc>
        <w:tc>
          <w:tcPr>
            <w:tcW w:w="1560" w:type="dxa"/>
            <w:tcBorders>
              <w:top w:val="single" w:sz="4" w:space="0" w:color="ADADAD"/>
              <w:bottom w:val="single" w:sz="4" w:space="0" w:color="ADADAD"/>
            </w:tcBorders>
            <w:vAlign w:val="center"/>
          </w:tcPr>
          <w:p w14:paraId="2C83B6FD"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2000</w:t>
            </w:r>
          </w:p>
          <w:p w14:paraId="540FBFF5"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(Mittermeier et al. 2000)</w:t>
            </w:r>
          </w:p>
          <w:p w14:paraId="7B43EEB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2004-2006</w:t>
            </w:r>
          </w:p>
          <w:p w14:paraId="782AFFEF"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Strier</w:t>
            </w:r>
            <w:proofErr w:type="spellEnd"/>
            <w:r>
              <w:rPr>
                <w:rFonts w:ascii="Times New Roman" w:eastAsia="Times New Roman" w:hAnsi="Times New Roman" w:cs="Times New Roman"/>
                <w:sz w:val="18"/>
                <w:szCs w:val="18"/>
              </w:rPr>
              <w:t xml:space="preserve"> et al. 2006)</w:t>
            </w:r>
          </w:p>
        </w:tc>
        <w:tc>
          <w:tcPr>
            <w:tcW w:w="1575" w:type="dxa"/>
            <w:tcBorders>
              <w:top w:val="single" w:sz="4" w:space="0" w:color="ADADAD"/>
              <w:bottom w:val="single" w:sz="4" w:space="0" w:color="ADADAD"/>
            </w:tcBorders>
            <w:vAlign w:val="center"/>
          </w:tcPr>
          <w:p w14:paraId="24A9590E"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Hunting, Habitat loss, and fragmentation; Population reduction.</w:t>
            </w:r>
          </w:p>
        </w:tc>
        <w:tc>
          <w:tcPr>
            <w:tcW w:w="1680" w:type="dxa"/>
            <w:tcBorders>
              <w:top w:val="single" w:sz="4" w:space="0" w:color="ADADAD"/>
              <w:bottom w:val="single" w:sz="4" w:space="0" w:color="ADADAD"/>
            </w:tcBorders>
            <w:vAlign w:val="center"/>
          </w:tcPr>
          <w:p w14:paraId="0FCA30D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1140" w:type="dxa"/>
            <w:tcBorders>
              <w:top w:val="single" w:sz="4" w:space="0" w:color="ADADAD"/>
              <w:bottom w:val="single" w:sz="4" w:space="0" w:color="ADADAD"/>
            </w:tcBorders>
            <w:vAlign w:val="center"/>
          </w:tcPr>
          <w:p w14:paraId="5AC0C89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275" w:type="dxa"/>
            <w:tcBorders>
              <w:top w:val="single" w:sz="4" w:space="0" w:color="ADADAD"/>
              <w:bottom w:val="single" w:sz="4" w:space="0" w:color="ADADAD"/>
            </w:tcBorders>
            <w:vAlign w:val="center"/>
          </w:tcPr>
          <w:p w14:paraId="30DC98A2"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Melo et al. 2021c</w:t>
            </w:r>
          </w:p>
        </w:tc>
        <w:tc>
          <w:tcPr>
            <w:tcW w:w="2415" w:type="dxa"/>
            <w:tcBorders>
              <w:top w:val="single" w:sz="4" w:space="0" w:color="ADADAD"/>
              <w:bottom w:val="single" w:sz="4" w:space="0" w:color="ADADAD"/>
            </w:tcBorders>
            <w:vAlign w:val="center"/>
          </w:tcPr>
          <w:p w14:paraId="19D84CC8"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sz w:val="18"/>
                <w:szCs w:val="18"/>
              </w:rPr>
              <w:t>It has a high proportion of roads within its range, as well as a high proportion of fragmented landscapes (with less than 30% habitat cover).</w:t>
            </w:r>
          </w:p>
        </w:tc>
        <w:tc>
          <w:tcPr>
            <w:tcW w:w="4110" w:type="dxa"/>
            <w:tcBorders>
              <w:top w:val="single" w:sz="4" w:space="0" w:color="ADADAD"/>
              <w:bottom w:val="single" w:sz="4" w:space="0" w:color="ADADAD"/>
            </w:tcBorders>
            <w:vAlign w:val="center"/>
          </w:tcPr>
          <w:p w14:paraId="1A06448A" w14:textId="77777777" w:rsidR="0072616B" w:rsidRDefault="00000000">
            <w:p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It has been listed in Appendix I of CITES from 1997 until 2023, which offers the highest level of protection for species affected by international trade in wild specimens (https://www.speciesplus.net/). Research on population viability in 1998 increased knowledge about the species in Minas Gerais, Rio de Janeiro, Espírito Santo, and Bahia, especially at the </w:t>
            </w:r>
            <w:proofErr w:type="spellStart"/>
            <w:r>
              <w:rPr>
                <w:rFonts w:ascii="Times New Roman" w:eastAsia="Times New Roman" w:hAnsi="Times New Roman" w:cs="Times New Roman"/>
                <w:sz w:val="18"/>
                <w:szCs w:val="18"/>
              </w:rPr>
              <w:t>Caratinga</w:t>
            </w:r>
            <w:proofErr w:type="spellEnd"/>
            <w:r>
              <w:rPr>
                <w:rFonts w:ascii="Times New Roman" w:eastAsia="Times New Roman" w:hAnsi="Times New Roman" w:cs="Times New Roman"/>
                <w:sz w:val="18"/>
                <w:szCs w:val="18"/>
              </w:rPr>
              <w:t xml:space="preserve"> Biological Station (Melo et al. 2021c). Population viability models are used as a tool for planning the conservation of muriquis (Melo et al. 2021c). In 2002, the Committee for the Conservation and Management of Muriquis was created (Melo et al. 2021c). It occurs in several public and private protected areas (Melo et al. 2021c). From 2001 to 2003, the Ministry of the Environment (MMA) approved funding for three projects for the conservation and management of the northern muriqui coordinated by NGOs, which resulted in meetings and new guidelines for the development of a management plan for the species in 2005 (Melo et al. 2021c). Currently, research programs and conservation initiatives for muriquis in Minas Gerais and Espírito Santo cover about 90% of the entire population (Melo et al. 2021c). In addition to population monitoring and ecological and </w:t>
            </w:r>
            <w:proofErr w:type="spellStart"/>
            <w:r>
              <w:rPr>
                <w:rFonts w:ascii="Times New Roman" w:eastAsia="Times New Roman" w:hAnsi="Times New Roman" w:cs="Times New Roman"/>
                <w:sz w:val="18"/>
                <w:szCs w:val="18"/>
              </w:rPr>
              <w:t>behavioral</w:t>
            </w:r>
            <w:proofErr w:type="spellEnd"/>
            <w:r>
              <w:rPr>
                <w:rFonts w:ascii="Times New Roman" w:eastAsia="Times New Roman" w:hAnsi="Times New Roman" w:cs="Times New Roman"/>
                <w:sz w:val="18"/>
                <w:szCs w:val="18"/>
              </w:rPr>
              <w:t xml:space="preserve"> studies, there is research on population genetics, health, and management (Melo et al. 2021c).</w:t>
            </w:r>
          </w:p>
        </w:tc>
      </w:tr>
    </w:tbl>
    <w:p w14:paraId="362E6ED1" w14:textId="77777777" w:rsidR="0072616B"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 xml:space="preserve">Alouatta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clamitans</w:t>
      </w:r>
      <w:proofErr w:type="spellEnd"/>
      <w:r>
        <w:rPr>
          <w:rFonts w:ascii="Times New Roman" w:eastAsia="Times New Roman" w:hAnsi="Times New Roman" w:cs="Times New Roman"/>
          <w:sz w:val="20"/>
          <w:szCs w:val="20"/>
        </w:rPr>
        <w:t xml:space="preserve"> was listed together with </w:t>
      </w:r>
      <w:r>
        <w:rPr>
          <w:rFonts w:ascii="Times New Roman" w:eastAsia="Times New Roman" w:hAnsi="Times New Roman" w:cs="Times New Roman"/>
          <w:i/>
          <w:iCs/>
          <w:sz w:val="20"/>
          <w:szCs w:val="20"/>
        </w:rPr>
        <w:t xml:space="preserve">Alouatta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sz w:val="20"/>
          <w:szCs w:val="20"/>
        </w:rPr>
        <w:t xml:space="preserve">, using only the specific epithet </w:t>
      </w:r>
      <w:r>
        <w:rPr>
          <w:rFonts w:ascii="Times New Roman" w:eastAsia="Times New Roman" w:hAnsi="Times New Roman" w:cs="Times New Roman"/>
          <w:i/>
          <w:iCs/>
          <w:sz w:val="20"/>
          <w:szCs w:val="20"/>
        </w:rPr>
        <w:t xml:space="preserve">A.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sz w:val="20"/>
          <w:szCs w:val="20"/>
        </w:rPr>
        <w:t xml:space="preserve">, as of Schwitzer et al. (2019) (“Primates in peril” from 2018-2020). </w:t>
      </w:r>
      <w:r>
        <w:rPr>
          <w:rFonts w:ascii="Times New Roman" w:eastAsia="Times New Roman" w:hAnsi="Times New Roman" w:cs="Times New Roman"/>
          <w:i/>
          <w:iCs/>
          <w:sz w:val="20"/>
          <w:szCs w:val="20"/>
        </w:rPr>
        <w:t xml:space="preserve">A.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sz w:val="20"/>
          <w:szCs w:val="20"/>
        </w:rPr>
        <w:t xml:space="preserve"> had already been listed in three other previous editions (Mittermeier et al. 2012; Schwitzer et al. 2015, 2017). We distinguish these subspecies in the table to show the threats identified in each publication. In the analysis, we considered the distribution of </w:t>
      </w:r>
      <w:r>
        <w:rPr>
          <w:rFonts w:ascii="Times New Roman" w:eastAsia="Times New Roman" w:hAnsi="Times New Roman" w:cs="Times New Roman"/>
          <w:i/>
          <w:iCs/>
          <w:sz w:val="20"/>
          <w:szCs w:val="20"/>
        </w:rPr>
        <w:t xml:space="preserve">A.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sz w:val="20"/>
          <w:szCs w:val="20"/>
        </w:rPr>
        <w:t xml:space="preserve">, following </w:t>
      </w:r>
      <w:proofErr w:type="spellStart"/>
      <w:r>
        <w:rPr>
          <w:rFonts w:ascii="Times New Roman" w:eastAsia="Times New Roman" w:hAnsi="Times New Roman" w:cs="Times New Roman"/>
          <w:sz w:val="20"/>
          <w:szCs w:val="20"/>
        </w:rPr>
        <w:t>Jerusalinsky</w:t>
      </w:r>
      <w:proofErr w:type="spellEnd"/>
      <w:r>
        <w:rPr>
          <w:rFonts w:ascii="Times New Roman" w:eastAsia="Times New Roman" w:hAnsi="Times New Roman" w:cs="Times New Roman"/>
          <w:sz w:val="20"/>
          <w:szCs w:val="20"/>
        </w:rPr>
        <w:t xml:space="preserve"> et al. (2021). Therefore, we </w:t>
      </w:r>
      <w:proofErr w:type="spellStart"/>
      <w:r>
        <w:rPr>
          <w:rFonts w:ascii="Times New Roman" w:eastAsia="Times New Roman" w:hAnsi="Times New Roman" w:cs="Times New Roman"/>
          <w:sz w:val="20"/>
          <w:szCs w:val="20"/>
        </w:rPr>
        <w:t>analyzed</w:t>
      </w:r>
      <w:proofErr w:type="spellEnd"/>
      <w:r>
        <w:rPr>
          <w:rFonts w:ascii="Times New Roman" w:eastAsia="Times New Roman" w:hAnsi="Times New Roman" w:cs="Times New Roman"/>
          <w:sz w:val="20"/>
          <w:szCs w:val="20"/>
        </w:rPr>
        <w:t xml:space="preserve"> 13 primate species and not the 14 species in this table, including the two subspecies of </w:t>
      </w:r>
      <w:r>
        <w:rPr>
          <w:rFonts w:ascii="Times New Roman" w:eastAsia="Times New Roman" w:hAnsi="Times New Roman" w:cs="Times New Roman"/>
          <w:i/>
          <w:iCs/>
          <w:sz w:val="20"/>
          <w:szCs w:val="20"/>
        </w:rPr>
        <w:t xml:space="preserve">A. </w:t>
      </w:r>
      <w:proofErr w:type="spellStart"/>
      <w:r>
        <w:rPr>
          <w:rFonts w:ascii="Times New Roman" w:eastAsia="Times New Roman" w:hAnsi="Times New Roman" w:cs="Times New Roman"/>
          <w:i/>
          <w:iCs/>
          <w:sz w:val="20"/>
          <w:szCs w:val="20"/>
        </w:rPr>
        <w:t>guariba</w:t>
      </w:r>
      <w:proofErr w:type="spellEnd"/>
      <w:r>
        <w:rPr>
          <w:rFonts w:ascii="Times New Roman" w:eastAsia="Times New Roman" w:hAnsi="Times New Roman" w:cs="Times New Roman"/>
          <w:sz w:val="20"/>
          <w:szCs w:val="20"/>
        </w:rPr>
        <w:t>, which is currently recognized as a monotypic species (</w:t>
      </w:r>
      <w:proofErr w:type="spellStart"/>
      <w:r>
        <w:rPr>
          <w:rFonts w:ascii="Times New Roman" w:eastAsia="Times New Roman" w:hAnsi="Times New Roman" w:cs="Times New Roman"/>
          <w:sz w:val="20"/>
          <w:szCs w:val="20"/>
        </w:rPr>
        <w:t>Oklander</w:t>
      </w:r>
      <w:proofErr w:type="spellEnd"/>
      <w:r>
        <w:rPr>
          <w:rFonts w:ascii="Times New Roman" w:eastAsia="Times New Roman" w:hAnsi="Times New Roman" w:cs="Times New Roman"/>
          <w:sz w:val="20"/>
          <w:szCs w:val="20"/>
        </w:rPr>
        <w:t xml:space="preserve"> et al. 2024). </w:t>
      </w:r>
    </w:p>
    <w:p w14:paraId="2E5E2A9C" w14:textId="77777777" w:rsidR="0072616B" w:rsidRDefault="0072616B">
      <w:pPr>
        <w:spacing w:line="360" w:lineRule="auto"/>
        <w:jc w:val="both"/>
        <w:rPr>
          <w:rFonts w:ascii="Times New Roman" w:eastAsia="Times New Roman" w:hAnsi="Times New Roman" w:cs="Times New Roman"/>
          <w:sz w:val="20"/>
          <w:szCs w:val="20"/>
        </w:rPr>
      </w:pPr>
    </w:p>
    <w:p w14:paraId="6D955E9D" w14:textId="77777777" w:rsidR="0072616B" w:rsidRDefault="0072616B">
      <w:pPr>
        <w:spacing w:after="160" w:line="360" w:lineRule="auto"/>
        <w:ind w:firstLine="720"/>
        <w:jc w:val="both"/>
        <w:rPr>
          <w:rFonts w:ascii="Times New Roman" w:eastAsia="Times New Roman" w:hAnsi="Times New Roman" w:cs="Times New Roman"/>
          <w:sz w:val="22"/>
          <w:szCs w:val="22"/>
          <w:highlight w:val="yellow"/>
        </w:rPr>
      </w:pPr>
    </w:p>
    <w:p w14:paraId="165B92DE" w14:textId="77777777" w:rsidR="0072616B" w:rsidRDefault="0072616B">
      <w:pPr>
        <w:spacing w:line="360" w:lineRule="auto"/>
        <w:jc w:val="both"/>
        <w:rPr>
          <w:rFonts w:ascii="Times New Roman" w:eastAsia="Times New Roman" w:hAnsi="Times New Roman" w:cs="Times New Roman"/>
          <w:sz w:val="22"/>
          <w:szCs w:val="22"/>
          <w:highlight w:val="yellow"/>
        </w:rPr>
      </w:pPr>
    </w:p>
    <w:p w14:paraId="521DFC6E" w14:textId="77777777" w:rsidR="0072616B" w:rsidRDefault="0072616B">
      <w:pPr>
        <w:spacing w:line="360" w:lineRule="auto"/>
        <w:jc w:val="both"/>
        <w:rPr>
          <w:rFonts w:ascii="Times New Roman" w:eastAsia="Times New Roman" w:hAnsi="Times New Roman" w:cs="Times New Roman"/>
          <w:sz w:val="22"/>
          <w:szCs w:val="22"/>
          <w:highlight w:val="yellow"/>
        </w:rPr>
      </w:pPr>
    </w:p>
    <w:p w14:paraId="6369E120" w14:textId="77777777" w:rsidR="0072616B" w:rsidRDefault="0072616B">
      <w:pPr>
        <w:spacing w:line="360" w:lineRule="auto"/>
        <w:jc w:val="both"/>
        <w:rPr>
          <w:rFonts w:ascii="Times New Roman" w:eastAsia="Times New Roman" w:hAnsi="Times New Roman" w:cs="Times New Roman"/>
          <w:sz w:val="22"/>
          <w:szCs w:val="22"/>
          <w:highlight w:val="yellow"/>
        </w:rPr>
      </w:pPr>
    </w:p>
    <w:p w14:paraId="6FEE684E" w14:textId="77777777" w:rsidR="0072616B" w:rsidRDefault="0072616B">
      <w:pPr>
        <w:spacing w:line="360" w:lineRule="auto"/>
        <w:jc w:val="both"/>
        <w:rPr>
          <w:rFonts w:ascii="Times New Roman" w:eastAsia="Times New Roman" w:hAnsi="Times New Roman" w:cs="Times New Roman"/>
          <w:sz w:val="22"/>
          <w:szCs w:val="22"/>
          <w:highlight w:val="yellow"/>
        </w:rPr>
      </w:pPr>
    </w:p>
    <w:p w14:paraId="282476D1" w14:textId="77777777" w:rsidR="0072616B" w:rsidRDefault="0072616B">
      <w:pPr>
        <w:spacing w:line="360" w:lineRule="auto"/>
        <w:jc w:val="both"/>
        <w:rPr>
          <w:rFonts w:ascii="Times New Roman" w:eastAsia="Times New Roman" w:hAnsi="Times New Roman" w:cs="Times New Roman"/>
          <w:sz w:val="22"/>
          <w:szCs w:val="22"/>
          <w:highlight w:val="yellow"/>
        </w:rPr>
      </w:pPr>
    </w:p>
    <w:p w14:paraId="19EEFAC8" w14:textId="77777777" w:rsidR="0072616B" w:rsidRDefault="0072616B">
      <w:pPr>
        <w:spacing w:line="360" w:lineRule="auto"/>
        <w:jc w:val="both"/>
        <w:rPr>
          <w:rFonts w:ascii="Times New Roman" w:eastAsia="Times New Roman" w:hAnsi="Times New Roman" w:cs="Times New Roman"/>
          <w:sz w:val="20"/>
          <w:szCs w:val="20"/>
        </w:rPr>
      </w:pPr>
    </w:p>
    <w:p w14:paraId="00178FBF" w14:textId="77777777" w:rsidR="0072616B" w:rsidRDefault="0072616B">
      <w:pPr>
        <w:spacing w:line="360" w:lineRule="auto"/>
        <w:jc w:val="both"/>
        <w:rPr>
          <w:rFonts w:ascii="Times New Roman" w:eastAsia="Times New Roman" w:hAnsi="Times New Roman" w:cs="Times New Roman"/>
          <w:sz w:val="20"/>
          <w:szCs w:val="20"/>
        </w:rPr>
      </w:pPr>
    </w:p>
    <w:p w14:paraId="22F231A2" w14:textId="77777777" w:rsidR="0072616B"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Supplementary material 1B </w:t>
      </w:r>
      <w:r>
        <w:rPr>
          <w:rFonts w:ascii="Times New Roman" w:eastAsia="Times New Roman" w:hAnsi="Times New Roman" w:cs="Times New Roman"/>
          <w:sz w:val="20"/>
          <w:szCs w:val="20"/>
        </w:rPr>
        <w:t xml:space="preserve">Threatened Brazilian primates never included in the Top 25 lists published between 2000 and 2022, used in this study for comparative purposes. The threat category corresponds to the most recent IUCN classification. We classified the species according to the biome in which most of its range overlaps. </w:t>
      </w:r>
    </w:p>
    <w:tbl>
      <w:tblPr>
        <w:tblStyle w:val="a2"/>
        <w:tblW w:w="8130" w:type="dxa"/>
        <w:jc w:val="center"/>
        <w:tblInd w:w="0" w:type="dxa"/>
        <w:tblBorders>
          <w:top w:val="single" w:sz="4" w:space="0" w:color="DBDBDB"/>
          <w:left w:val="nil"/>
          <w:bottom w:val="single" w:sz="4" w:space="0" w:color="DBDBDB"/>
          <w:right w:val="nil"/>
          <w:insideH w:val="nil"/>
          <w:insideV w:val="nil"/>
        </w:tblBorders>
        <w:tblLayout w:type="fixed"/>
        <w:tblLook w:val="0400" w:firstRow="0" w:lastRow="0" w:firstColumn="0" w:lastColumn="0" w:noHBand="0" w:noVBand="1"/>
      </w:tblPr>
      <w:tblGrid>
        <w:gridCol w:w="1980"/>
        <w:gridCol w:w="1560"/>
        <w:gridCol w:w="1425"/>
        <w:gridCol w:w="3165"/>
      </w:tblGrid>
      <w:tr w:rsidR="0072616B" w14:paraId="389162C4" w14:textId="77777777">
        <w:trPr>
          <w:trHeight w:val="300"/>
          <w:jc w:val="center"/>
        </w:trPr>
        <w:tc>
          <w:tcPr>
            <w:tcW w:w="1980" w:type="dxa"/>
            <w:tcBorders>
              <w:top w:val="single" w:sz="12" w:space="0" w:color="000000"/>
              <w:bottom w:val="single" w:sz="12" w:space="0" w:color="000000"/>
            </w:tcBorders>
            <w:vAlign w:val="center"/>
          </w:tcPr>
          <w:p w14:paraId="4066E3E0"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Taxa</w:t>
            </w:r>
          </w:p>
        </w:tc>
        <w:tc>
          <w:tcPr>
            <w:tcW w:w="1560" w:type="dxa"/>
            <w:tcBorders>
              <w:top w:val="single" w:sz="12" w:space="0" w:color="000000"/>
              <w:bottom w:val="single" w:sz="12" w:space="0" w:color="000000"/>
            </w:tcBorders>
            <w:vAlign w:val="center"/>
          </w:tcPr>
          <w:p w14:paraId="4640EF8D"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IUCN Threat Category</w:t>
            </w:r>
          </w:p>
        </w:tc>
        <w:tc>
          <w:tcPr>
            <w:tcW w:w="1425" w:type="dxa"/>
            <w:tcBorders>
              <w:top w:val="single" w:sz="12" w:space="0" w:color="000000"/>
              <w:bottom w:val="single" w:sz="12" w:space="0" w:color="000000"/>
            </w:tcBorders>
            <w:vAlign w:val="center"/>
          </w:tcPr>
          <w:p w14:paraId="4432D2A2"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Predominant Biome</w:t>
            </w:r>
          </w:p>
        </w:tc>
        <w:tc>
          <w:tcPr>
            <w:tcW w:w="3165" w:type="dxa"/>
            <w:tcBorders>
              <w:top w:val="single" w:sz="12" w:space="0" w:color="000000"/>
              <w:bottom w:val="single" w:sz="12" w:space="0" w:color="000000"/>
            </w:tcBorders>
            <w:vAlign w:val="center"/>
          </w:tcPr>
          <w:p w14:paraId="6CC76598" w14:textId="77777777" w:rsidR="0072616B" w:rsidRDefault="00000000">
            <w:pPr>
              <w:spacing w:line="36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IUCN Threat category reference</w:t>
            </w:r>
          </w:p>
        </w:tc>
      </w:tr>
      <w:tr w:rsidR="0072616B" w:rsidRPr="00AC2F17" w14:paraId="27AFE7C4" w14:textId="77777777">
        <w:trPr>
          <w:trHeight w:val="300"/>
          <w:jc w:val="center"/>
        </w:trPr>
        <w:tc>
          <w:tcPr>
            <w:tcW w:w="1980" w:type="dxa"/>
            <w:tcBorders>
              <w:top w:val="single" w:sz="12" w:space="0" w:color="000000"/>
              <w:bottom w:val="single" w:sz="4" w:space="0" w:color="ADADAD"/>
              <w:right w:val="nil"/>
            </w:tcBorders>
          </w:tcPr>
          <w:p w14:paraId="3C86DE6F"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Alouatta </w:t>
            </w:r>
            <w:proofErr w:type="spellStart"/>
            <w:r>
              <w:rPr>
                <w:rFonts w:ascii="Times New Roman" w:eastAsia="Times New Roman" w:hAnsi="Times New Roman" w:cs="Times New Roman"/>
                <w:i/>
                <w:iCs/>
                <w:sz w:val="18"/>
                <w:szCs w:val="18"/>
              </w:rPr>
              <w:t>belzebul</w:t>
            </w:r>
            <w:proofErr w:type="spellEnd"/>
          </w:p>
        </w:tc>
        <w:tc>
          <w:tcPr>
            <w:tcW w:w="1560" w:type="dxa"/>
            <w:tcBorders>
              <w:top w:val="single" w:sz="12" w:space="0" w:color="000000"/>
              <w:left w:val="nil"/>
              <w:bottom w:val="single" w:sz="4" w:space="0" w:color="ADADAD"/>
              <w:right w:val="nil"/>
            </w:tcBorders>
            <w:vAlign w:val="center"/>
          </w:tcPr>
          <w:p w14:paraId="1D100B03"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12" w:space="0" w:color="000000"/>
              <w:left w:val="nil"/>
              <w:bottom w:val="single" w:sz="4" w:space="0" w:color="ADADAD"/>
              <w:right w:val="nil"/>
            </w:tcBorders>
            <w:vAlign w:val="center"/>
          </w:tcPr>
          <w:p w14:paraId="0B833EE5"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12" w:space="0" w:color="000000"/>
              <w:left w:val="nil"/>
              <w:bottom w:val="single" w:sz="4" w:space="0" w:color="ADADAD"/>
              <w:right w:val="nil"/>
            </w:tcBorders>
            <w:vAlign w:val="center"/>
          </w:tcPr>
          <w:p w14:paraId="451091A3" w14:textId="77777777" w:rsidR="0072616B" w:rsidRPr="00BB2186" w:rsidRDefault="00000000">
            <w:pPr>
              <w:spacing w:line="360" w:lineRule="auto"/>
              <w:jc w:val="center"/>
              <w:rPr>
                <w:rFonts w:ascii="Times New Roman" w:eastAsia="Times New Roman" w:hAnsi="Times New Roman" w:cs="Times New Roman"/>
                <w:sz w:val="18"/>
                <w:szCs w:val="18"/>
                <w:lang w:val="pt-BR"/>
              </w:rPr>
            </w:pPr>
            <w:r w:rsidRPr="00BB2186">
              <w:rPr>
                <w:rFonts w:ascii="Times New Roman" w:eastAsia="Times New Roman" w:hAnsi="Times New Roman" w:cs="Times New Roman"/>
                <w:sz w:val="18"/>
                <w:szCs w:val="18"/>
                <w:lang w:val="pt-BR"/>
              </w:rPr>
              <w:t>Valença-Montenegro et al. 2021b</w:t>
            </w:r>
          </w:p>
        </w:tc>
      </w:tr>
      <w:tr w:rsidR="0072616B" w14:paraId="607C514F" w14:textId="77777777">
        <w:trPr>
          <w:trHeight w:val="300"/>
          <w:jc w:val="center"/>
        </w:trPr>
        <w:tc>
          <w:tcPr>
            <w:tcW w:w="1980" w:type="dxa"/>
            <w:tcBorders>
              <w:top w:val="single" w:sz="4" w:space="0" w:color="ADADAD"/>
              <w:bottom w:val="single" w:sz="4" w:space="0" w:color="ADADAD"/>
              <w:right w:val="nil"/>
            </w:tcBorders>
          </w:tcPr>
          <w:p w14:paraId="225B23F8"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Alouatta </w:t>
            </w:r>
            <w:proofErr w:type="spellStart"/>
            <w:r>
              <w:rPr>
                <w:rFonts w:ascii="Times New Roman" w:eastAsia="Times New Roman" w:hAnsi="Times New Roman" w:cs="Times New Roman"/>
                <w:i/>
                <w:iCs/>
                <w:sz w:val="18"/>
                <w:szCs w:val="18"/>
              </w:rPr>
              <w:t>discolor</w:t>
            </w:r>
            <w:proofErr w:type="spellEnd"/>
          </w:p>
        </w:tc>
        <w:tc>
          <w:tcPr>
            <w:tcW w:w="1560" w:type="dxa"/>
            <w:tcBorders>
              <w:top w:val="single" w:sz="4" w:space="0" w:color="ADADAD"/>
              <w:left w:val="nil"/>
              <w:bottom w:val="single" w:sz="4" w:space="0" w:color="ADADAD"/>
              <w:right w:val="nil"/>
            </w:tcBorders>
            <w:vAlign w:val="center"/>
          </w:tcPr>
          <w:p w14:paraId="1D7FABCD"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45EE8E9F"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6BE2379C"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Pinto et al. 2021</w:t>
            </w:r>
          </w:p>
        </w:tc>
      </w:tr>
      <w:tr w:rsidR="0072616B" w14:paraId="03245850" w14:textId="77777777">
        <w:trPr>
          <w:trHeight w:val="300"/>
          <w:jc w:val="center"/>
        </w:trPr>
        <w:tc>
          <w:tcPr>
            <w:tcW w:w="1980" w:type="dxa"/>
            <w:tcBorders>
              <w:top w:val="single" w:sz="4" w:space="0" w:color="ADADAD"/>
              <w:bottom w:val="single" w:sz="4" w:space="0" w:color="ADADAD"/>
              <w:right w:val="nil"/>
            </w:tcBorders>
          </w:tcPr>
          <w:p w14:paraId="1C48246F" w14:textId="77777777" w:rsidR="0072616B" w:rsidRDefault="0072616B">
            <w:pPr>
              <w:spacing w:line="360" w:lineRule="auto"/>
              <w:jc w:val="both"/>
              <w:rPr>
                <w:rFonts w:ascii="Times New Roman" w:eastAsia="Times New Roman" w:hAnsi="Times New Roman" w:cs="Times New Roman"/>
                <w:i/>
                <w:iCs/>
                <w:sz w:val="18"/>
                <w:szCs w:val="18"/>
              </w:rPr>
            </w:pPr>
          </w:p>
        </w:tc>
        <w:tc>
          <w:tcPr>
            <w:tcW w:w="1560" w:type="dxa"/>
            <w:tcBorders>
              <w:top w:val="single" w:sz="4" w:space="0" w:color="ADADAD"/>
              <w:left w:val="nil"/>
              <w:bottom w:val="single" w:sz="4" w:space="0" w:color="ADADAD"/>
              <w:right w:val="nil"/>
            </w:tcBorders>
            <w:vAlign w:val="center"/>
          </w:tcPr>
          <w:p w14:paraId="16AA7CE9" w14:textId="77777777" w:rsidR="0072616B" w:rsidRDefault="0072616B">
            <w:pPr>
              <w:spacing w:line="360" w:lineRule="auto"/>
              <w:jc w:val="center"/>
              <w:rPr>
                <w:rFonts w:ascii="Times New Roman" w:eastAsia="Times New Roman" w:hAnsi="Times New Roman" w:cs="Times New Roman"/>
                <w:sz w:val="18"/>
                <w:szCs w:val="18"/>
              </w:rPr>
            </w:pPr>
          </w:p>
        </w:tc>
        <w:tc>
          <w:tcPr>
            <w:tcW w:w="1425" w:type="dxa"/>
            <w:tcBorders>
              <w:top w:val="single" w:sz="4" w:space="0" w:color="ADADAD"/>
              <w:left w:val="nil"/>
              <w:bottom w:val="single" w:sz="4" w:space="0" w:color="ADADAD"/>
              <w:right w:val="nil"/>
            </w:tcBorders>
            <w:vAlign w:val="center"/>
          </w:tcPr>
          <w:p w14:paraId="2586AE2B" w14:textId="77777777" w:rsidR="0072616B" w:rsidRDefault="0072616B">
            <w:pPr>
              <w:spacing w:line="360" w:lineRule="auto"/>
              <w:jc w:val="center"/>
              <w:rPr>
                <w:rFonts w:ascii="Times New Roman" w:eastAsia="Times New Roman" w:hAnsi="Times New Roman" w:cs="Times New Roman"/>
                <w:sz w:val="18"/>
                <w:szCs w:val="18"/>
              </w:rPr>
            </w:pPr>
          </w:p>
        </w:tc>
        <w:tc>
          <w:tcPr>
            <w:tcW w:w="3165" w:type="dxa"/>
            <w:tcBorders>
              <w:top w:val="single" w:sz="4" w:space="0" w:color="ADADAD"/>
              <w:left w:val="nil"/>
              <w:bottom w:val="single" w:sz="4" w:space="0" w:color="ADADAD"/>
              <w:right w:val="nil"/>
            </w:tcBorders>
            <w:vAlign w:val="center"/>
          </w:tcPr>
          <w:p w14:paraId="3AD471F3" w14:textId="77777777" w:rsidR="0072616B" w:rsidRDefault="0072616B">
            <w:pPr>
              <w:spacing w:line="360" w:lineRule="auto"/>
              <w:jc w:val="center"/>
              <w:rPr>
                <w:rFonts w:ascii="Times New Roman" w:eastAsia="Times New Roman" w:hAnsi="Times New Roman" w:cs="Times New Roman"/>
                <w:sz w:val="18"/>
                <w:szCs w:val="18"/>
              </w:rPr>
            </w:pPr>
          </w:p>
        </w:tc>
      </w:tr>
      <w:tr w:rsidR="0072616B" w14:paraId="16BB293C" w14:textId="77777777">
        <w:trPr>
          <w:trHeight w:val="300"/>
          <w:jc w:val="center"/>
        </w:trPr>
        <w:tc>
          <w:tcPr>
            <w:tcW w:w="1980" w:type="dxa"/>
            <w:tcBorders>
              <w:top w:val="single" w:sz="4" w:space="0" w:color="ADADAD"/>
              <w:bottom w:val="single" w:sz="4" w:space="0" w:color="ADADAD"/>
              <w:right w:val="nil"/>
            </w:tcBorders>
          </w:tcPr>
          <w:p w14:paraId="245CB128"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Ateles belzebuth</w:t>
            </w:r>
          </w:p>
        </w:tc>
        <w:tc>
          <w:tcPr>
            <w:tcW w:w="1560" w:type="dxa"/>
            <w:tcBorders>
              <w:top w:val="single" w:sz="4" w:space="0" w:color="ADADAD"/>
              <w:left w:val="nil"/>
              <w:bottom w:val="single" w:sz="4" w:space="0" w:color="ADADAD"/>
              <w:right w:val="nil"/>
            </w:tcBorders>
            <w:vAlign w:val="center"/>
          </w:tcPr>
          <w:p w14:paraId="130518F0"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459A6BA8"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5020D5E9"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Link et al. 2021</w:t>
            </w:r>
          </w:p>
        </w:tc>
      </w:tr>
      <w:tr w:rsidR="0072616B" w14:paraId="7265CA1F" w14:textId="77777777">
        <w:trPr>
          <w:trHeight w:val="300"/>
          <w:jc w:val="center"/>
        </w:trPr>
        <w:tc>
          <w:tcPr>
            <w:tcW w:w="1980" w:type="dxa"/>
            <w:tcBorders>
              <w:top w:val="single" w:sz="4" w:space="0" w:color="ADADAD"/>
              <w:bottom w:val="single" w:sz="4" w:space="0" w:color="ADADAD"/>
              <w:right w:val="nil"/>
            </w:tcBorders>
          </w:tcPr>
          <w:p w14:paraId="25299141"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Ateles </w:t>
            </w:r>
            <w:proofErr w:type="spellStart"/>
            <w:r>
              <w:rPr>
                <w:rFonts w:ascii="Times New Roman" w:eastAsia="Times New Roman" w:hAnsi="Times New Roman" w:cs="Times New Roman"/>
                <w:i/>
                <w:iCs/>
                <w:sz w:val="18"/>
                <w:szCs w:val="18"/>
              </w:rPr>
              <w:t>chamek</w:t>
            </w:r>
            <w:proofErr w:type="spellEnd"/>
          </w:p>
        </w:tc>
        <w:tc>
          <w:tcPr>
            <w:tcW w:w="1560" w:type="dxa"/>
            <w:tcBorders>
              <w:top w:val="single" w:sz="4" w:space="0" w:color="ADADAD"/>
              <w:left w:val="nil"/>
              <w:bottom w:val="single" w:sz="4" w:space="0" w:color="ADADAD"/>
              <w:right w:val="nil"/>
            </w:tcBorders>
            <w:vAlign w:val="center"/>
          </w:tcPr>
          <w:p w14:paraId="46B635C4"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57398129"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541CDD62"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Alves et al. 2021</w:t>
            </w:r>
          </w:p>
        </w:tc>
      </w:tr>
      <w:tr w:rsidR="0072616B" w14:paraId="64EE1147" w14:textId="77777777">
        <w:trPr>
          <w:trHeight w:val="300"/>
          <w:jc w:val="center"/>
        </w:trPr>
        <w:tc>
          <w:tcPr>
            <w:tcW w:w="1980" w:type="dxa"/>
            <w:tcBorders>
              <w:top w:val="single" w:sz="4" w:space="0" w:color="ADADAD"/>
              <w:bottom w:val="single" w:sz="4" w:space="0" w:color="ADADAD"/>
              <w:right w:val="nil"/>
            </w:tcBorders>
          </w:tcPr>
          <w:p w14:paraId="4607F914"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Ateles marginatus</w:t>
            </w:r>
          </w:p>
        </w:tc>
        <w:tc>
          <w:tcPr>
            <w:tcW w:w="1560" w:type="dxa"/>
            <w:tcBorders>
              <w:top w:val="single" w:sz="4" w:space="0" w:color="ADADAD"/>
              <w:left w:val="nil"/>
              <w:bottom w:val="single" w:sz="4" w:space="0" w:color="ADADAD"/>
              <w:right w:val="nil"/>
            </w:tcBorders>
            <w:vAlign w:val="center"/>
          </w:tcPr>
          <w:p w14:paraId="3AEB4ACF"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6FA1B92B"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2A499BE3" w14:textId="77777777" w:rsidR="0072616B" w:rsidRDefault="00000000">
            <w:pPr>
              <w:spacing w:line="36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Ravetta</w:t>
            </w:r>
            <w:proofErr w:type="spellEnd"/>
            <w:r>
              <w:rPr>
                <w:rFonts w:ascii="Times New Roman" w:eastAsia="Times New Roman" w:hAnsi="Times New Roman" w:cs="Times New Roman"/>
                <w:sz w:val="18"/>
                <w:szCs w:val="18"/>
              </w:rPr>
              <w:t xml:space="preserve"> et al. 2021</w:t>
            </w:r>
          </w:p>
        </w:tc>
      </w:tr>
      <w:tr w:rsidR="0072616B" w14:paraId="0ABF6F36" w14:textId="77777777">
        <w:trPr>
          <w:trHeight w:val="300"/>
          <w:jc w:val="center"/>
        </w:trPr>
        <w:tc>
          <w:tcPr>
            <w:tcW w:w="1980" w:type="dxa"/>
            <w:tcBorders>
              <w:top w:val="single" w:sz="4" w:space="0" w:color="ADADAD"/>
              <w:bottom w:val="single" w:sz="4" w:space="0" w:color="ADADAD"/>
              <w:right w:val="nil"/>
            </w:tcBorders>
          </w:tcPr>
          <w:p w14:paraId="1C19CB61"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Cacajao</w:t>
            </w:r>
            <w:proofErr w:type="spellEnd"/>
            <w:r>
              <w:rPr>
                <w:rFonts w:ascii="Times New Roman" w:eastAsia="Times New Roman" w:hAnsi="Times New Roman" w:cs="Times New Roman"/>
                <w:i/>
                <w:iCs/>
                <w:sz w:val="18"/>
                <w:szCs w:val="18"/>
              </w:rPr>
              <w:t xml:space="preserve"> calvus*</w:t>
            </w:r>
          </w:p>
        </w:tc>
        <w:tc>
          <w:tcPr>
            <w:tcW w:w="1560" w:type="dxa"/>
            <w:tcBorders>
              <w:top w:val="single" w:sz="4" w:space="0" w:color="ADADAD"/>
              <w:left w:val="nil"/>
              <w:bottom w:val="single" w:sz="4" w:space="0" w:color="ADADAD"/>
              <w:right w:val="nil"/>
            </w:tcBorders>
            <w:vAlign w:val="center"/>
          </w:tcPr>
          <w:p w14:paraId="249C0203"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1005E24B"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4CC7095F"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r w:rsidR="0072616B" w14:paraId="172DB577" w14:textId="77777777">
        <w:trPr>
          <w:trHeight w:val="300"/>
          <w:jc w:val="center"/>
        </w:trPr>
        <w:tc>
          <w:tcPr>
            <w:tcW w:w="1980" w:type="dxa"/>
            <w:tcBorders>
              <w:top w:val="single" w:sz="4" w:space="0" w:color="ADADAD"/>
              <w:bottom w:val="single" w:sz="4" w:space="0" w:color="ADADAD"/>
              <w:right w:val="nil"/>
            </w:tcBorders>
          </w:tcPr>
          <w:p w14:paraId="6D1A1B18"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Cacajao</w:t>
            </w:r>
            <w:proofErr w:type="spellEnd"/>
            <w:r>
              <w:rPr>
                <w:rFonts w:ascii="Times New Roman" w:eastAsia="Times New Roman" w:hAnsi="Times New Roman" w:cs="Times New Roman"/>
                <w:i/>
                <w:iCs/>
                <w:sz w:val="18"/>
                <w:szCs w:val="18"/>
              </w:rPr>
              <w:t xml:space="preserve"> calvus </w:t>
            </w:r>
            <w:proofErr w:type="spellStart"/>
            <w:r>
              <w:rPr>
                <w:rFonts w:ascii="Times New Roman" w:eastAsia="Times New Roman" w:hAnsi="Times New Roman" w:cs="Times New Roman"/>
                <w:i/>
                <w:iCs/>
                <w:sz w:val="18"/>
                <w:szCs w:val="18"/>
              </w:rPr>
              <w:t>novaesi</w:t>
            </w:r>
            <w:proofErr w:type="spellEnd"/>
            <w:r>
              <w:rPr>
                <w:rFonts w:ascii="Times New Roman" w:eastAsia="Times New Roman" w:hAnsi="Times New Roman" w:cs="Times New Roman"/>
                <w:i/>
                <w:iCs/>
                <w:sz w:val="18"/>
                <w:szCs w:val="18"/>
              </w:rPr>
              <w:t>*</w:t>
            </w:r>
          </w:p>
        </w:tc>
        <w:tc>
          <w:tcPr>
            <w:tcW w:w="1560" w:type="dxa"/>
            <w:tcBorders>
              <w:top w:val="single" w:sz="4" w:space="0" w:color="ADADAD"/>
              <w:left w:val="nil"/>
              <w:bottom w:val="single" w:sz="4" w:space="0" w:color="ADADAD"/>
              <w:right w:val="nil"/>
            </w:tcBorders>
            <w:vAlign w:val="center"/>
          </w:tcPr>
          <w:p w14:paraId="1D8E5591"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78755A3D"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4913C9B3"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r w:rsidR="0072616B" w14:paraId="3759330A" w14:textId="77777777">
        <w:trPr>
          <w:trHeight w:val="300"/>
          <w:jc w:val="center"/>
        </w:trPr>
        <w:tc>
          <w:tcPr>
            <w:tcW w:w="1980" w:type="dxa"/>
            <w:tcBorders>
              <w:top w:val="single" w:sz="4" w:space="0" w:color="ADADAD"/>
              <w:bottom w:val="single" w:sz="4" w:space="0" w:color="ADADAD"/>
              <w:right w:val="nil"/>
            </w:tcBorders>
          </w:tcPr>
          <w:p w14:paraId="4F975D1D"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Cacajao</w:t>
            </w:r>
            <w:proofErr w:type="spellEnd"/>
            <w:r>
              <w:rPr>
                <w:rFonts w:ascii="Times New Roman" w:eastAsia="Times New Roman" w:hAnsi="Times New Roman" w:cs="Times New Roman"/>
                <w:i/>
                <w:iCs/>
                <w:sz w:val="18"/>
                <w:szCs w:val="18"/>
              </w:rPr>
              <w:t xml:space="preserve"> calvus </w:t>
            </w:r>
            <w:proofErr w:type="spellStart"/>
            <w:r>
              <w:rPr>
                <w:rFonts w:ascii="Times New Roman" w:eastAsia="Times New Roman" w:hAnsi="Times New Roman" w:cs="Times New Roman"/>
                <w:i/>
                <w:iCs/>
                <w:sz w:val="18"/>
                <w:szCs w:val="18"/>
              </w:rPr>
              <w:t>ucayalli</w:t>
            </w:r>
            <w:proofErr w:type="spellEnd"/>
            <w:r>
              <w:rPr>
                <w:rFonts w:ascii="Times New Roman" w:eastAsia="Times New Roman" w:hAnsi="Times New Roman" w:cs="Times New Roman"/>
                <w:i/>
                <w:iCs/>
                <w:sz w:val="18"/>
                <w:szCs w:val="18"/>
              </w:rPr>
              <w:t>*</w:t>
            </w:r>
          </w:p>
        </w:tc>
        <w:tc>
          <w:tcPr>
            <w:tcW w:w="1560" w:type="dxa"/>
            <w:tcBorders>
              <w:top w:val="single" w:sz="4" w:space="0" w:color="ADADAD"/>
              <w:left w:val="nil"/>
              <w:bottom w:val="single" w:sz="4" w:space="0" w:color="ADADAD"/>
              <w:right w:val="nil"/>
            </w:tcBorders>
            <w:vAlign w:val="center"/>
          </w:tcPr>
          <w:p w14:paraId="7CDBF4ED"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1D502EAC"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281B38A7"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r w:rsidR="0072616B" w14:paraId="65A7A92F" w14:textId="77777777">
        <w:trPr>
          <w:trHeight w:val="300"/>
          <w:jc w:val="center"/>
        </w:trPr>
        <w:tc>
          <w:tcPr>
            <w:tcW w:w="1980" w:type="dxa"/>
            <w:tcBorders>
              <w:top w:val="single" w:sz="4" w:space="0" w:color="ADADAD"/>
              <w:bottom w:val="single" w:sz="4" w:space="0" w:color="ADADAD"/>
              <w:right w:val="nil"/>
            </w:tcBorders>
          </w:tcPr>
          <w:p w14:paraId="7407CE56"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Cacajao</w:t>
            </w:r>
            <w:proofErr w:type="spellEnd"/>
            <w:r>
              <w:rPr>
                <w:rFonts w:ascii="Times New Roman" w:eastAsia="Times New Roman" w:hAnsi="Times New Roman" w:cs="Times New Roman"/>
                <w:i/>
                <w:iCs/>
                <w:sz w:val="18"/>
                <w:szCs w:val="18"/>
              </w:rPr>
              <w:t xml:space="preserve"> melanocephalus**</w:t>
            </w:r>
          </w:p>
        </w:tc>
        <w:tc>
          <w:tcPr>
            <w:tcW w:w="1560" w:type="dxa"/>
            <w:tcBorders>
              <w:top w:val="single" w:sz="4" w:space="0" w:color="ADADAD"/>
              <w:left w:val="nil"/>
              <w:bottom w:val="single" w:sz="4" w:space="0" w:color="ADADAD"/>
              <w:right w:val="nil"/>
            </w:tcBorders>
            <w:vAlign w:val="center"/>
          </w:tcPr>
          <w:p w14:paraId="6A83B2EC"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59740756"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534A54E5"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r w:rsidR="0072616B" w14:paraId="7CB0E6BF" w14:textId="77777777">
        <w:trPr>
          <w:trHeight w:val="300"/>
          <w:jc w:val="center"/>
        </w:trPr>
        <w:tc>
          <w:tcPr>
            <w:tcW w:w="1980" w:type="dxa"/>
            <w:tcBorders>
              <w:top w:val="single" w:sz="4" w:space="0" w:color="ADADAD"/>
              <w:bottom w:val="single" w:sz="4" w:space="0" w:color="ADADAD"/>
              <w:right w:val="nil"/>
            </w:tcBorders>
          </w:tcPr>
          <w:p w14:paraId="6C1261AA"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Chiropotes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satanas</w:t>
            </w:r>
            <w:proofErr w:type="spellEnd"/>
          </w:p>
        </w:tc>
        <w:tc>
          <w:tcPr>
            <w:tcW w:w="1560" w:type="dxa"/>
            <w:tcBorders>
              <w:top w:val="single" w:sz="4" w:space="0" w:color="ADADAD"/>
              <w:left w:val="nil"/>
              <w:bottom w:val="single" w:sz="4" w:space="0" w:color="ADADAD"/>
              <w:right w:val="nil"/>
            </w:tcBorders>
            <w:vAlign w:val="center"/>
          </w:tcPr>
          <w:p w14:paraId="18399EB0"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75897703"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35A7AD52"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Port-Carvalho et al. 2021</w:t>
            </w:r>
          </w:p>
        </w:tc>
      </w:tr>
      <w:tr w:rsidR="0072616B" w14:paraId="4F1E61C8" w14:textId="77777777">
        <w:trPr>
          <w:trHeight w:val="300"/>
          <w:jc w:val="center"/>
        </w:trPr>
        <w:tc>
          <w:tcPr>
            <w:tcW w:w="1980" w:type="dxa"/>
            <w:tcBorders>
              <w:top w:val="single" w:sz="4" w:space="0" w:color="ADADAD"/>
              <w:bottom w:val="single" w:sz="4" w:space="0" w:color="ADADAD"/>
              <w:right w:val="nil"/>
            </w:tcBorders>
          </w:tcPr>
          <w:p w14:paraId="299123ED"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Chiropotes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utahickae</w:t>
            </w:r>
            <w:proofErr w:type="spellEnd"/>
          </w:p>
        </w:tc>
        <w:tc>
          <w:tcPr>
            <w:tcW w:w="1560" w:type="dxa"/>
            <w:tcBorders>
              <w:top w:val="single" w:sz="4" w:space="0" w:color="ADADAD"/>
              <w:left w:val="nil"/>
              <w:bottom w:val="single" w:sz="4" w:space="0" w:color="ADADAD"/>
              <w:right w:val="nil"/>
            </w:tcBorders>
            <w:vAlign w:val="center"/>
          </w:tcPr>
          <w:p w14:paraId="401BFC5C"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0CAD3748"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6C2E812C"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Alonso et al. 2020</w:t>
            </w:r>
          </w:p>
        </w:tc>
      </w:tr>
      <w:tr w:rsidR="0072616B" w14:paraId="11C801AD" w14:textId="77777777">
        <w:trPr>
          <w:trHeight w:val="300"/>
          <w:jc w:val="center"/>
        </w:trPr>
        <w:tc>
          <w:tcPr>
            <w:tcW w:w="1980" w:type="dxa"/>
            <w:tcBorders>
              <w:top w:val="single" w:sz="4" w:space="0" w:color="ADADAD"/>
              <w:bottom w:val="single" w:sz="4" w:space="0" w:color="ADADAD"/>
              <w:right w:val="nil"/>
            </w:tcBorders>
          </w:tcPr>
          <w:p w14:paraId="5B9A059A"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Lagothrix</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lagothricha</w:t>
            </w:r>
            <w:proofErr w:type="spellEnd"/>
          </w:p>
        </w:tc>
        <w:tc>
          <w:tcPr>
            <w:tcW w:w="1560" w:type="dxa"/>
            <w:tcBorders>
              <w:top w:val="single" w:sz="4" w:space="0" w:color="ADADAD"/>
              <w:left w:val="nil"/>
              <w:bottom w:val="single" w:sz="4" w:space="0" w:color="ADADAD"/>
              <w:right w:val="nil"/>
            </w:tcBorders>
            <w:vAlign w:val="center"/>
          </w:tcPr>
          <w:p w14:paraId="3ED5DDE1"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2DADE106"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029E6652"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Stevenson et al. 2021</w:t>
            </w:r>
          </w:p>
        </w:tc>
      </w:tr>
      <w:tr w:rsidR="0072616B" w14:paraId="696F0D2E" w14:textId="77777777">
        <w:trPr>
          <w:trHeight w:val="300"/>
          <w:jc w:val="center"/>
        </w:trPr>
        <w:tc>
          <w:tcPr>
            <w:tcW w:w="1980" w:type="dxa"/>
            <w:tcBorders>
              <w:top w:val="single" w:sz="4" w:space="0" w:color="ADADAD"/>
              <w:bottom w:val="single" w:sz="4" w:space="0" w:color="ADADAD"/>
              <w:right w:val="nil"/>
            </w:tcBorders>
          </w:tcPr>
          <w:p w14:paraId="40F511EE"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Mico </w:t>
            </w:r>
            <w:proofErr w:type="spellStart"/>
            <w:r>
              <w:rPr>
                <w:rFonts w:ascii="Times New Roman" w:eastAsia="Times New Roman" w:hAnsi="Times New Roman" w:cs="Times New Roman"/>
                <w:i/>
                <w:iCs/>
                <w:sz w:val="18"/>
                <w:szCs w:val="18"/>
              </w:rPr>
              <w:t>rondoni</w:t>
            </w:r>
            <w:proofErr w:type="spellEnd"/>
          </w:p>
        </w:tc>
        <w:tc>
          <w:tcPr>
            <w:tcW w:w="1560" w:type="dxa"/>
            <w:tcBorders>
              <w:top w:val="single" w:sz="4" w:space="0" w:color="ADADAD"/>
              <w:left w:val="nil"/>
              <w:bottom w:val="single" w:sz="4" w:space="0" w:color="ADADAD"/>
              <w:right w:val="nil"/>
            </w:tcBorders>
            <w:vAlign w:val="center"/>
          </w:tcPr>
          <w:p w14:paraId="14BDBE44"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4E38F245"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79B32A6A"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Messias et al. 2021</w:t>
            </w:r>
          </w:p>
        </w:tc>
      </w:tr>
      <w:tr w:rsidR="0072616B" w14:paraId="7B1D603D" w14:textId="77777777">
        <w:trPr>
          <w:trHeight w:val="300"/>
          <w:jc w:val="center"/>
        </w:trPr>
        <w:tc>
          <w:tcPr>
            <w:tcW w:w="1980" w:type="dxa"/>
            <w:tcBorders>
              <w:top w:val="single" w:sz="4" w:space="0" w:color="ADADAD"/>
              <w:bottom w:val="single" w:sz="4" w:space="0" w:color="ADADAD"/>
              <w:right w:val="nil"/>
            </w:tcBorders>
          </w:tcPr>
          <w:p w14:paraId="64599478"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lastRenderedPageBreak/>
              <w:t xml:space="preserve">Saguinus </w:t>
            </w:r>
            <w:proofErr w:type="spellStart"/>
            <w:r>
              <w:rPr>
                <w:rFonts w:ascii="Times New Roman" w:eastAsia="Times New Roman" w:hAnsi="Times New Roman" w:cs="Times New Roman"/>
                <w:i/>
                <w:iCs/>
                <w:sz w:val="18"/>
                <w:szCs w:val="18"/>
              </w:rPr>
              <w:t>niger</w:t>
            </w:r>
            <w:proofErr w:type="spellEnd"/>
          </w:p>
        </w:tc>
        <w:tc>
          <w:tcPr>
            <w:tcW w:w="1560" w:type="dxa"/>
            <w:tcBorders>
              <w:top w:val="single" w:sz="4" w:space="0" w:color="ADADAD"/>
              <w:left w:val="nil"/>
              <w:bottom w:val="single" w:sz="4" w:space="0" w:color="ADADAD"/>
              <w:right w:val="nil"/>
            </w:tcBorders>
            <w:vAlign w:val="center"/>
          </w:tcPr>
          <w:p w14:paraId="5BA1BBF9"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66B52D60"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4F9AA79F"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Mendes-Oliveira et al. 2021</w:t>
            </w:r>
          </w:p>
        </w:tc>
      </w:tr>
      <w:tr w:rsidR="0072616B" w14:paraId="1002BC09" w14:textId="77777777">
        <w:trPr>
          <w:trHeight w:val="300"/>
          <w:jc w:val="center"/>
        </w:trPr>
        <w:tc>
          <w:tcPr>
            <w:tcW w:w="1980" w:type="dxa"/>
            <w:tcBorders>
              <w:top w:val="single" w:sz="4" w:space="0" w:color="ADADAD"/>
              <w:bottom w:val="single" w:sz="4" w:space="0" w:color="ADADAD"/>
              <w:right w:val="nil"/>
            </w:tcBorders>
          </w:tcPr>
          <w:p w14:paraId="3102106D"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Saimiri </w:t>
            </w:r>
            <w:proofErr w:type="spellStart"/>
            <w:r>
              <w:rPr>
                <w:rFonts w:ascii="Times New Roman" w:eastAsia="Times New Roman" w:hAnsi="Times New Roman" w:cs="Times New Roman"/>
                <w:i/>
                <w:iCs/>
                <w:sz w:val="18"/>
                <w:szCs w:val="18"/>
              </w:rPr>
              <w:t>vanzolinii</w:t>
            </w:r>
            <w:proofErr w:type="spellEnd"/>
          </w:p>
        </w:tc>
        <w:tc>
          <w:tcPr>
            <w:tcW w:w="1560" w:type="dxa"/>
            <w:tcBorders>
              <w:top w:val="single" w:sz="4" w:space="0" w:color="ADADAD"/>
              <w:left w:val="nil"/>
              <w:bottom w:val="single" w:sz="4" w:space="0" w:color="ADADAD"/>
              <w:right w:val="nil"/>
            </w:tcBorders>
            <w:vAlign w:val="center"/>
          </w:tcPr>
          <w:p w14:paraId="373D00A3"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3A4E3B4A"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Amazon</w:t>
            </w:r>
          </w:p>
        </w:tc>
        <w:tc>
          <w:tcPr>
            <w:tcW w:w="3165" w:type="dxa"/>
            <w:tcBorders>
              <w:top w:val="single" w:sz="4" w:space="0" w:color="ADADAD"/>
              <w:left w:val="nil"/>
              <w:bottom w:val="single" w:sz="4" w:space="0" w:color="ADADAD"/>
              <w:right w:val="nil"/>
            </w:tcBorders>
            <w:vAlign w:val="center"/>
          </w:tcPr>
          <w:p w14:paraId="66456A0F"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Lynch et al. 2021</w:t>
            </w:r>
          </w:p>
        </w:tc>
      </w:tr>
      <w:tr w:rsidR="0072616B" w14:paraId="06AC46A2" w14:textId="77777777">
        <w:trPr>
          <w:trHeight w:val="300"/>
          <w:jc w:val="center"/>
        </w:trPr>
        <w:tc>
          <w:tcPr>
            <w:tcW w:w="1980" w:type="dxa"/>
            <w:tcBorders>
              <w:top w:val="single" w:sz="4" w:space="0" w:color="ADADAD"/>
              <w:bottom w:val="single" w:sz="4" w:space="0" w:color="ADADAD"/>
              <w:right w:val="nil"/>
            </w:tcBorders>
          </w:tcPr>
          <w:p w14:paraId="53F45F0A"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Alouatta </w:t>
            </w:r>
            <w:proofErr w:type="spellStart"/>
            <w:r>
              <w:rPr>
                <w:rFonts w:ascii="Times New Roman" w:eastAsia="Times New Roman" w:hAnsi="Times New Roman" w:cs="Times New Roman"/>
                <w:i/>
                <w:iCs/>
                <w:sz w:val="18"/>
                <w:szCs w:val="18"/>
              </w:rPr>
              <w:t>ululata</w:t>
            </w:r>
            <w:proofErr w:type="spellEnd"/>
          </w:p>
        </w:tc>
        <w:tc>
          <w:tcPr>
            <w:tcW w:w="1560" w:type="dxa"/>
            <w:tcBorders>
              <w:top w:val="single" w:sz="4" w:space="0" w:color="ADADAD"/>
              <w:left w:val="nil"/>
              <w:bottom w:val="single" w:sz="4" w:space="0" w:color="ADADAD"/>
              <w:right w:val="nil"/>
            </w:tcBorders>
            <w:vAlign w:val="center"/>
          </w:tcPr>
          <w:p w14:paraId="60EEDE32"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46CEFCA7"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Caatinga</w:t>
            </w:r>
          </w:p>
        </w:tc>
        <w:tc>
          <w:tcPr>
            <w:tcW w:w="3165" w:type="dxa"/>
            <w:tcBorders>
              <w:top w:val="single" w:sz="4" w:space="0" w:color="ADADAD"/>
              <w:left w:val="nil"/>
              <w:bottom w:val="single" w:sz="4" w:space="0" w:color="ADADAD"/>
              <w:right w:val="nil"/>
            </w:tcBorders>
            <w:vAlign w:val="center"/>
          </w:tcPr>
          <w:p w14:paraId="0DBF805E"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Fialho et al. 2021b</w:t>
            </w:r>
          </w:p>
        </w:tc>
      </w:tr>
      <w:tr w:rsidR="0072616B" w14:paraId="6BB329DF" w14:textId="77777777">
        <w:trPr>
          <w:trHeight w:val="300"/>
          <w:jc w:val="center"/>
        </w:trPr>
        <w:tc>
          <w:tcPr>
            <w:tcW w:w="1980" w:type="dxa"/>
            <w:tcBorders>
              <w:top w:val="single" w:sz="4" w:space="0" w:color="ADADAD"/>
              <w:bottom w:val="single" w:sz="4" w:space="0" w:color="ADADAD"/>
              <w:right w:val="nil"/>
            </w:tcBorders>
          </w:tcPr>
          <w:p w14:paraId="1A1E55F9"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Sapajus</w:t>
            </w:r>
            <w:proofErr w:type="spellEnd"/>
            <w:r>
              <w:rPr>
                <w:rFonts w:ascii="Times New Roman" w:eastAsia="Times New Roman" w:hAnsi="Times New Roman" w:cs="Times New Roman"/>
                <w:i/>
                <w:iCs/>
                <w:sz w:val="18"/>
                <w:szCs w:val="18"/>
              </w:rPr>
              <w:t xml:space="preserve"> cay</w:t>
            </w:r>
          </w:p>
        </w:tc>
        <w:tc>
          <w:tcPr>
            <w:tcW w:w="1560" w:type="dxa"/>
            <w:tcBorders>
              <w:top w:val="single" w:sz="4" w:space="0" w:color="ADADAD"/>
              <w:left w:val="nil"/>
              <w:bottom w:val="single" w:sz="4" w:space="0" w:color="ADADAD"/>
              <w:right w:val="nil"/>
            </w:tcBorders>
            <w:vAlign w:val="center"/>
          </w:tcPr>
          <w:p w14:paraId="18D4EFE0"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3C03239D" w14:textId="77777777" w:rsidR="0072616B" w:rsidRDefault="00000000">
            <w:pPr>
              <w:spacing w:line="36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Cerrado</w:t>
            </w:r>
            <w:proofErr w:type="spellEnd"/>
          </w:p>
        </w:tc>
        <w:tc>
          <w:tcPr>
            <w:tcW w:w="3165" w:type="dxa"/>
            <w:tcBorders>
              <w:top w:val="single" w:sz="4" w:space="0" w:color="ADADAD"/>
              <w:left w:val="nil"/>
              <w:bottom w:val="single" w:sz="4" w:space="0" w:color="ADADAD"/>
              <w:right w:val="nil"/>
            </w:tcBorders>
            <w:vAlign w:val="center"/>
          </w:tcPr>
          <w:p w14:paraId="5F7A2390" w14:textId="77777777" w:rsidR="0072616B" w:rsidRDefault="00000000">
            <w:pPr>
              <w:spacing w:line="36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Rímoli</w:t>
            </w:r>
            <w:proofErr w:type="spellEnd"/>
            <w:r>
              <w:rPr>
                <w:rFonts w:ascii="Times New Roman" w:eastAsia="Times New Roman" w:hAnsi="Times New Roman" w:cs="Times New Roman"/>
                <w:sz w:val="18"/>
                <w:szCs w:val="18"/>
              </w:rPr>
              <w:t xml:space="preserve"> et al. 2022</w:t>
            </w:r>
          </w:p>
        </w:tc>
      </w:tr>
      <w:tr w:rsidR="0072616B" w14:paraId="1D76C56C" w14:textId="77777777">
        <w:trPr>
          <w:trHeight w:val="300"/>
          <w:jc w:val="center"/>
        </w:trPr>
        <w:tc>
          <w:tcPr>
            <w:tcW w:w="1980" w:type="dxa"/>
            <w:tcBorders>
              <w:top w:val="single" w:sz="4" w:space="0" w:color="ADADAD"/>
              <w:bottom w:val="single" w:sz="4" w:space="0" w:color="ADADAD"/>
              <w:right w:val="nil"/>
            </w:tcBorders>
          </w:tcPr>
          <w:p w14:paraId="535A32B1"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Brachyteles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arachnoides</w:t>
            </w:r>
            <w:proofErr w:type="spellEnd"/>
          </w:p>
        </w:tc>
        <w:tc>
          <w:tcPr>
            <w:tcW w:w="1560" w:type="dxa"/>
            <w:tcBorders>
              <w:top w:val="single" w:sz="4" w:space="0" w:color="ADADAD"/>
              <w:left w:val="nil"/>
              <w:bottom w:val="single" w:sz="4" w:space="0" w:color="ADADAD"/>
              <w:right w:val="nil"/>
            </w:tcBorders>
            <w:vAlign w:val="center"/>
          </w:tcPr>
          <w:p w14:paraId="465792AE"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c>
          <w:tcPr>
            <w:tcW w:w="1425" w:type="dxa"/>
            <w:tcBorders>
              <w:top w:val="single" w:sz="4" w:space="0" w:color="ADADAD"/>
              <w:left w:val="nil"/>
              <w:bottom w:val="single" w:sz="4" w:space="0" w:color="ADADAD"/>
              <w:right w:val="nil"/>
            </w:tcBorders>
            <w:vAlign w:val="center"/>
          </w:tcPr>
          <w:p w14:paraId="28A30A02"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3165" w:type="dxa"/>
            <w:tcBorders>
              <w:top w:val="single" w:sz="4" w:space="0" w:color="ADADAD"/>
              <w:left w:val="nil"/>
              <w:bottom w:val="single" w:sz="4" w:space="0" w:color="ADADAD"/>
              <w:right w:val="nil"/>
            </w:tcBorders>
            <w:vAlign w:val="center"/>
          </w:tcPr>
          <w:p w14:paraId="11C3BEAE"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Talebi et al. 2021</w:t>
            </w:r>
          </w:p>
        </w:tc>
      </w:tr>
      <w:tr w:rsidR="0072616B" w14:paraId="43895A2B" w14:textId="77777777">
        <w:trPr>
          <w:trHeight w:val="300"/>
          <w:jc w:val="center"/>
        </w:trPr>
        <w:tc>
          <w:tcPr>
            <w:tcW w:w="1980" w:type="dxa"/>
            <w:tcBorders>
              <w:top w:val="single" w:sz="4" w:space="0" w:color="ADADAD"/>
              <w:bottom w:val="single" w:sz="4" w:space="0" w:color="ADADAD"/>
              <w:right w:val="nil"/>
            </w:tcBorders>
          </w:tcPr>
          <w:p w14:paraId="70807A27"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Callicebus </w:t>
            </w:r>
            <w:proofErr w:type="spellStart"/>
            <w:r>
              <w:rPr>
                <w:rFonts w:ascii="Times New Roman" w:eastAsia="Times New Roman" w:hAnsi="Times New Roman" w:cs="Times New Roman"/>
                <w:i/>
                <w:iCs/>
                <w:sz w:val="18"/>
                <w:szCs w:val="18"/>
              </w:rPr>
              <w:t>coimbrai</w:t>
            </w:r>
            <w:proofErr w:type="spellEnd"/>
          </w:p>
        </w:tc>
        <w:tc>
          <w:tcPr>
            <w:tcW w:w="1560" w:type="dxa"/>
            <w:tcBorders>
              <w:top w:val="single" w:sz="4" w:space="0" w:color="ADADAD"/>
              <w:left w:val="nil"/>
              <w:bottom w:val="single" w:sz="4" w:space="0" w:color="ADADAD"/>
              <w:right w:val="nil"/>
            </w:tcBorders>
            <w:vAlign w:val="center"/>
          </w:tcPr>
          <w:p w14:paraId="0BDB13AC"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6E8E575E"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3165" w:type="dxa"/>
            <w:tcBorders>
              <w:top w:val="single" w:sz="4" w:space="0" w:color="ADADAD"/>
              <w:left w:val="nil"/>
              <w:bottom w:val="single" w:sz="4" w:space="0" w:color="ADADAD"/>
              <w:right w:val="nil"/>
            </w:tcBorders>
            <w:vAlign w:val="center"/>
          </w:tcPr>
          <w:p w14:paraId="65BA9F97" w14:textId="77777777" w:rsidR="0072616B" w:rsidRDefault="00000000">
            <w:pPr>
              <w:spacing w:line="36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Jerusalinsky</w:t>
            </w:r>
            <w:proofErr w:type="spellEnd"/>
            <w:r>
              <w:rPr>
                <w:rFonts w:ascii="Times New Roman" w:eastAsia="Times New Roman" w:hAnsi="Times New Roman" w:cs="Times New Roman"/>
                <w:sz w:val="18"/>
                <w:szCs w:val="18"/>
              </w:rPr>
              <w:t xml:space="preserve"> et al. 2020</w:t>
            </w:r>
          </w:p>
        </w:tc>
      </w:tr>
      <w:tr w:rsidR="0072616B" w14:paraId="45801B51" w14:textId="77777777">
        <w:trPr>
          <w:trHeight w:val="300"/>
          <w:jc w:val="center"/>
        </w:trPr>
        <w:tc>
          <w:tcPr>
            <w:tcW w:w="1980" w:type="dxa"/>
            <w:tcBorders>
              <w:top w:val="single" w:sz="4" w:space="0" w:color="ADADAD"/>
              <w:bottom w:val="single" w:sz="4" w:space="0" w:color="ADADAD"/>
              <w:right w:val="nil"/>
            </w:tcBorders>
          </w:tcPr>
          <w:p w14:paraId="0754F632"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Callicebus </w:t>
            </w:r>
            <w:proofErr w:type="spellStart"/>
            <w:r>
              <w:rPr>
                <w:rFonts w:ascii="Times New Roman" w:eastAsia="Times New Roman" w:hAnsi="Times New Roman" w:cs="Times New Roman"/>
                <w:i/>
                <w:iCs/>
                <w:sz w:val="18"/>
                <w:szCs w:val="18"/>
              </w:rPr>
              <w:t>melanochir</w:t>
            </w:r>
            <w:proofErr w:type="spellEnd"/>
          </w:p>
        </w:tc>
        <w:tc>
          <w:tcPr>
            <w:tcW w:w="1560" w:type="dxa"/>
            <w:tcBorders>
              <w:top w:val="single" w:sz="4" w:space="0" w:color="ADADAD"/>
              <w:left w:val="nil"/>
              <w:bottom w:val="single" w:sz="4" w:space="0" w:color="ADADAD"/>
              <w:right w:val="nil"/>
            </w:tcBorders>
            <w:vAlign w:val="center"/>
          </w:tcPr>
          <w:p w14:paraId="61759615"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770B8D20"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3165" w:type="dxa"/>
            <w:tcBorders>
              <w:top w:val="single" w:sz="4" w:space="0" w:color="ADADAD"/>
              <w:left w:val="nil"/>
              <w:bottom w:val="single" w:sz="4" w:space="0" w:color="ADADAD"/>
              <w:right w:val="nil"/>
            </w:tcBorders>
            <w:vAlign w:val="center"/>
          </w:tcPr>
          <w:p w14:paraId="1131FB3D"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Printes et al. 2020</w:t>
            </w:r>
          </w:p>
        </w:tc>
      </w:tr>
      <w:tr w:rsidR="0072616B" w14:paraId="2DCBF016" w14:textId="77777777">
        <w:trPr>
          <w:trHeight w:val="300"/>
          <w:jc w:val="center"/>
        </w:trPr>
        <w:tc>
          <w:tcPr>
            <w:tcW w:w="1980" w:type="dxa"/>
            <w:tcBorders>
              <w:top w:val="single" w:sz="4" w:space="0" w:color="ADADAD"/>
              <w:bottom w:val="single" w:sz="4" w:space="0" w:color="ADADAD"/>
              <w:right w:val="nil"/>
            </w:tcBorders>
          </w:tcPr>
          <w:p w14:paraId="5EA4C931" w14:textId="77777777" w:rsidR="0072616B" w:rsidRDefault="00000000">
            <w:pPr>
              <w:spacing w:line="360" w:lineRule="auto"/>
              <w:jc w:val="both"/>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Callicebus </w:t>
            </w:r>
            <w:proofErr w:type="spellStart"/>
            <w:r>
              <w:rPr>
                <w:rFonts w:ascii="Times New Roman" w:eastAsia="Times New Roman" w:hAnsi="Times New Roman" w:cs="Times New Roman"/>
                <w:i/>
                <w:iCs/>
                <w:sz w:val="18"/>
                <w:szCs w:val="18"/>
              </w:rPr>
              <w:t>personatus</w:t>
            </w:r>
            <w:proofErr w:type="spellEnd"/>
          </w:p>
        </w:tc>
        <w:tc>
          <w:tcPr>
            <w:tcW w:w="1560" w:type="dxa"/>
            <w:tcBorders>
              <w:top w:val="single" w:sz="4" w:space="0" w:color="ADADAD"/>
              <w:left w:val="nil"/>
              <w:bottom w:val="single" w:sz="4" w:space="0" w:color="ADADAD"/>
              <w:right w:val="nil"/>
            </w:tcBorders>
            <w:vAlign w:val="center"/>
          </w:tcPr>
          <w:p w14:paraId="72C743AD"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VU</w:t>
            </w:r>
          </w:p>
        </w:tc>
        <w:tc>
          <w:tcPr>
            <w:tcW w:w="1425" w:type="dxa"/>
            <w:tcBorders>
              <w:top w:val="single" w:sz="4" w:space="0" w:color="ADADAD"/>
              <w:left w:val="nil"/>
              <w:bottom w:val="single" w:sz="4" w:space="0" w:color="ADADAD"/>
              <w:right w:val="nil"/>
            </w:tcBorders>
            <w:vAlign w:val="center"/>
          </w:tcPr>
          <w:p w14:paraId="617C2CBF"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3165" w:type="dxa"/>
            <w:tcBorders>
              <w:top w:val="single" w:sz="4" w:space="0" w:color="ADADAD"/>
              <w:left w:val="nil"/>
              <w:bottom w:val="single" w:sz="4" w:space="0" w:color="ADADAD"/>
              <w:right w:val="nil"/>
            </w:tcBorders>
            <w:vAlign w:val="center"/>
          </w:tcPr>
          <w:p w14:paraId="73CD809D"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Melo et al. 2021d</w:t>
            </w:r>
          </w:p>
        </w:tc>
      </w:tr>
      <w:tr w:rsidR="0072616B" w14:paraId="2AD86120" w14:textId="77777777">
        <w:trPr>
          <w:trHeight w:val="279"/>
          <w:jc w:val="center"/>
        </w:trPr>
        <w:tc>
          <w:tcPr>
            <w:tcW w:w="1980" w:type="dxa"/>
            <w:tcBorders>
              <w:top w:val="single" w:sz="4" w:space="0" w:color="ADADAD"/>
              <w:left w:val="nil"/>
              <w:bottom w:val="single" w:sz="4" w:space="0" w:color="ADADAD"/>
              <w:right w:val="nil"/>
            </w:tcBorders>
          </w:tcPr>
          <w:p w14:paraId="03C648F3"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Leontopithecus</w:t>
            </w:r>
            <w:proofErr w:type="spellEnd"/>
            <w:r>
              <w:rPr>
                <w:rFonts w:ascii="Times New Roman" w:eastAsia="Times New Roman" w:hAnsi="Times New Roman" w:cs="Times New Roman"/>
                <w:i/>
                <w:iCs/>
                <w:sz w:val="18"/>
                <w:szCs w:val="18"/>
              </w:rPr>
              <w:t xml:space="preserve"> </w:t>
            </w:r>
            <w:proofErr w:type="spellStart"/>
            <w:r>
              <w:rPr>
                <w:rFonts w:ascii="Times New Roman" w:eastAsia="Times New Roman" w:hAnsi="Times New Roman" w:cs="Times New Roman"/>
                <w:i/>
                <w:iCs/>
                <w:sz w:val="18"/>
                <w:szCs w:val="18"/>
              </w:rPr>
              <w:t>chrysomelas</w:t>
            </w:r>
            <w:proofErr w:type="spellEnd"/>
          </w:p>
        </w:tc>
        <w:tc>
          <w:tcPr>
            <w:tcW w:w="1560" w:type="dxa"/>
            <w:tcBorders>
              <w:top w:val="single" w:sz="4" w:space="0" w:color="ADADAD"/>
              <w:left w:val="nil"/>
              <w:bottom w:val="single" w:sz="4" w:space="0" w:color="ADADAD"/>
              <w:right w:val="nil"/>
            </w:tcBorders>
            <w:vAlign w:val="center"/>
          </w:tcPr>
          <w:p w14:paraId="68E9344B"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55880CEB"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3165" w:type="dxa"/>
            <w:tcBorders>
              <w:top w:val="single" w:sz="4" w:space="0" w:color="ADADAD"/>
              <w:left w:val="nil"/>
              <w:bottom w:val="single" w:sz="4" w:space="0" w:color="ADADAD"/>
              <w:right w:val="nil"/>
            </w:tcBorders>
            <w:vAlign w:val="center"/>
          </w:tcPr>
          <w:p w14:paraId="5F646DE2"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Oliveira et al. 2021</w:t>
            </w:r>
          </w:p>
        </w:tc>
      </w:tr>
      <w:tr w:rsidR="0072616B" w14:paraId="2E2653FC" w14:textId="77777777">
        <w:trPr>
          <w:trHeight w:val="300"/>
          <w:jc w:val="center"/>
        </w:trPr>
        <w:tc>
          <w:tcPr>
            <w:tcW w:w="1980" w:type="dxa"/>
            <w:tcBorders>
              <w:top w:val="single" w:sz="4" w:space="0" w:color="ADADAD"/>
              <w:bottom w:val="single" w:sz="4" w:space="0" w:color="ADADAD"/>
              <w:right w:val="nil"/>
            </w:tcBorders>
          </w:tcPr>
          <w:p w14:paraId="4A12E34A" w14:textId="77777777" w:rsidR="0072616B" w:rsidRDefault="00000000">
            <w:pPr>
              <w:spacing w:line="360" w:lineRule="auto"/>
              <w:jc w:val="both"/>
              <w:rPr>
                <w:rFonts w:ascii="Times New Roman" w:eastAsia="Times New Roman" w:hAnsi="Times New Roman" w:cs="Times New Roman"/>
                <w:i/>
                <w:iCs/>
                <w:sz w:val="18"/>
                <w:szCs w:val="18"/>
              </w:rPr>
            </w:pPr>
            <w:proofErr w:type="spellStart"/>
            <w:r>
              <w:rPr>
                <w:rFonts w:ascii="Times New Roman" w:eastAsia="Times New Roman" w:hAnsi="Times New Roman" w:cs="Times New Roman"/>
                <w:i/>
                <w:iCs/>
                <w:sz w:val="18"/>
                <w:szCs w:val="18"/>
              </w:rPr>
              <w:t>Sapajus</w:t>
            </w:r>
            <w:proofErr w:type="spellEnd"/>
            <w:r>
              <w:rPr>
                <w:rFonts w:ascii="Times New Roman" w:eastAsia="Times New Roman" w:hAnsi="Times New Roman" w:cs="Times New Roman"/>
                <w:i/>
                <w:iCs/>
                <w:sz w:val="18"/>
                <w:szCs w:val="18"/>
              </w:rPr>
              <w:t xml:space="preserve"> robustus</w:t>
            </w:r>
          </w:p>
        </w:tc>
        <w:tc>
          <w:tcPr>
            <w:tcW w:w="1560" w:type="dxa"/>
            <w:tcBorders>
              <w:top w:val="single" w:sz="4" w:space="0" w:color="ADADAD"/>
              <w:left w:val="nil"/>
              <w:bottom w:val="single" w:sz="4" w:space="0" w:color="ADADAD"/>
              <w:right w:val="nil"/>
            </w:tcBorders>
            <w:vAlign w:val="center"/>
          </w:tcPr>
          <w:p w14:paraId="51A65F7B"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w:t>
            </w:r>
          </w:p>
        </w:tc>
        <w:tc>
          <w:tcPr>
            <w:tcW w:w="1425" w:type="dxa"/>
            <w:tcBorders>
              <w:top w:val="single" w:sz="4" w:space="0" w:color="ADADAD"/>
              <w:left w:val="nil"/>
              <w:bottom w:val="single" w:sz="4" w:space="0" w:color="ADADAD"/>
              <w:right w:val="nil"/>
            </w:tcBorders>
            <w:vAlign w:val="center"/>
          </w:tcPr>
          <w:p w14:paraId="76A9C41A"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Atlantic Forest</w:t>
            </w:r>
          </w:p>
        </w:tc>
        <w:tc>
          <w:tcPr>
            <w:tcW w:w="3165" w:type="dxa"/>
            <w:tcBorders>
              <w:top w:val="single" w:sz="4" w:space="0" w:color="ADADAD"/>
              <w:left w:val="nil"/>
              <w:bottom w:val="single" w:sz="4" w:space="0" w:color="ADADAD"/>
              <w:right w:val="nil"/>
            </w:tcBorders>
            <w:vAlign w:val="center"/>
          </w:tcPr>
          <w:p w14:paraId="69D51227" w14:textId="77777777" w:rsidR="0072616B" w:rsidRDefault="00000000">
            <w:pPr>
              <w:spacing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Martins et al. 2021</w:t>
            </w:r>
          </w:p>
        </w:tc>
      </w:tr>
    </w:tbl>
    <w:p w14:paraId="0F70C104" w14:textId="77777777" w:rsidR="0072616B" w:rsidRDefault="0072616B">
      <w:pPr>
        <w:spacing w:line="360" w:lineRule="auto"/>
        <w:jc w:val="both"/>
        <w:rPr>
          <w:rFonts w:ascii="Times New Roman" w:eastAsia="Times New Roman" w:hAnsi="Times New Roman" w:cs="Times New Roman"/>
          <w:sz w:val="22"/>
          <w:szCs w:val="22"/>
        </w:rPr>
      </w:pPr>
    </w:p>
    <w:p w14:paraId="73A98174" w14:textId="77777777" w:rsidR="0072616B"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We considered the threat categories of the subspecies of </w:t>
      </w:r>
      <w:proofErr w:type="spellStart"/>
      <w:r>
        <w:rPr>
          <w:rFonts w:ascii="Times New Roman" w:eastAsia="Times New Roman" w:hAnsi="Times New Roman" w:cs="Times New Roman"/>
          <w:i/>
          <w:iCs/>
          <w:sz w:val="20"/>
          <w:szCs w:val="20"/>
        </w:rPr>
        <w:t>Cacajao</w:t>
      </w:r>
      <w:proofErr w:type="spellEnd"/>
      <w:r>
        <w:rPr>
          <w:rFonts w:ascii="Times New Roman" w:eastAsia="Times New Roman" w:hAnsi="Times New Roman" w:cs="Times New Roman"/>
          <w:i/>
          <w:iCs/>
          <w:sz w:val="20"/>
          <w:szCs w:val="20"/>
        </w:rPr>
        <w:t xml:space="preserve"> calvus </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 xml:space="preserve">C. calvus </w:t>
      </w:r>
      <w:proofErr w:type="spellStart"/>
      <w:r>
        <w:rPr>
          <w:rFonts w:ascii="Times New Roman" w:eastAsia="Times New Roman" w:hAnsi="Times New Roman" w:cs="Times New Roman"/>
          <w:i/>
          <w:iCs/>
          <w:sz w:val="20"/>
          <w:szCs w:val="20"/>
        </w:rPr>
        <w:t>novaesi</w:t>
      </w:r>
      <w:proofErr w:type="spellEnd"/>
      <w:r>
        <w:rPr>
          <w:rFonts w:ascii="Times New Roman" w:eastAsia="Times New Roman" w:hAnsi="Times New Roman" w:cs="Times New Roman"/>
          <w:sz w:val="20"/>
          <w:szCs w:val="20"/>
        </w:rPr>
        <w:t xml:space="preserve">, and </w:t>
      </w:r>
      <w:r>
        <w:rPr>
          <w:rFonts w:ascii="Times New Roman" w:eastAsia="Times New Roman" w:hAnsi="Times New Roman" w:cs="Times New Roman"/>
          <w:i/>
          <w:iCs/>
          <w:sz w:val="20"/>
          <w:szCs w:val="20"/>
        </w:rPr>
        <w:t xml:space="preserve">C. calvus </w:t>
      </w:r>
      <w:proofErr w:type="spellStart"/>
      <w:r>
        <w:rPr>
          <w:rFonts w:ascii="Times New Roman" w:eastAsia="Times New Roman" w:hAnsi="Times New Roman" w:cs="Times New Roman"/>
          <w:i/>
          <w:iCs/>
          <w:sz w:val="20"/>
          <w:szCs w:val="20"/>
        </w:rPr>
        <w:t>ucayalli</w:t>
      </w:r>
      <w:proofErr w:type="spellEnd"/>
      <w:r>
        <w:rPr>
          <w:rFonts w:ascii="Times New Roman" w:eastAsia="Times New Roman" w:hAnsi="Times New Roman" w:cs="Times New Roman"/>
          <w:sz w:val="20"/>
          <w:szCs w:val="20"/>
        </w:rPr>
        <w:t xml:space="preserve">) and their restricted range to the Brazilian territory, following Aquino et al. (2022). Although this IUCN assessment does not yet follow the taxonomy proposed by Silva et al. (2022) to elevate the four recognized subspecies of uakari to the species level, we used the subspecies in our analyses so that our data can inform future assessments. We did not include the range of </w:t>
      </w:r>
      <w:r>
        <w:rPr>
          <w:rFonts w:ascii="Times New Roman" w:eastAsia="Times New Roman" w:hAnsi="Times New Roman" w:cs="Times New Roman"/>
          <w:i/>
          <w:iCs/>
          <w:sz w:val="20"/>
          <w:szCs w:val="20"/>
        </w:rPr>
        <w:t>C. calvus rubicundus</w:t>
      </w:r>
      <w:r>
        <w:rPr>
          <w:rFonts w:ascii="Times New Roman" w:eastAsia="Times New Roman" w:hAnsi="Times New Roman" w:cs="Times New Roman"/>
          <w:sz w:val="20"/>
          <w:szCs w:val="20"/>
        </w:rPr>
        <w:t xml:space="preserve"> because this species was categorized as Least Concern (LC) category (Silva et al. 2021). **We considered the updated range of ​​</w:t>
      </w:r>
      <w:proofErr w:type="spellStart"/>
      <w:r>
        <w:rPr>
          <w:rFonts w:ascii="Times New Roman" w:eastAsia="Times New Roman" w:hAnsi="Times New Roman" w:cs="Times New Roman"/>
          <w:i/>
          <w:iCs/>
          <w:sz w:val="20"/>
          <w:szCs w:val="20"/>
        </w:rPr>
        <w:t>Cacajao</w:t>
      </w:r>
      <w:proofErr w:type="spellEnd"/>
      <w:r>
        <w:rPr>
          <w:rFonts w:ascii="Times New Roman" w:eastAsia="Times New Roman" w:hAnsi="Times New Roman" w:cs="Times New Roman"/>
          <w:i/>
          <w:iCs/>
          <w:sz w:val="20"/>
          <w:szCs w:val="20"/>
        </w:rPr>
        <w:t xml:space="preserve"> melanocephalus</w:t>
      </w:r>
      <w:r>
        <w:rPr>
          <w:rFonts w:ascii="Times New Roman" w:eastAsia="Times New Roman" w:hAnsi="Times New Roman" w:cs="Times New Roman"/>
          <w:sz w:val="20"/>
          <w:szCs w:val="20"/>
        </w:rPr>
        <w:t xml:space="preserve">, a synonym of </w:t>
      </w:r>
      <w:proofErr w:type="spellStart"/>
      <w:r>
        <w:rPr>
          <w:rFonts w:ascii="Times New Roman" w:eastAsia="Times New Roman" w:hAnsi="Times New Roman" w:cs="Times New Roman"/>
          <w:i/>
          <w:iCs/>
          <w:sz w:val="20"/>
          <w:szCs w:val="20"/>
        </w:rPr>
        <w:t>Cacajao</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hosomi</w:t>
      </w:r>
      <w:proofErr w:type="spellEnd"/>
      <w:r>
        <w:rPr>
          <w:rFonts w:ascii="Times New Roman" w:eastAsia="Times New Roman" w:hAnsi="Times New Roman" w:cs="Times New Roman"/>
          <w:sz w:val="20"/>
          <w:szCs w:val="20"/>
        </w:rPr>
        <w:t xml:space="preserve"> assessed by Mittermeier et al. (2021), whose distribution was provided by the National </w:t>
      </w:r>
      <w:proofErr w:type="spellStart"/>
      <w:r>
        <w:rPr>
          <w:rFonts w:ascii="Times New Roman" w:eastAsia="Times New Roman" w:hAnsi="Times New Roman" w:cs="Times New Roman"/>
          <w:sz w:val="20"/>
          <w:szCs w:val="20"/>
        </w:rPr>
        <w:t>Center</w:t>
      </w:r>
      <w:proofErr w:type="spellEnd"/>
      <w:r>
        <w:rPr>
          <w:rFonts w:ascii="Times New Roman" w:eastAsia="Times New Roman" w:hAnsi="Times New Roman" w:cs="Times New Roman"/>
          <w:sz w:val="20"/>
          <w:szCs w:val="20"/>
        </w:rPr>
        <w:t xml:space="preserve"> for Research and Conservation of Brazilian Primates (CPB/ICMBio).</w:t>
      </w:r>
    </w:p>
    <w:p w14:paraId="48D83886" w14:textId="77777777" w:rsidR="0072616B" w:rsidRDefault="0072616B">
      <w:pPr>
        <w:spacing w:line="360" w:lineRule="auto"/>
        <w:rPr>
          <w:rFonts w:ascii="Times New Roman" w:eastAsia="Times New Roman" w:hAnsi="Times New Roman" w:cs="Times New Roman"/>
          <w:sz w:val="22"/>
          <w:szCs w:val="22"/>
        </w:rPr>
      </w:pPr>
    </w:p>
    <w:p w14:paraId="29FD5069" w14:textId="77777777" w:rsidR="0072616B" w:rsidRDefault="0072616B">
      <w:pPr>
        <w:spacing w:line="360" w:lineRule="auto"/>
        <w:rPr>
          <w:rFonts w:ascii="Times New Roman" w:eastAsia="Times New Roman" w:hAnsi="Times New Roman" w:cs="Times New Roman"/>
          <w:sz w:val="22"/>
          <w:szCs w:val="22"/>
        </w:rPr>
      </w:pPr>
    </w:p>
    <w:p w14:paraId="76029CEA" w14:textId="77777777" w:rsidR="0072616B" w:rsidRPr="00BB2186" w:rsidRDefault="00000000">
      <w:pPr>
        <w:spacing w:line="360" w:lineRule="auto"/>
        <w:rPr>
          <w:rFonts w:ascii="Times New Roman" w:eastAsia="Times New Roman" w:hAnsi="Times New Roman" w:cs="Times New Roman"/>
          <w:b/>
          <w:bCs/>
          <w:sz w:val="22"/>
          <w:szCs w:val="22"/>
          <w:lang w:val="pt-BR"/>
        </w:rPr>
      </w:pPr>
      <w:proofErr w:type="spellStart"/>
      <w:r w:rsidRPr="00BB2186">
        <w:rPr>
          <w:rFonts w:ascii="Times New Roman" w:eastAsia="Times New Roman" w:hAnsi="Times New Roman" w:cs="Times New Roman"/>
          <w:b/>
          <w:bCs/>
          <w:sz w:val="22"/>
          <w:szCs w:val="22"/>
          <w:lang w:val="pt-BR"/>
        </w:rPr>
        <w:t>References</w:t>
      </w:r>
      <w:proofErr w:type="spellEnd"/>
      <w:r w:rsidRPr="00BB2186">
        <w:rPr>
          <w:rFonts w:ascii="Times New Roman" w:eastAsia="Times New Roman" w:hAnsi="Times New Roman" w:cs="Times New Roman"/>
          <w:b/>
          <w:bCs/>
          <w:sz w:val="22"/>
          <w:szCs w:val="22"/>
          <w:lang w:val="pt-BR"/>
        </w:rPr>
        <w:t xml:space="preserve"> </w:t>
      </w:r>
    </w:p>
    <w:p w14:paraId="5D4AB5DE" w14:textId="77777777" w:rsidR="0072616B" w:rsidRPr="00BB2186" w:rsidRDefault="0072616B">
      <w:pPr>
        <w:spacing w:line="360" w:lineRule="auto"/>
        <w:rPr>
          <w:rFonts w:ascii="Times New Roman" w:eastAsia="Times New Roman" w:hAnsi="Times New Roman" w:cs="Times New Roman"/>
          <w:sz w:val="22"/>
          <w:szCs w:val="22"/>
          <w:lang w:val="pt-BR"/>
        </w:rPr>
      </w:pPr>
    </w:p>
    <w:p w14:paraId="162FDF0A"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Aguiar J M, Amaral AT, </w:t>
      </w:r>
      <w:proofErr w:type="spellStart"/>
      <w:r w:rsidRPr="00BB2186">
        <w:rPr>
          <w:rFonts w:ascii="Times New Roman" w:eastAsia="Times New Roman" w:hAnsi="Times New Roman" w:cs="Times New Roman"/>
          <w:sz w:val="22"/>
          <w:szCs w:val="22"/>
          <w:lang w:val="pt-BR"/>
        </w:rPr>
        <w:t>Valladares-Padua</w:t>
      </w:r>
      <w:proofErr w:type="spellEnd"/>
      <w:r w:rsidRPr="00BB2186">
        <w:rPr>
          <w:rFonts w:ascii="Times New Roman" w:eastAsia="Times New Roman" w:hAnsi="Times New Roman" w:cs="Times New Roman"/>
          <w:sz w:val="22"/>
          <w:szCs w:val="22"/>
          <w:lang w:val="pt-BR"/>
        </w:rPr>
        <w:t xml:space="preserve"> CB, Prado F (2006) Black-</w:t>
      </w:r>
      <w:proofErr w:type="spellStart"/>
      <w:r w:rsidRPr="00BB2186">
        <w:rPr>
          <w:rFonts w:ascii="Times New Roman" w:eastAsia="Times New Roman" w:hAnsi="Times New Roman" w:cs="Times New Roman"/>
          <w:sz w:val="22"/>
          <w:szCs w:val="22"/>
          <w:lang w:val="pt-BR"/>
        </w:rPr>
        <w:t>faced</w:t>
      </w:r>
      <w:proofErr w:type="spellEnd"/>
      <w:r w:rsidRPr="00BB2186">
        <w:rPr>
          <w:rFonts w:ascii="Times New Roman" w:eastAsia="Times New Roman" w:hAnsi="Times New Roman" w:cs="Times New Roman"/>
          <w:sz w:val="22"/>
          <w:szCs w:val="22"/>
          <w:lang w:val="pt-BR"/>
        </w:rPr>
        <w:t xml:space="preserve"> Lion </w:t>
      </w:r>
      <w:proofErr w:type="spellStart"/>
      <w:r w:rsidRPr="00BB2186">
        <w:rPr>
          <w:rFonts w:ascii="Times New Roman" w:eastAsia="Times New Roman" w:hAnsi="Times New Roman" w:cs="Times New Roman"/>
          <w:sz w:val="22"/>
          <w:szCs w:val="22"/>
          <w:lang w:val="pt-BR"/>
        </w:rPr>
        <w:t>Tamarin</w:t>
      </w:r>
      <w:proofErr w:type="spellEnd"/>
      <w:r w:rsidRPr="00BB2186">
        <w:rPr>
          <w:rFonts w:ascii="Times New Roman" w:eastAsia="Times New Roman" w:hAnsi="Times New Roman" w:cs="Times New Roman"/>
          <w:sz w:val="22"/>
          <w:szCs w:val="22"/>
          <w:lang w:val="pt-BR"/>
        </w:rPr>
        <w:t xml:space="preserve"> (</w:t>
      </w:r>
      <w:proofErr w:type="spellStart"/>
      <w:r w:rsidRPr="00BB2186">
        <w:rPr>
          <w:rFonts w:ascii="Times New Roman" w:eastAsia="Times New Roman" w:hAnsi="Times New Roman" w:cs="Times New Roman"/>
          <w:i/>
          <w:iCs/>
          <w:sz w:val="22"/>
          <w:szCs w:val="22"/>
          <w:lang w:val="pt-BR"/>
        </w:rPr>
        <w:t>Leontopithecus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caissara</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 xml:space="preserve">In: Russell A. Mittermeier, Cláudio Valladares-Pádua, Anthony B. Rylands, Ardith A. Eudey, Thomas M. Butynski, Jörg U. Ganzhorn, Rebecca Kormos, John M. Aguiar, Sally Walker. Primates in peril: the world’s 25 most endangered primates, 2004–2006. Primate </w:t>
      </w:r>
      <w:proofErr w:type="spellStart"/>
      <w:r>
        <w:rPr>
          <w:rFonts w:ascii="Times New Roman" w:eastAsia="Times New Roman" w:hAnsi="Times New Roman" w:cs="Times New Roman"/>
          <w:sz w:val="22"/>
          <w:szCs w:val="22"/>
        </w:rPr>
        <w:t>Conserv</w:t>
      </w:r>
      <w:proofErr w:type="spellEnd"/>
      <w:r>
        <w:rPr>
          <w:rFonts w:ascii="Times New Roman" w:eastAsia="Times New Roman" w:hAnsi="Times New Roman" w:cs="Times New Roman"/>
          <w:sz w:val="22"/>
          <w:szCs w:val="22"/>
        </w:rPr>
        <w:t xml:space="preserve"> 20:1–28.</w:t>
      </w:r>
    </w:p>
    <w:p w14:paraId="458C50DC"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Alonso AC, Carvalho A,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(2020) </w:t>
      </w:r>
      <w:proofErr w:type="spellStart"/>
      <w:r w:rsidRPr="00BB2186">
        <w:rPr>
          <w:rFonts w:ascii="Times New Roman" w:eastAsia="Times New Roman" w:hAnsi="Times New Roman" w:cs="Times New Roman"/>
          <w:i/>
          <w:iCs/>
          <w:sz w:val="22"/>
          <w:szCs w:val="22"/>
          <w:lang w:val="pt-BR"/>
        </w:rPr>
        <w:t>Chiropotes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utahickae</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 Threatened Species 2020: e.T43892A17976648. https://dx.doi.org/10.2305/IUCN.UK.2020-3.RLTS.T43892A17976648.en. Accessed on 24 January 2025.</w:t>
      </w:r>
    </w:p>
    <w:p w14:paraId="3306D3AD"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Alves SL, </w:t>
      </w:r>
      <w:proofErr w:type="spellStart"/>
      <w:r>
        <w:rPr>
          <w:rFonts w:ascii="Times New Roman" w:eastAsia="Times New Roman" w:hAnsi="Times New Roman" w:cs="Times New Roman"/>
          <w:sz w:val="22"/>
          <w:szCs w:val="22"/>
        </w:rPr>
        <w:t>Ravetta</w:t>
      </w:r>
      <w:proofErr w:type="spellEnd"/>
      <w:r>
        <w:rPr>
          <w:rFonts w:ascii="Times New Roman" w:eastAsia="Times New Roman" w:hAnsi="Times New Roman" w:cs="Times New Roman"/>
          <w:sz w:val="22"/>
          <w:szCs w:val="22"/>
        </w:rPr>
        <w:t xml:space="preserve"> AL, Paim FP et al (2021) </w:t>
      </w:r>
      <w:r>
        <w:rPr>
          <w:rFonts w:ascii="Times New Roman" w:eastAsia="Times New Roman" w:hAnsi="Times New Roman" w:cs="Times New Roman"/>
          <w:i/>
          <w:iCs/>
          <w:sz w:val="22"/>
          <w:szCs w:val="22"/>
        </w:rPr>
        <w:t xml:space="preserve">Ateles </w:t>
      </w:r>
      <w:proofErr w:type="spellStart"/>
      <w:r>
        <w:rPr>
          <w:rFonts w:ascii="Times New Roman" w:eastAsia="Times New Roman" w:hAnsi="Times New Roman" w:cs="Times New Roman"/>
          <w:i/>
          <w:iCs/>
          <w:sz w:val="22"/>
          <w:szCs w:val="22"/>
        </w:rPr>
        <w:t>chamek</w:t>
      </w:r>
      <w:proofErr w:type="spellEnd"/>
      <w:r>
        <w:rPr>
          <w:rFonts w:ascii="Times New Roman" w:eastAsia="Times New Roman" w:hAnsi="Times New Roman" w:cs="Times New Roman"/>
          <w:sz w:val="22"/>
          <w:szCs w:val="22"/>
        </w:rPr>
        <w:t xml:space="preserve"> (amended version of 2020 assessment). The IUCN Red List of Threatened Species 2021: e.T41547A191685783. https://dx.doi.org/10.2305/IUCN.UK.2021-1.RLTS.T41547A191685783.en. Accessed on 24 January 2025.</w:t>
      </w:r>
    </w:p>
    <w:p w14:paraId="27F35FD4"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Aquino R, Queiroz HL, Paim FP et al (2022) </w:t>
      </w:r>
      <w:proofErr w:type="spellStart"/>
      <w:r>
        <w:rPr>
          <w:rFonts w:ascii="Times New Roman" w:eastAsia="Times New Roman" w:hAnsi="Times New Roman" w:cs="Times New Roman"/>
          <w:i/>
          <w:iCs/>
          <w:sz w:val="22"/>
          <w:szCs w:val="22"/>
        </w:rPr>
        <w:t>Cacajao</w:t>
      </w:r>
      <w:proofErr w:type="spellEnd"/>
      <w:r>
        <w:rPr>
          <w:rFonts w:ascii="Times New Roman" w:eastAsia="Times New Roman" w:hAnsi="Times New Roman" w:cs="Times New Roman"/>
          <w:i/>
          <w:iCs/>
          <w:sz w:val="22"/>
          <w:szCs w:val="22"/>
        </w:rPr>
        <w:t xml:space="preserve"> calvus</w:t>
      </w:r>
      <w:r>
        <w:rPr>
          <w:rFonts w:ascii="Times New Roman" w:eastAsia="Times New Roman" w:hAnsi="Times New Roman" w:cs="Times New Roman"/>
          <w:sz w:val="22"/>
          <w:szCs w:val="22"/>
        </w:rPr>
        <w:t xml:space="preserve"> (amended version of 2021 assessment). The IUCN Red List of Threatened Species 2022: e.T3416A210373615. Website: https://www.iucnredlist.org/species/3416/210373615. Accessed 27 October 2023.</w:t>
      </w:r>
    </w:p>
    <w:p w14:paraId="3EB00289"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Boubli</w:t>
      </w:r>
      <w:proofErr w:type="spellEnd"/>
      <w:r>
        <w:rPr>
          <w:rFonts w:ascii="Times New Roman" w:eastAsia="Times New Roman" w:hAnsi="Times New Roman" w:cs="Times New Roman"/>
          <w:sz w:val="22"/>
          <w:szCs w:val="22"/>
        </w:rPr>
        <w:t xml:space="preserve"> J, Melo FR, Rylands, AB (2020) </w:t>
      </w:r>
      <w:proofErr w:type="spellStart"/>
      <w:r>
        <w:rPr>
          <w:rFonts w:ascii="Times New Roman" w:eastAsia="Times New Roman" w:hAnsi="Times New Roman" w:cs="Times New Roman"/>
          <w:i/>
          <w:iCs/>
          <w:sz w:val="22"/>
          <w:szCs w:val="22"/>
        </w:rPr>
        <w:t>Plecturocebus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grovesi</w:t>
      </w:r>
      <w:proofErr w:type="spellEnd"/>
      <w:r>
        <w:rPr>
          <w:rFonts w:ascii="Times New Roman" w:eastAsia="Times New Roman" w:hAnsi="Times New Roman" w:cs="Times New Roman"/>
          <w:sz w:val="22"/>
          <w:szCs w:val="22"/>
        </w:rPr>
        <w:t>. The IUCN Red List of Threatened Species 2020: e.T172272064A172272430. https://dx.doi.org/10.2305/IUCN.UK.2020-3.RLTS.T172272064A172272430.en. Accessed on 24 January 2025.</w:t>
      </w:r>
    </w:p>
    <w:p w14:paraId="015E164B"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Boubli</w:t>
      </w:r>
      <w:proofErr w:type="spellEnd"/>
      <w:r>
        <w:rPr>
          <w:rFonts w:ascii="Times New Roman" w:eastAsia="Times New Roman" w:hAnsi="Times New Roman" w:cs="Times New Roman"/>
          <w:sz w:val="22"/>
          <w:szCs w:val="22"/>
        </w:rPr>
        <w:t xml:space="preserve"> JP, Canale GR, Semedo TBF, Melo FR,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(2022) GROVES’ TITI MONKEY </w:t>
      </w:r>
      <w:proofErr w:type="spellStart"/>
      <w:r>
        <w:rPr>
          <w:rFonts w:ascii="Times New Roman" w:eastAsia="Times New Roman" w:hAnsi="Times New Roman" w:cs="Times New Roman"/>
          <w:i/>
          <w:iCs/>
          <w:sz w:val="22"/>
          <w:szCs w:val="22"/>
        </w:rPr>
        <w:t>Plecturocebus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grovesi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Boubli</w:t>
      </w:r>
      <w:proofErr w:type="spellEnd"/>
      <w:r>
        <w:rPr>
          <w:rFonts w:ascii="Times New Roman" w:eastAsia="Times New Roman" w:hAnsi="Times New Roman" w:cs="Times New Roman"/>
          <w:sz w:val="22"/>
          <w:szCs w:val="22"/>
        </w:rPr>
        <w:t xml:space="preserve"> et al. 2019). In: RA Mittermeier, KE Reuter, AB Rylands, L Jerusalinsky, C Schwitzer, KB </w:t>
      </w:r>
      <w:proofErr w:type="spellStart"/>
      <w:r>
        <w:rPr>
          <w:rFonts w:ascii="Times New Roman" w:eastAsia="Times New Roman" w:hAnsi="Times New Roman" w:cs="Times New Roman"/>
          <w:sz w:val="22"/>
          <w:szCs w:val="22"/>
        </w:rPr>
        <w:t>Strier</w:t>
      </w:r>
      <w:proofErr w:type="spellEnd"/>
      <w:r>
        <w:rPr>
          <w:rFonts w:ascii="Times New Roman" w:eastAsia="Times New Roman" w:hAnsi="Times New Roman" w:cs="Times New Roman"/>
          <w:sz w:val="22"/>
          <w:szCs w:val="22"/>
        </w:rPr>
        <w:t xml:space="preserve">, J Ratsimbazafy, T Humle (eds.). Primates in Peril: The World’s 25 Most Endangered Primates 2022–2023, pp. 8–10. IUCN SSC Primate Specialist Group, International Primatological Society, </w:t>
      </w:r>
      <w:proofErr w:type="spellStart"/>
      <w:proofErr w:type="gramStart"/>
      <w:r>
        <w:rPr>
          <w:rFonts w:ascii="Times New Roman" w:eastAsia="Times New Roman" w:hAnsi="Times New Roman" w:cs="Times New Roman"/>
          <w:sz w:val="22"/>
          <w:szCs w:val="22"/>
        </w:rPr>
        <w:t>Re:Wild</w:t>
      </w:r>
      <w:proofErr w:type="spellEnd"/>
      <w:proofErr w:type="gramEnd"/>
      <w:r>
        <w:rPr>
          <w:rFonts w:ascii="Times New Roman" w:eastAsia="Times New Roman" w:hAnsi="Times New Roman" w:cs="Times New Roman"/>
          <w:sz w:val="22"/>
          <w:szCs w:val="22"/>
        </w:rPr>
        <w:t xml:space="preserve">, Washington, DC. </w:t>
      </w:r>
    </w:p>
    <w:p w14:paraId="1189EA87"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Buss G, Queiroz, HL, Melo FR, </w:t>
      </w:r>
      <w:proofErr w:type="spellStart"/>
      <w:r w:rsidRPr="00BB2186">
        <w:rPr>
          <w:rFonts w:ascii="Times New Roman" w:eastAsia="Times New Roman" w:hAnsi="Times New Roman" w:cs="Times New Roman"/>
          <w:sz w:val="22"/>
          <w:szCs w:val="22"/>
          <w:lang w:val="pt-BR"/>
        </w:rPr>
        <w:t>Talebi</w:t>
      </w:r>
      <w:proofErr w:type="spellEnd"/>
      <w:r w:rsidRPr="00BB2186">
        <w:rPr>
          <w:rFonts w:ascii="Times New Roman" w:eastAsia="Times New Roman" w:hAnsi="Times New Roman" w:cs="Times New Roman"/>
          <w:sz w:val="22"/>
          <w:szCs w:val="22"/>
          <w:lang w:val="pt-BR"/>
        </w:rPr>
        <w:t xml:space="preserve"> M,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(2017) Ka'apor </w:t>
      </w:r>
      <w:proofErr w:type="spellStart"/>
      <w:r w:rsidRPr="00BB2186">
        <w:rPr>
          <w:rFonts w:ascii="Times New Roman" w:eastAsia="Times New Roman" w:hAnsi="Times New Roman" w:cs="Times New Roman"/>
          <w:sz w:val="22"/>
          <w:szCs w:val="22"/>
          <w:lang w:val="pt-BR"/>
        </w:rPr>
        <w:t>Capuchin</w:t>
      </w:r>
      <w:proofErr w:type="spellEnd"/>
      <w:r w:rsidRPr="00BB2186">
        <w:rPr>
          <w:rFonts w:ascii="Times New Roman" w:eastAsia="Times New Roman" w:hAnsi="Times New Roman" w:cs="Times New Roman"/>
          <w:sz w:val="22"/>
          <w:szCs w:val="22"/>
          <w:lang w:val="pt-BR"/>
        </w:rPr>
        <w:t xml:space="preserve"> </w:t>
      </w:r>
      <w:proofErr w:type="spellStart"/>
      <w:r w:rsidRPr="00BB2186">
        <w:rPr>
          <w:rFonts w:ascii="Times New Roman" w:eastAsia="Times New Roman" w:hAnsi="Times New Roman" w:cs="Times New Roman"/>
          <w:i/>
          <w:iCs/>
          <w:sz w:val="22"/>
          <w:szCs w:val="22"/>
          <w:lang w:val="pt-BR"/>
        </w:rPr>
        <w:t>Cebus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kaapori</w:t>
      </w:r>
      <w:proofErr w:type="spellEnd"/>
      <w:r w:rsidRPr="00BB2186">
        <w:rPr>
          <w:rFonts w:ascii="Times New Roman" w:eastAsia="Times New Roman" w:hAnsi="Times New Roman" w:cs="Times New Roman"/>
          <w:sz w:val="22"/>
          <w:szCs w:val="22"/>
          <w:lang w:val="pt-BR"/>
        </w:rPr>
        <w:t xml:space="preserve"> (Queiroz, 1992). </w:t>
      </w:r>
      <w:r>
        <w:rPr>
          <w:rFonts w:ascii="Times New Roman" w:eastAsia="Times New Roman" w:hAnsi="Times New Roman" w:cs="Times New Roman"/>
          <w:sz w:val="22"/>
          <w:szCs w:val="22"/>
        </w:rPr>
        <w:t xml:space="preserve">In: Schwitzer, C., Mittermeier, R.A., Rylands, A.B., Chiozza, F., Williamson, E.A., Macfie, E.J., Wallis, J. and Cotton, A. (Org.). Primates in Peril: The World’s 25 Most Endangered Primates 2016-2018, p. 88-90. IUCN SSC Primate Specialist Group, International Primatological Society, Global Wildlife Conservation, and Bristol Zoological Society, Washington, DC. </w:t>
      </w:r>
    </w:p>
    <w:p w14:paraId="72F7081F"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Buss G, </w:t>
      </w:r>
      <w:proofErr w:type="spellStart"/>
      <w:r>
        <w:rPr>
          <w:rFonts w:ascii="Times New Roman" w:eastAsia="Times New Roman" w:hAnsi="Times New Roman" w:cs="Times New Roman"/>
          <w:sz w:val="22"/>
          <w:szCs w:val="22"/>
        </w:rPr>
        <w:t>Oklander</w:t>
      </w:r>
      <w:proofErr w:type="spellEnd"/>
      <w:r>
        <w:rPr>
          <w:rFonts w:ascii="Times New Roman" w:eastAsia="Times New Roman" w:hAnsi="Times New Roman" w:cs="Times New Roman"/>
          <w:sz w:val="22"/>
          <w:szCs w:val="22"/>
        </w:rPr>
        <w:t xml:space="preserve"> LI, Bicca-Marques JC et al (2019) Brown Howler Monkey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 xml:space="preserve">(Humboldt, 1812). In: C Schwitzer, RA Mittermeier, AB Rylands, F Chiozza, EA Williamson, D Byler, S </w:t>
      </w:r>
      <w:proofErr w:type="spellStart"/>
      <w:r>
        <w:rPr>
          <w:rFonts w:ascii="Times New Roman" w:eastAsia="Times New Roman" w:hAnsi="Times New Roman" w:cs="Times New Roman"/>
          <w:sz w:val="22"/>
          <w:szCs w:val="22"/>
        </w:rPr>
        <w:t>Wich</w:t>
      </w:r>
      <w:proofErr w:type="spellEnd"/>
      <w:r>
        <w:rPr>
          <w:rFonts w:ascii="Times New Roman" w:eastAsia="Times New Roman" w:hAnsi="Times New Roman" w:cs="Times New Roman"/>
          <w:sz w:val="22"/>
          <w:szCs w:val="22"/>
        </w:rPr>
        <w:t>, T Humle, C Johnson, H Mynott, G. McCabe (eds.). Primates in Peril: The World’s 25 Most Endangered Primates 2018–2020, pp. 24-27. IUCN SSC Primate Specialist Group, International Primatological Society, Global Wildlife Conservation, and Bristol Zoological Society, Washington, DC.</w:t>
      </w:r>
    </w:p>
    <w:p w14:paraId="09FF72C1"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Buss G, Cardoso TS, Queiroz HL, Oliveira ACM, Melo FR,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(2022) Ka’apor </w:t>
      </w:r>
      <w:proofErr w:type="spellStart"/>
      <w:r w:rsidRPr="00BB2186">
        <w:rPr>
          <w:rFonts w:ascii="Times New Roman" w:eastAsia="Times New Roman" w:hAnsi="Times New Roman" w:cs="Times New Roman"/>
          <w:sz w:val="22"/>
          <w:szCs w:val="22"/>
          <w:lang w:val="pt-BR"/>
        </w:rPr>
        <w:t>Capuchin</w:t>
      </w:r>
      <w:proofErr w:type="spellEnd"/>
      <w:r w:rsidRPr="00BB2186">
        <w:rPr>
          <w:rFonts w:ascii="Times New Roman" w:eastAsia="Times New Roman" w:hAnsi="Times New Roman" w:cs="Times New Roman"/>
          <w:sz w:val="22"/>
          <w:szCs w:val="22"/>
          <w:lang w:val="pt-BR"/>
        </w:rPr>
        <w:t xml:space="preserve"> </w:t>
      </w:r>
      <w:proofErr w:type="spellStart"/>
      <w:r w:rsidRPr="00BB2186">
        <w:rPr>
          <w:rFonts w:ascii="Times New Roman" w:eastAsia="Times New Roman" w:hAnsi="Times New Roman" w:cs="Times New Roman"/>
          <w:i/>
          <w:iCs/>
          <w:sz w:val="22"/>
          <w:szCs w:val="22"/>
          <w:lang w:val="pt-BR"/>
        </w:rPr>
        <w:t>Cebus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kaapori</w:t>
      </w:r>
      <w:proofErr w:type="spellEnd"/>
      <w:r w:rsidRPr="00BB2186">
        <w:rPr>
          <w:rFonts w:ascii="Times New Roman" w:eastAsia="Times New Roman" w:hAnsi="Times New Roman" w:cs="Times New Roman"/>
          <w:i/>
          <w:iCs/>
          <w:sz w:val="22"/>
          <w:szCs w:val="22"/>
          <w:lang w:val="pt-BR"/>
        </w:rPr>
        <w:t xml:space="preserve"> </w:t>
      </w:r>
      <w:r w:rsidRPr="00BB2186">
        <w:rPr>
          <w:rFonts w:ascii="Times New Roman" w:eastAsia="Times New Roman" w:hAnsi="Times New Roman" w:cs="Times New Roman"/>
          <w:sz w:val="22"/>
          <w:szCs w:val="22"/>
          <w:lang w:val="pt-BR"/>
        </w:rPr>
        <w:t xml:space="preserve">(Queiroz, 1992). </w:t>
      </w:r>
      <w:r>
        <w:rPr>
          <w:rFonts w:ascii="Times New Roman" w:eastAsia="Times New Roman" w:hAnsi="Times New Roman" w:cs="Times New Roman"/>
          <w:sz w:val="22"/>
          <w:szCs w:val="22"/>
        </w:rPr>
        <w:t xml:space="preserve">In: RA Mittermeier, KE Reuter, AB Rylands, L Jerusalinsky, C Schwitzer, KB </w:t>
      </w:r>
      <w:proofErr w:type="spellStart"/>
      <w:r>
        <w:rPr>
          <w:rFonts w:ascii="Times New Roman" w:eastAsia="Times New Roman" w:hAnsi="Times New Roman" w:cs="Times New Roman"/>
          <w:sz w:val="22"/>
          <w:szCs w:val="22"/>
        </w:rPr>
        <w:t>Strier</w:t>
      </w:r>
      <w:proofErr w:type="spellEnd"/>
      <w:r>
        <w:rPr>
          <w:rFonts w:ascii="Times New Roman" w:eastAsia="Times New Roman" w:hAnsi="Times New Roman" w:cs="Times New Roman"/>
          <w:sz w:val="22"/>
          <w:szCs w:val="22"/>
        </w:rPr>
        <w:t xml:space="preserve">, J Ratsimbazafy, T Humle (eds.). Primates in Peril: The World’s 25 Most Endangered Primates 2022–2023, pp. 104–109. IUCN SSC Primate Specialist Group, International Primatological Society, </w:t>
      </w:r>
      <w:proofErr w:type="spellStart"/>
      <w:proofErr w:type="gramStart"/>
      <w:r>
        <w:rPr>
          <w:rFonts w:ascii="Times New Roman" w:eastAsia="Times New Roman" w:hAnsi="Times New Roman" w:cs="Times New Roman"/>
          <w:sz w:val="22"/>
          <w:szCs w:val="22"/>
        </w:rPr>
        <w:t>Re:Wild</w:t>
      </w:r>
      <w:proofErr w:type="spellEnd"/>
      <w:proofErr w:type="gramEnd"/>
      <w:r>
        <w:rPr>
          <w:rFonts w:ascii="Times New Roman" w:eastAsia="Times New Roman" w:hAnsi="Times New Roman" w:cs="Times New Roman"/>
          <w:sz w:val="22"/>
          <w:szCs w:val="22"/>
        </w:rPr>
        <w:t>, Washington, DC.</w:t>
      </w:r>
    </w:p>
    <w:p w14:paraId="27E21E1F"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Canale GR, Alonso AC, Martins WP et al (2021). </w:t>
      </w:r>
      <w:proofErr w:type="spellStart"/>
      <w:r>
        <w:rPr>
          <w:rFonts w:ascii="Times New Roman" w:eastAsia="Times New Roman" w:hAnsi="Times New Roman" w:cs="Times New Roman"/>
          <w:i/>
          <w:iCs/>
          <w:sz w:val="22"/>
          <w:szCs w:val="22"/>
        </w:rPr>
        <w:t>Sapajus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xanthosternos</w:t>
      </w:r>
      <w:proofErr w:type="spellEnd"/>
      <w:r>
        <w:rPr>
          <w:rFonts w:ascii="Times New Roman" w:eastAsia="Times New Roman" w:hAnsi="Times New Roman" w:cs="Times New Roman"/>
          <w:sz w:val="22"/>
          <w:szCs w:val="22"/>
        </w:rPr>
        <w:t>. The IUCN Red List of Threatened Species 2021: e.T4074A192592138. Website: https://www.iucnredlist.org/species/4074/192592138. Accessed 27 October 2023.</w:t>
      </w:r>
    </w:p>
    <w:p w14:paraId="28AA5418"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Carvalho RS, Fransen SJ, Valença-Montenegro MM et al (2019) Buffy Tufted Ear Marmoset </w:t>
      </w:r>
      <w:r>
        <w:rPr>
          <w:rFonts w:ascii="Times New Roman" w:eastAsia="Times New Roman" w:hAnsi="Times New Roman" w:cs="Times New Roman"/>
          <w:i/>
          <w:iCs/>
          <w:sz w:val="22"/>
          <w:szCs w:val="22"/>
        </w:rPr>
        <w:t>Callithrix aurita</w:t>
      </w:r>
      <w:r>
        <w:rPr>
          <w:rFonts w:ascii="Times New Roman" w:eastAsia="Times New Roman" w:hAnsi="Times New Roman" w:cs="Times New Roman"/>
          <w:sz w:val="22"/>
          <w:szCs w:val="22"/>
        </w:rPr>
        <w:t xml:space="preserve"> (É. Geoffroy Saint-Hilaire, 1812). In: C Schwitzer, RA Mittermeier, AB Rylands, F Chiozza, EA Williamson, D Byler, S </w:t>
      </w:r>
      <w:proofErr w:type="spellStart"/>
      <w:r>
        <w:rPr>
          <w:rFonts w:ascii="Times New Roman" w:eastAsia="Times New Roman" w:hAnsi="Times New Roman" w:cs="Times New Roman"/>
          <w:sz w:val="22"/>
          <w:szCs w:val="22"/>
        </w:rPr>
        <w:t>Wich</w:t>
      </w:r>
      <w:proofErr w:type="spellEnd"/>
      <w:r>
        <w:rPr>
          <w:rFonts w:ascii="Times New Roman" w:eastAsia="Times New Roman" w:hAnsi="Times New Roman" w:cs="Times New Roman"/>
          <w:sz w:val="22"/>
          <w:szCs w:val="22"/>
        </w:rPr>
        <w:t>, T Humle, C Johnson, H Mynott, G McCabe (eds.). Primates in Peril: The World’s 25 Most Endangered Primates 2018–2020, pp. 78-81. IUCN SSC Primate Specialist Group, International Primatological Society, Global Wildlife Conservation, and Bristol Zoological Society, Washington, DC.</w:t>
      </w:r>
    </w:p>
    <w:p w14:paraId="2968E57A"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Clark F, Melo FR, </w:t>
      </w:r>
      <w:proofErr w:type="spellStart"/>
      <w:r w:rsidRPr="00BB2186">
        <w:rPr>
          <w:rFonts w:ascii="Times New Roman" w:eastAsia="Times New Roman" w:hAnsi="Times New Roman" w:cs="Times New Roman"/>
          <w:sz w:val="22"/>
          <w:szCs w:val="22"/>
          <w:lang w:val="pt-BR"/>
        </w:rPr>
        <w:t>Talebi</w:t>
      </w:r>
      <w:proofErr w:type="spellEnd"/>
      <w:r w:rsidRPr="00BB2186">
        <w:rPr>
          <w:rFonts w:ascii="Times New Roman" w:eastAsia="Times New Roman" w:hAnsi="Times New Roman" w:cs="Times New Roman"/>
          <w:sz w:val="22"/>
          <w:szCs w:val="22"/>
          <w:lang w:val="pt-BR"/>
        </w:rPr>
        <w:t xml:space="preserve"> MG (2014) Ka'apor </w:t>
      </w:r>
      <w:proofErr w:type="spellStart"/>
      <w:r w:rsidRPr="00BB2186">
        <w:rPr>
          <w:rFonts w:ascii="Times New Roman" w:eastAsia="Times New Roman" w:hAnsi="Times New Roman" w:cs="Times New Roman"/>
          <w:sz w:val="22"/>
          <w:szCs w:val="22"/>
          <w:lang w:val="pt-BR"/>
        </w:rPr>
        <w:t>Capuchin</w:t>
      </w:r>
      <w:proofErr w:type="spellEnd"/>
      <w:r w:rsidRPr="00BB2186">
        <w:rPr>
          <w:rFonts w:ascii="Times New Roman" w:eastAsia="Times New Roman" w:hAnsi="Times New Roman" w:cs="Times New Roman"/>
          <w:sz w:val="22"/>
          <w:szCs w:val="22"/>
          <w:lang w:val="pt-BR"/>
        </w:rPr>
        <w:t xml:space="preserve"> </w:t>
      </w:r>
      <w:proofErr w:type="spellStart"/>
      <w:r w:rsidRPr="00BB2186">
        <w:rPr>
          <w:rFonts w:ascii="Times New Roman" w:eastAsia="Times New Roman" w:hAnsi="Times New Roman" w:cs="Times New Roman"/>
          <w:i/>
          <w:iCs/>
          <w:sz w:val="22"/>
          <w:szCs w:val="22"/>
          <w:lang w:val="pt-BR"/>
        </w:rPr>
        <w:t>Cebus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kaapori</w:t>
      </w:r>
      <w:proofErr w:type="spellEnd"/>
      <w:r w:rsidRPr="00BB2186">
        <w:rPr>
          <w:rFonts w:ascii="Times New Roman" w:eastAsia="Times New Roman" w:hAnsi="Times New Roman" w:cs="Times New Roman"/>
          <w:sz w:val="22"/>
          <w:szCs w:val="22"/>
          <w:lang w:val="pt-BR"/>
        </w:rPr>
        <w:t xml:space="preserve"> (Queiroz, 1992). </w:t>
      </w:r>
      <w:r>
        <w:rPr>
          <w:rFonts w:ascii="Times New Roman" w:eastAsia="Times New Roman" w:hAnsi="Times New Roman" w:cs="Times New Roman"/>
          <w:sz w:val="22"/>
          <w:szCs w:val="22"/>
        </w:rPr>
        <w:t>In: C. Schwitzer, R. A. Mittermeier, A. B. Rylands, L. A. Taylor, F. Chiozza, E. A. Williamson, J. Wallis and F. E. Clark (Org.), Primates in Peril: The World’s 25 Most Endangered Primates 2012–2014, pp. 20–21. IUCN SSC Primate Specialist Group (PSG), International Primatological Society (IPS), Conservation International (CI), and Bristol Zoological Society, Arlington, VA.</w:t>
      </w:r>
    </w:p>
    <w:p w14:paraId="38383B1C"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lastRenderedPageBreak/>
        <w:t xml:space="preserve">Fialho MS,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w:t>
      </w:r>
      <w:proofErr w:type="spellStart"/>
      <w:r w:rsidRPr="00BB2186">
        <w:rPr>
          <w:rFonts w:ascii="Times New Roman" w:eastAsia="Times New Roman" w:hAnsi="Times New Roman" w:cs="Times New Roman"/>
          <w:sz w:val="22"/>
          <w:szCs w:val="22"/>
          <w:lang w:val="pt-BR"/>
        </w:rPr>
        <w:t>Talebi</w:t>
      </w:r>
      <w:proofErr w:type="spellEnd"/>
      <w:r w:rsidRPr="00BB2186">
        <w:rPr>
          <w:rFonts w:ascii="Times New Roman" w:eastAsia="Times New Roman" w:hAnsi="Times New Roman" w:cs="Times New Roman"/>
          <w:sz w:val="22"/>
          <w:szCs w:val="22"/>
          <w:lang w:val="pt-BR"/>
        </w:rPr>
        <w:t xml:space="preserve"> M, Melo FR (2015) Ka'apor </w:t>
      </w:r>
      <w:proofErr w:type="spellStart"/>
      <w:r w:rsidRPr="00BB2186">
        <w:rPr>
          <w:rFonts w:ascii="Times New Roman" w:eastAsia="Times New Roman" w:hAnsi="Times New Roman" w:cs="Times New Roman"/>
          <w:sz w:val="22"/>
          <w:szCs w:val="22"/>
          <w:lang w:val="pt-BR"/>
        </w:rPr>
        <w:t>Capuchin</w:t>
      </w:r>
      <w:proofErr w:type="spellEnd"/>
      <w:r w:rsidRPr="00BB2186">
        <w:rPr>
          <w:rFonts w:ascii="Times New Roman" w:eastAsia="Times New Roman" w:hAnsi="Times New Roman" w:cs="Times New Roman"/>
          <w:sz w:val="22"/>
          <w:szCs w:val="22"/>
          <w:lang w:val="pt-BR"/>
        </w:rPr>
        <w:t xml:space="preserve"> </w:t>
      </w:r>
      <w:proofErr w:type="spellStart"/>
      <w:r w:rsidRPr="00BB2186">
        <w:rPr>
          <w:rFonts w:ascii="Times New Roman" w:eastAsia="Times New Roman" w:hAnsi="Times New Roman" w:cs="Times New Roman"/>
          <w:i/>
          <w:iCs/>
          <w:sz w:val="22"/>
          <w:szCs w:val="22"/>
          <w:lang w:val="pt-BR"/>
        </w:rPr>
        <w:t>Cebus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kaapori</w:t>
      </w:r>
      <w:proofErr w:type="spellEnd"/>
      <w:r w:rsidRPr="00BB2186">
        <w:rPr>
          <w:rFonts w:ascii="Times New Roman" w:eastAsia="Times New Roman" w:hAnsi="Times New Roman" w:cs="Times New Roman"/>
          <w:sz w:val="22"/>
          <w:szCs w:val="22"/>
          <w:lang w:val="pt-BR"/>
        </w:rPr>
        <w:t xml:space="preserve"> (Queiroz, 1992). </w:t>
      </w:r>
      <w:r>
        <w:rPr>
          <w:rFonts w:ascii="Times New Roman" w:eastAsia="Times New Roman" w:hAnsi="Times New Roman" w:cs="Times New Roman"/>
          <w:sz w:val="22"/>
          <w:szCs w:val="22"/>
        </w:rPr>
        <w:t>In: Schwitzer C, Mittermeier RA, Rylands AB, Chiozza F, Williamson EA, Wallis J, Cotton A (Org.). Primates in Peril: The World’s 25 Most Endangered Primates 2014-2016, p. 78-80. IUCN SSC Primate Specialist Group, International Primatological Society, Global Wildlife Conservation, and Bristol Zoological Society, Washington, DC.</w:t>
      </w:r>
    </w:p>
    <w:p w14:paraId="60406714"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Fialho MS,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Moura EF et al (2021a) </w:t>
      </w:r>
      <w:r>
        <w:rPr>
          <w:rFonts w:ascii="Times New Roman" w:eastAsia="Times New Roman" w:hAnsi="Times New Roman" w:cs="Times New Roman"/>
          <w:i/>
          <w:iCs/>
          <w:sz w:val="22"/>
          <w:szCs w:val="22"/>
        </w:rPr>
        <w:t xml:space="preserve">Cebus </w:t>
      </w:r>
      <w:proofErr w:type="spellStart"/>
      <w:r>
        <w:rPr>
          <w:rFonts w:ascii="Times New Roman" w:eastAsia="Times New Roman" w:hAnsi="Times New Roman" w:cs="Times New Roman"/>
          <w:i/>
          <w:iCs/>
          <w:sz w:val="22"/>
          <w:szCs w:val="22"/>
        </w:rPr>
        <w:t>kaapori</w:t>
      </w:r>
      <w:proofErr w:type="spellEnd"/>
      <w:r>
        <w:rPr>
          <w:rFonts w:ascii="Times New Roman" w:eastAsia="Times New Roman" w:hAnsi="Times New Roman" w:cs="Times New Roman"/>
          <w:sz w:val="22"/>
          <w:szCs w:val="22"/>
        </w:rPr>
        <w:t xml:space="preserve"> (amended version of 2020 assessment). The IUCN Red List of Threatened Species 2021: e.T40019A191704766. Website: </w:t>
      </w:r>
      <w:hyperlink r:id="rId8">
        <w:r w:rsidR="0072616B">
          <w:rPr>
            <w:rFonts w:ascii="Times New Roman" w:eastAsia="Times New Roman" w:hAnsi="Times New Roman" w:cs="Times New Roman"/>
            <w:sz w:val="22"/>
            <w:szCs w:val="22"/>
            <w:u w:val="single"/>
          </w:rPr>
          <w:t>https://www.iucnredlist.org/species/40019/191704766. Accessed 3 November 2023</w:t>
        </w:r>
      </w:hyperlink>
      <w:r>
        <w:rPr>
          <w:rFonts w:ascii="Times New Roman" w:eastAsia="Times New Roman" w:hAnsi="Times New Roman" w:cs="Times New Roman"/>
          <w:sz w:val="22"/>
          <w:szCs w:val="22"/>
        </w:rPr>
        <w:t>.</w:t>
      </w:r>
    </w:p>
    <w:p w14:paraId="21BF562A"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Fialho MS,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Ferreira JG et al (2021b)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ululata</w:t>
      </w:r>
      <w:proofErr w:type="spellEnd"/>
      <w:r>
        <w:rPr>
          <w:rFonts w:ascii="Times New Roman" w:eastAsia="Times New Roman" w:hAnsi="Times New Roman" w:cs="Times New Roman"/>
          <w:sz w:val="22"/>
          <w:szCs w:val="22"/>
        </w:rPr>
        <w:t>. The IUCN Red List of Threatened Species 2021: e.T918A190435652. https://dx.doi.org/10.2305/IUCN.UK.2021-1.RLTS.T918A190435652.en. Accessed on 24 January 2025.</w:t>
      </w:r>
    </w:p>
    <w:p w14:paraId="44595250"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Gordo M, </w:t>
      </w:r>
      <w:proofErr w:type="spellStart"/>
      <w:r>
        <w:rPr>
          <w:rFonts w:ascii="Times New Roman" w:eastAsia="Times New Roman" w:hAnsi="Times New Roman" w:cs="Times New Roman"/>
          <w:sz w:val="22"/>
          <w:szCs w:val="22"/>
        </w:rPr>
        <w:t>Lagroteria</w:t>
      </w:r>
      <w:proofErr w:type="spellEnd"/>
      <w:r>
        <w:rPr>
          <w:rFonts w:ascii="Times New Roman" w:eastAsia="Times New Roman" w:hAnsi="Times New Roman" w:cs="Times New Roman"/>
          <w:sz w:val="22"/>
          <w:szCs w:val="22"/>
        </w:rPr>
        <w:t xml:space="preserve"> D, </w:t>
      </w:r>
      <w:proofErr w:type="spellStart"/>
      <w:r>
        <w:rPr>
          <w:rFonts w:ascii="Times New Roman" w:eastAsia="Times New Roman" w:hAnsi="Times New Roman" w:cs="Times New Roman"/>
          <w:sz w:val="22"/>
          <w:szCs w:val="22"/>
        </w:rPr>
        <w:t>Röhe</w:t>
      </w:r>
      <w:proofErr w:type="spellEnd"/>
      <w:r>
        <w:rPr>
          <w:rFonts w:ascii="Times New Roman" w:eastAsia="Times New Roman" w:hAnsi="Times New Roman" w:cs="Times New Roman"/>
          <w:sz w:val="22"/>
          <w:szCs w:val="22"/>
        </w:rPr>
        <w:t xml:space="preserve"> F et al (2019) Pied Tamarin </w:t>
      </w:r>
      <w:r>
        <w:rPr>
          <w:rFonts w:ascii="Times New Roman" w:eastAsia="Times New Roman" w:hAnsi="Times New Roman" w:cs="Times New Roman"/>
          <w:i/>
          <w:iCs/>
          <w:sz w:val="22"/>
          <w:szCs w:val="22"/>
        </w:rPr>
        <w:t xml:space="preserve">Saguinus </w:t>
      </w:r>
      <w:proofErr w:type="spellStart"/>
      <w:r>
        <w:rPr>
          <w:rFonts w:ascii="Times New Roman" w:eastAsia="Times New Roman" w:hAnsi="Times New Roman" w:cs="Times New Roman"/>
          <w:i/>
          <w:iCs/>
          <w:sz w:val="22"/>
          <w:szCs w:val="22"/>
        </w:rPr>
        <w:t>bicolor</w:t>
      </w:r>
      <w:proofErr w:type="spellEnd"/>
      <w:r>
        <w:rPr>
          <w:rFonts w:ascii="Times New Roman" w:eastAsia="Times New Roman" w:hAnsi="Times New Roman" w:cs="Times New Roman"/>
          <w:sz w:val="22"/>
          <w:szCs w:val="22"/>
        </w:rPr>
        <w:t xml:space="preserve"> (Spix, 1823). In: Schwitzer C, Mittermeier RA, Rylands AB, Chiozza F, Williamson EA, Byler D, </w:t>
      </w:r>
      <w:proofErr w:type="spellStart"/>
      <w:r>
        <w:rPr>
          <w:rFonts w:ascii="Times New Roman" w:eastAsia="Times New Roman" w:hAnsi="Times New Roman" w:cs="Times New Roman"/>
          <w:sz w:val="22"/>
          <w:szCs w:val="22"/>
        </w:rPr>
        <w:t>Wich</w:t>
      </w:r>
      <w:proofErr w:type="spellEnd"/>
      <w:r>
        <w:rPr>
          <w:rFonts w:ascii="Times New Roman" w:eastAsia="Times New Roman" w:hAnsi="Times New Roman" w:cs="Times New Roman"/>
          <w:sz w:val="22"/>
          <w:szCs w:val="22"/>
        </w:rPr>
        <w:t xml:space="preserve"> S, Humle T, Johnson C, Mynott H, McCabe G (Org.). Primates in peril: the world’s 25 most endangered primates 2018–2020, p. 83-85. IUCN SSC Primate Specialist Group, International Primatological Society, Global Wildlife Conservation, and Bristol Zoological Society, Washington, DC. </w:t>
      </w:r>
    </w:p>
    <w:p w14:paraId="31B7A4B9"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Gordo M, </w:t>
      </w:r>
      <w:proofErr w:type="spellStart"/>
      <w:r>
        <w:rPr>
          <w:rFonts w:ascii="Times New Roman" w:eastAsia="Times New Roman" w:hAnsi="Times New Roman" w:cs="Times New Roman"/>
          <w:sz w:val="22"/>
          <w:szCs w:val="22"/>
        </w:rPr>
        <w:t>Röhe</w:t>
      </w:r>
      <w:proofErr w:type="spellEnd"/>
      <w:r>
        <w:rPr>
          <w:rFonts w:ascii="Times New Roman" w:eastAsia="Times New Roman" w:hAnsi="Times New Roman" w:cs="Times New Roman"/>
          <w:sz w:val="22"/>
          <w:szCs w:val="22"/>
        </w:rPr>
        <w:t xml:space="preserve"> F, Vidal MD et al (2021) </w:t>
      </w:r>
      <w:r>
        <w:rPr>
          <w:rFonts w:ascii="Times New Roman" w:eastAsia="Times New Roman" w:hAnsi="Times New Roman" w:cs="Times New Roman"/>
          <w:i/>
          <w:iCs/>
          <w:sz w:val="22"/>
          <w:szCs w:val="22"/>
        </w:rPr>
        <w:t xml:space="preserve">Saguinus </w:t>
      </w:r>
      <w:proofErr w:type="spellStart"/>
      <w:r>
        <w:rPr>
          <w:rFonts w:ascii="Times New Roman" w:eastAsia="Times New Roman" w:hAnsi="Times New Roman" w:cs="Times New Roman"/>
          <w:i/>
          <w:iCs/>
          <w:sz w:val="22"/>
          <w:szCs w:val="22"/>
        </w:rPr>
        <w:t>bicolor</w:t>
      </w:r>
      <w:proofErr w:type="spellEnd"/>
      <w:r>
        <w:rPr>
          <w:rFonts w:ascii="Times New Roman" w:eastAsia="Times New Roman" w:hAnsi="Times New Roman" w:cs="Times New Roman"/>
          <w:sz w:val="22"/>
          <w:szCs w:val="22"/>
        </w:rPr>
        <w:t xml:space="preserve"> (amended version of 2019 assessment). The IUCN Red List of Threatened Species 2021: e.T40644A192551696. https://dx.doi.org/10.2305/IUCN.UK.2021-1.RLTS.T40644A192551696.en. Accessed on 24 January 2025.</w:t>
      </w:r>
    </w:p>
    <w:p w14:paraId="6D3728FE"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Souza-Alves J, Ferrari S (2020) </w:t>
      </w:r>
      <w:proofErr w:type="spellStart"/>
      <w:r w:rsidRPr="00BB2186">
        <w:rPr>
          <w:rFonts w:ascii="Times New Roman" w:eastAsia="Times New Roman" w:hAnsi="Times New Roman" w:cs="Times New Roman"/>
          <w:i/>
          <w:iCs/>
          <w:sz w:val="22"/>
          <w:szCs w:val="22"/>
          <w:lang w:val="pt-BR"/>
        </w:rPr>
        <w:t>Callicebus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coimbrai</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 Threatened Species 2020: e.T39954A17972422. https://dx.doi.org/10.2305/IUCN.UK.2020-3.RLTS.T39954A17972422.en. Accessed on 24 January 2025.</w:t>
      </w:r>
    </w:p>
    <w:p w14:paraId="782C85AA"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Bicca-Marques JC, Neves LG et al (2021)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sz w:val="22"/>
          <w:szCs w:val="22"/>
        </w:rPr>
        <w:t xml:space="preserve"> (amended version of 2020 assessment). The IUCN Red List of Threatened Species 2021: e.T39916A190417874. Website: https://www.iucnredlist.org/species/39916/190417874. Accessed 24 October 2023.</w:t>
      </w:r>
    </w:p>
    <w:p w14:paraId="5F10D274"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Kierulff MCM, </w:t>
      </w:r>
      <w:proofErr w:type="spellStart"/>
      <w:r>
        <w:rPr>
          <w:rFonts w:ascii="Times New Roman" w:eastAsia="Times New Roman" w:hAnsi="Times New Roman" w:cs="Times New Roman"/>
          <w:sz w:val="22"/>
          <w:szCs w:val="22"/>
        </w:rPr>
        <w:t>Lernould</w:t>
      </w:r>
      <w:proofErr w:type="spellEnd"/>
      <w:r>
        <w:rPr>
          <w:rFonts w:ascii="Times New Roman" w:eastAsia="Times New Roman" w:hAnsi="Times New Roman" w:cs="Times New Roman"/>
          <w:sz w:val="22"/>
          <w:szCs w:val="22"/>
        </w:rPr>
        <w:t xml:space="preserve"> J, Konstant WR, Canale G, dos Santos GR, </w:t>
      </w:r>
      <w:proofErr w:type="spellStart"/>
      <w:r>
        <w:rPr>
          <w:rFonts w:ascii="Times New Roman" w:eastAsia="Times New Roman" w:hAnsi="Times New Roman" w:cs="Times New Roman"/>
          <w:sz w:val="22"/>
          <w:szCs w:val="22"/>
        </w:rPr>
        <w:t>Guidorizzi</w:t>
      </w:r>
      <w:proofErr w:type="spellEnd"/>
      <w:r>
        <w:rPr>
          <w:rFonts w:ascii="Times New Roman" w:eastAsia="Times New Roman" w:hAnsi="Times New Roman" w:cs="Times New Roman"/>
          <w:sz w:val="22"/>
          <w:szCs w:val="22"/>
        </w:rPr>
        <w:t xml:space="preserve"> CE, Cassano C (2006) Buff-headed Capuchin or Yellow-breasted Capuchin </w:t>
      </w:r>
      <w:r>
        <w:rPr>
          <w:rFonts w:ascii="Times New Roman" w:eastAsia="Times New Roman" w:hAnsi="Times New Roman" w:cs="Times New Roman"/>
          <w:i/>
          <w:iCs/>
          <w:sz w:val="22"/>
          <w:szCs w:val="22"/>
        </w:rPr>
        <w:t xml:space="preserve">Cebus </w:t>
      </w:r>
      <w:proofErr w:type="spellStart"/>
      <w:r>
        <w:rPr>
          <w:rFonts w:ascii="Times New Roman" w:eastAsia="Times New Roman" w:hAnsi="Times New Roman" w:cs="Times New Roman"/>
          <w:i/>
          <w:iCs/>
          <w:sz w:val="22"/>
          <w:szCs w:val="22"/>
        </w:rPr>
        <w:t>xanthosternos</w:t>
      </w:r>
      <w:proofErr w:type="spellEnd"/>
      <w:r>
        <w:rPr>
          <w:rFonts w:ascii="Times New Roman" w:eastAsia="Times New Roman" w:hAnsi="Times New Roman" w:cs="Times New Roman"/>
          <w:sz w:val="22"/>
          <w:szCs w:val="22"/>
        </w:rPr>
        <w:t xml:space="preserve"> (Wied-Neuwied, 1826). In: Russell A Mittermeier, Cláudio Valladares-Pádua, Anthony B Rylands, Ardith A Eudey, Thomas M Butynski, Jörg U Ganzhorn, Rebecca Kormos, John M Aguiar, Sally Walker. Primates in peril: the world’s 25 most endangered primates, 2004–2006. Primate </w:t>
      </w:r>
      <w:proofErr w:type="spellStart"/>
      <w:r>
        <w:rPr>
          <w:rFonts w:ascii="Times New Roman" w:eastAsia="Times New Roman" w:hAnsi="Times New Roman" w:cs="Times New Roman"/>
          <w:sz w:val="22"/>
          <w:szCs w:val="22"/>
        </w:rPr>
        <w:t>Conserv</w:t>
      </w:r>
      <w:proofErr w:type="spellEnd"/>
      <w:r>
        <w:rPr>
          <w:rFonts w:ascii="Times New Roman" w:eastAsia="Times New Roman" w:hAnsi="Times New Roman" w:cs="Times New Roman"/>
          <w:sz w:val="22"/>
          <w:szCs w:val="22"/>
        </w:rPr>
        <w:t xml:space="preserve"> 20:1–28. </w:t>
      </w:r>
    </w:p>
    <w:p w14:paraId="2366842F"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Konstant WR, Mittermeier RA, Rylands AB, Butynski TM, Eudey AA, Ganzhorn J, Kormos R (2002) The world’s top 25 most endangered primates–2002. </w:t>
      </w:r>
      <w:proofErr w:type="spellStart"/>
      <w:r>
        <w:rPr>
          <w:rFonts w:ascii="Times New Roman" w:eastAsia="Times New Roman" w:hAnsi="Times New Roman" w:cs="Times New Roman"/>
          <w:sz w:val="22"/>
          <w:szCs w:val="22"/>
        </w:rPr>
        <w:t>Neotrop</w:t>
      </w:r>
      <w:proofErr w:type="spellEnd"/>
      <w:r>
        <w:rPr>
          <w:rFonts w:ascii="Times New Roman" w:eastAsia="Times New Roman" w:hAnsi="Times New Roman" w:cs="Times New Roman"/>
          <w:sz w:val="22"/>
          <w:szCs w:val="22"/>
        </w:rPr>
        <w:t>. Primates 10:128-131.</w:t>
      </w:r>
    </w:p>
    <w:p w14:paraId="2EE9C2F6"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Lagroteria</w:t>
      </w:r>
      <w:proofErr w:type="spellEnd"/>
      <w:r>
        <w:rPr>
          <w:rFonts w:ascii="Times New Roman" w:eastAsia="Times New Roman" w:hAnsi="Times New Roman" w:cs="Times New Roman"/>
          <w:sz w:val="22"/>
          <w:szCs w:val="22"/>
        </w:rPr>
        <w:t xml:space="preserve"> D, de Azevedo RB, Gordo M et al (2025) Pied Tamarin Wildlife Refuge: first federal protected area for the Critically Endangered </w:t>
      </w:r>
      <w:r>
        <w:rPr>
          <w:rFonts w:ascii="Times New Roman" w:eastAsia="Times New Roman" w:hAnsi="Times New Roman" w:cs="Times New Roman"/>
          <w:i/>
          <w:iCs/>
          <w:sz w:val="22"/>
          <w:szCs w:val="22"/>
        </w:rPr>
        <w:t xml:space="preserve">Saguinus </w:t>
      </w:r>
      <w:proofErr w:type="spellStart"/>
      <w:r>
        <w:rPr>
          <w:rFonts w:ascii="Times New Roman" w:eastAsia="Times New Roman" w:hAnsi="Times New Roman" w:cs="Times New Roman"/>
          <w:i/>
          <w:iCs/>
          <w:sz w:val="22"/>
          <w:szCs w:val="22"/>
        </w:rPr>
        <w:t>bicolor</w:t>
      </w:r>
      <w:proofErr w:type="spellEnd"/>
      <w:r>
        <w:rPr>
          <w:rFonts w:ascii="Times New Roman" w:eastAsia="Times New Roman" w:hAnsi="Times New Roman" w:cs="Times New Roman"/>
          <w:sz w:val="22"/>
          <w:szCs w:val="22"/>
        </w:rPr>
        <w:t>. Oryx 1-2.</w:t>
      </w:r>
    </w:p>
    <w:p w14:paraId="58E92092" w14:textId="77777777" w:rsidR="0072616B" w:rsidRDefault="0072616B">
      <w:pPr>
        <w:spacing w:line="360" w:lineRule="auto"/>
        <w:ind w:left="284" w:hanging="284"/>
        <w:jc w:val="both"/>
        <w:rPr>
          <w:rFonts w:ascii="Times New Roman" w:eastAsia="Times New Roman" w:hAnsi="Times New Roman" w:cs="Times New Roman"/>
          <w:sz w:val="22"/>
          <w:szCs w:val="22"/>
        </w:rPr>
      </w:pPr>
    </w:p>
    <w:p w14:paraId="02936CA4" w14:textId="77777777" w:rsidR="0072616B" w:rsidRPr="00BB2186" w:rsidRDefault="00000000">
      <w:pPr>
        <w:spacing w:line="360" w:lineRule="auto"/>
        <w:ind w:left="284" w:hanging="284"/>
        <w:jc w:val="both"/>
        <w:rPr>
          <w:rFonts w:ascii="Times New Roman" w:eastAsia="Times New Roman" w:hAnsi="Times New Roman" w:cs="Times New Roman"/>
          <w:sz w:val="22"/>
          <w:szCs w:val="22"/>
          <w:lang w:val="pt-BR"/>
        </w:rPr>
      </w:pPr>
      <w:r>
        <w:rPr>
          <w:rFonts w:ascii="Times New Roman" w:eastAsia="Times New Roman" w:hAnsi="Times New Roman" w:cs="Times New Roman"/>
          <w:sz w:val="22"/>
          <w:szCs w:val="22"/>
        </w:rPr>
        <w:t xml:space="preserve">Link A, Palacios E, Stevenson PR et al (2021) </w:t>
      </w:r>
      <w:r>
        <w:rPr>
          <w:rFonts w:ascii="Times New Roman" w:eastAsia="Times New Roman" w:hAnsi="Times New Roman" w:cs="Times New Roman"/>
          <w:i/>
          <w:iCs/>
          <w:sz w:val="22"/>
          <w:szCs w:val="22"/>
        </w:rPr>
        <w:t>Ateles belzebuth</w:t>
      </w:r>
      <w:r>
        <w:rPr>
          <w:rFonts w:ascii="Times New Roman" w:eastAsia="Times New Roman" w:hAnsi="Times New Roman" w:cs="Times New Roman"/>
          <w:sz w:val="22"/>
          <w:szCs w:val="22"/>
        </w:rPr>
        <w:t xml:space="preserve"> (amended version of 2019 assessment). The IUCN Red List of Threatened Species 2021: e.T2276A191684587. Website: </w:t>
      </w:r>
      <w:r>
        <w:rPr>
          <w:rFonts w:ascii="Times New Roman" w:eastAsia="Times New Roman" w:hAnsi="Times New Roman" w:cs="Times New Roman"/>
          <w:sz w:val="22"/>
          <w:szCs w:val="22"/>
          <w:u w:val="single"/>
        </w:rPr>
        <w:t>https://www.iucnredlist.org/species/2276/191684587</w:t>
      </w:r>
      <w:r>
        <w:rPr>
          <w:rFonts w:ascii="Times New Roman" w:eastAsia="Times New Roman" w:hAnsi="Times New Roman" w:cs="Times New Roman"/>
          <w:sz w:val="22"/>
          <w:szCs w:val="22"/>
        </w:rPr>
        <w:t>. </w:t>
      </w:r>
      <w:proofErr w:type="spellStart"/>
      <w:r w:rsidRPr="00BB2186">
        <w:rPr>
          <w:rFonts w:ascii="Times New Roman" w:eastAsia="Times New Roman" w:hAnsi="Times New Roman" w:cs="Times New Roman"/>
          <w:sz w:val="22"/>
          <w:szCs w:val="22"/>
          <w:lang w:val="pt-BR"/>
        </w:rPr>
        <w:t>Accessed</w:t>
      </w:r>
      <w:proofErr w:type="spellEnd"/>
      <w:r w:rsidRPr="00BB2186">
        <w:rPr>
          <w:rFonts w:ascii="Times New Roman" w:eastAsia="Times New Roman" w:hAnsi="Times New Roman" w:cs="Times New Roman"/>
          <w:sz w:val="22"/>
          <w:szCs w:val="22"/>
          <w:lang w:val="pt-BR"/>
        </w:rPr>
        <w:t xml:space="preserve"> 24 </w:t>
      </w:r>
      <w:proofErr w:type="spellStart"/>
      <w:r w:rsidRPr="00BB2186">
        <w:rPr>
          <w:rFonts w:ascii="Times New Roman" w:eastAsia="Times New Roman" w:hAnsi="Times New Roman" w:cs="Times New Roman"/>
          <w:sz w:val="22"/>
          <w:szCs w:val="22"/>
          <w:lang w:val="pt-BR"/>
        </w:rPr>
        <w:t>October</w:t>
      </w:r>
      <w:proofErr w:type="spellEnd"/>
      <w:r w:rsidRPr="00BB2186">
        <w:rPr>
          <w:rFonts w:ascii="Times New Roman" w:eastAsia="Times New Roman" w:hAnsi="Times New Roman" w:cs="Times New Roman"/>
          <w:sz w:val="22"/>
          <w:szCs w:val="22"/>
          <w:lang w:val="pt-BR"/>
        </w:rPr>
        <w:t xml:space="preserve"> 2023.</w:t>
      </w:r>
    </w:p>
    <w:p w14:paraId="6CBB7CC2"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Ludwig G, Nascimento ATA, Miranda JMD, Martins M,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w:t>
      </w:r>
      <w:proofErr w:type="spellStart"/>
      <w:r w:rsidRPr="00BB2186">
        <w:rPr>
          <w:rFonts w:ascii="Times New Roman" w:eastAsia="Times New Roman" w:hAnsi="Times New Roman" w:cs="Times New Roman"/>
          <w:sz w:val="22"/>
          <w:szCs w:val="22"/>
          <w:lang w:val="pt-BR"/>
        </w:rPr>
        <w:t>Mittermeier</w:t>
      </w:r>
      <w:proofErr w:type="spellEnd"/>
      <w:r w:rsidRPr="00BB2186">
        <w:rPr>
          <w:rFonts w:ascii="Times New Roman" w:eastAsia="Times New Roman" w:hAnsi="Times New Roman" w:cs="Times New Roman"/>
          <w:sz w:val="22"/>
          <w:szCs w:val="22"/>
          <w:lang w:val="pt-BR"/>
        </w:rPr>
        <w:t xml:space="preserve"> RA (2021) </w:t>
      </w:r>
      <w:proofErr w:type="spellStart"/>
      <w:r w:rsidRPr="00BB2186">
        <w:rPr>
          <w:rFonts w:ascii="Times New Roman" w:eastAsia="Times New Roman" w:hAnsi="Times New Roman" w:cs="Times New Roman"/>
          <w:i/>
          <w:iCs/>
          <w:sz w:val="22"/>
          <w:szCs w:val="22"/>
          <w:lang w:val="pt-BR"/>
        </w:rPr>
        <w:t>Leontopithecus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caissara</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 Threatened Species 2021: e.T11503A206547044. https://dx.doi.org/10.2305/IUCN.UK.2021-3.RLTS.T11503A206547044.en. Accessed on 24 January 2025.</w:t>
      </w:r>
    </w:p>
    <w:p w14:paraId="6FAE0C9F"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Lynch JW, Paim FP, Rabelo RM, Silva Júnior JS, Queiroz, HL (2021) </w:t>
      </w:r>
      <w:r>
        <w:rPr>
          <w:rFonts w:ascii="Times New Roman" w:eastAsia="Times New Roman" w:hAnsi="Times New Roman" w:cs="Times New Roman"/>
          <w:i/>
          <w:iCs/>
          <w:sz w:val="22"/>
          <w:szCs w:val="22"/>
        </w:rPr>
        <w:t xml:space="preserve">Saimiri </w:t>
      </w:r>
      <w:proofErr w:type="spellStart"/>
      <w:r>
        <w:rPr>
          <w:rFonts w:ascii="Times New Roman" w:eastAsia="Times New Roman" w:hAnsi="Times New Roman" w:cs="Times New Roman"/>
          <w:i/>
          <w:iCs/>
          <w:sz w:val="22"/>
          <w:szCs w:val="22"/>
        </w:rPr>
        <w:t>vanzolinii</w:t>
      </w:r>
      <w:proofErr w:type="spellEnd"/>
      <w:r>
        <w:rPr>
          <w:rFonts w:ascii="Times New Roman" w:eastAsia="Times New Roman" w:hAnsi="Times New Roman" w:cs="Times New Roman"/>
          <w:sz w:val="22"/>
          <w:szCs w:val="22"/>
        </w:rPr>
        <w:t>. The IUCN Red List of Threatened Species 2021: e.T19839A17940474. https://dx.doi.org/10.2305/IUCN.UK.2021-1.RLTS.T19839A17940474.en. Accessed on 24 January 2025.</w:t>
      </w:r>
    </w:p>
    <w:p w14:paraId="03272122"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Martins WP, Melo FR, Kierulff MCM, Mittermeier RA, Lynch Alfaro JW,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(2021) </w:t>
      </w:r>
      <w:proofErr w:type="spellStart"/>
      <w:r>
        <w:rPr>
          <w:rFonts w:ascii="Times New Roman" w:eastAsia="Times New Roman" w:hAnsi="Times New Roman" w:cs="Times New Roman"/>
          <w:i/>
          <w:iCs/>
          <w:sz w:val="22"/>
          <w:szCs w:val="22"/>
        </w:rPr>
        <w:t>Sapajus</w:t>
      </w:r>
      <w:proofErr w:type="spellEnd"/>
      <w:r>
        <w:rPr>
          <w:rFonts w:ascii="Times New Roman" w:eastAsia="Times New Roman" w:hAnsi="Times New Roman" w:cs="Times New Roman"/>
          <w:i/>
          <w:iCs/>
          <w:sz w:val="22"/>
          <w:szCs w:val="22"/>
        </w:rPr>
        <w:t xml:space="preserve"> robustus</w:t>
      </w:r>
      <w:r>
        <w:rPr>
          <w:rFonts w:ascii="Times New Roman" w:eastAsia="Times New Roman" w:hAnsi="Times New Roman" w:cs="Times New Roman"/>
          <w:sz w:val="22"/>
          <w:szCs w:val="22"/>
        </w:rPr>
        <w:t xml:space="preserve"> (amended version of 2019 assessment). The IUCN Red List of Threatened Species 2021: e.T42697A192592444. https://dx.doi.org/10.2305/IUCN.UK.2021-1.RLTS.T42697A192592444.en. Accessed on 24 January 2025.</w:t>
      </w:r>
    </w:p>
    <w:p w14:paraId="0F2EC216"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Melo FR, Hilário RR, Ferraz DS et al (2021a) </w:t>
      </w:r>
      <w:r>
        <w:rPr>
          <w:rFonts w:ascii="Times New Roman" w:eastAsia="Times New Roman" w:hAnsi="Times New Roman" w:cs="Times New Roman"/>
          <w:i/>
          <w:iCs/>
          <w:sz w:val="22"/>
          <w:szCs w:val="22"/>
        </w:rPr>
        <w:t xml:space="preserve">Callithrix </w:t>
      </w:r>
      <w:proofErr w:type="spellStart"/>
      <w:r>
        <w:rPr>
          <w:rFonts w:ascii="Times New Roman" w:eastAsia="Times New Roman" w:hAnsi="Times New Roman" w:cs="Times New Roman"/>
          <w:i/>
          <w:iCs/>
          <w:sz w:val="22"/>
          <w:szCs w:val="22"/>
        </w:rPr>
        <w:t>flaviceps</w:t>
      </w:r>
      <w:proofErr w:type="spellEnd"/>
      <w:r>
        <w:rPr>
          <w:rFonts w:ascii="Times New Roman" w:eastAsia="Times New Roman" w:hAnsi="Times New Roman" w:cs="Times New Roman"/>
          <w:sz w:val="22"/>
          <w:szCs w:val="22"/>
        </w:rPr>
        <w:t xml:space="preserve"> (amended version of 2020 assessment). The IUCN Red List of Threatened Species 2021: e.T3571A191700879. https://dx.doi.org/10.2305/IUCN.UK.2021-1.RLTS.T3571A191700879.en. Accessed on 29 March 2025.</w:t>
      </w:r>
    </w:p>
    <w:p w14:paraId="0FD88A55"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Melo FR, Port-Carvalho M, Pereira DG (2021b) </w:t>
      </w:r>
      <w:r>
        <w:rPr>
          <w:rFonts w:ascii="Times New Roman" w:eastAsia="Times New Roman" w:hAnsi="Times New Roman" w:cs="Times New Roman"/>
          <w:i/>
          <w:iCs/>
          <w:sz w:val="22"/>
          <w:szCs w:val="22"/>
        </w:rPr>
        <w:t>Callithrix aurita</w:t>
      </w:r>
      <w:r>
        <w:rPr>
          <w:rFonts w:ascii="Times New Roman" w:eastAsia="Times New Roman" w:hAnsi="Times New Roman" w:cs="Times New Roman"/>
          <w:sz w:val="22"/>
          <w:szCs w:val="22"/>
        </w:rPr>
        <w:t xml:space="preserve"> (amended version of 2020 assessment). The IUCN Red List of Threatened Species 2021: e.T3570A191700629. https://dx.doi.org/10.2305/IUCN.UK.2021-1.RLTS.T3570A191700629.en. Accessed on 24 January 2025.</w:t>
      </w:r>
    </w:p>
    <w:p w14:paraId="013F9C2D"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Melo FR, </w:t>
      </w:r>
      <w:proofErr w:type="spellStart"/>
      <w:r>
        <w:rPr>
          <w:rFonts w:ascii="Times New Roman" w:eastAsia="Times New Roman" w:hAnsi="Times New Roman" w:cs="Times New Roman"/>
          <w:sz w:val="22"/>
          <w:szCs w:val="22"/>
        </w:rPr>
        <w:t>Boubli</w:t>
      </w:r>
      <w:proofErr w:type="spellEnd"/>
      <w:r>
        <w:rPr>
          <w:rFonts w:ascii="Times New Roman" w:eastAsia="Times New Roman" w:hAnsi="Times New Roman" w:cs="Times New Roman"/>
          <w:sz w:val="22"/>
          <w:szCs w:val="22"/>
        </w:rPr>
        <w:t xml:space="preserve"> JP, Mittermeier RA,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w:t>
      </w:r>
      <w:proofErr w:type="spellStart"/>
      <w:r>
        <w:rPr>
          <w:rFonts w:ascii="Times New Roman" w:eastAsia="Times New Roman" w:hAnsi="Times New Roman" w:cs="Times New Roman"/>
          <w:sz w:val="22"/>
          <w:szCs w:val="22"/>
        </w:rPr>
        <w:t>Tabacow</w:t>
      </w:r>
      <w:proofErr w:type="spellEnd"/>
      <w:r>
        <w:rPr>
          <w:rFonts w:ascii="Times New Roman" w:eastAsia="Times New Roman" w:hAnsi="Times New Roman" w:cs="Times New Roman"/>
          <w:sz w:val="22"/>
          <w:szCs w:val="22"/>
        </w:rPr>
        <w:t xml:space="preserve"> FP, Ferraz DS, Talebi M (2021c) </w:t>
      </w:r>
      <w:proofErr w:type="spellStart"/>
      <w:r>
        <w:rPr>
          <w:rFonts w:ascii="Times New Roman" w:eastAsia="Times New Roman" w:hAnsi="Times New Roman" w:cs="Times New Roman"/>
          <w:i/>
          <w:iCs/>
          <w:sz w:val="22"/>
          <w:szCs w:val="22"/>
        </w:rPr>
        <w:t>Brachyteles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hypoxanthus</w:t>
      </w:r>
      <w:proofErr w:type="spellEnd"/>
      <w:r>
        <w:rPr>
          <w:rFonts w:ascii="Times New Roman" w:eastAsia="Times New Roman" w:hAnsi="Times New Roman" w:cs="Times New Roman"/>
          <w:sz w:val="22"/>
          <w:szCs w:val="22"/>
        </w:rPr>
        <w:t xml:space="preserve"> (amended version of 2019 assessment). The IUCN Red List of Threatened Species 2021: e.T2994A191693399. Website: https://www.iucnredlist.org/species/2994/191693399. Accessed 3 November 2023. </w:t>
      </w:r>
    </w:p>
    <w:p w14:paraId="00570DCB"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Melo FR, Quadros S, Oliveira LC, Mittermeier RA,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Rylands AB (2021d) </w:t>
      </w:r>
      <w:r>
        <w:rPr>
          <w:rFonts w:ascii="Times New Roman" w:eastAsia="Times New Roman" w:hAnsi="Times New Roman" w:cs="Times New Roman"/>
          <w:i/>
          <w:iCs/>
          <w:sz w:val="22"/>
          <w:szCs w:val="22"/>
        </w:rPr>
        <w:t xml:space="preserve">Callicebus </w:t>
      </w:r>
      <w:proofErr w:type="spellStart"/>
      <w:r>
        <w:rPr>
          <w:rFonts w:ascii="Times New Roman" w:eastAsia="Times New Roman" w:hAnsi="Times New Roman" w:cs="Times New Roman"/>
          <w:i/>
          <w:iCs/>
          <w:sz w:val="22"/>
          <w:szCs w:val="22"/>
        </w:rPr>
        <w:t>personatus</w:t>
      </w:r>
      <w:proofErr w:type="spellEnd"/>
      <w:r>
        <w:rPr>
          <w:rFonts w:ascii="Times New Roman" w:eastAsia="Times New Roman" w:hAnsi="Times New Roman" w:cs="Times New Roman"/>
          <w:sz w:val="22"/>
          <w:szCs w:val="22"/>
        </w:rPr>
        <w:t xml:space="preserve"> (amended version of 2020 assessment). The IUCN Red List of Threatened Species 2021: e.T3555A191700126. https://dx.doi.org/10.2305/IUCN.UK.2021-1.RLTS.T3555A191700126.en. Accessed on 24 January 2025.</w:t>
      </w:r>
    </w:p>
    <w:p w14:paraId="26B8D501"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Melo FR, Vital O, Carmo ST, Carvalho RS, Valença-Montenegro MM, Mendes SL,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(2022) Buffy-Headed Marmoset </w:t>
      </w:r>
      <w:r>
        <w:rPr>
          <w:rFonts w:ascii="Times New Roman" w:eastAsia="Times New Roman" w:hAnsi="Times New Roman" w:cs="Times New Roman"/>
          <w:i/>
          <w:iCs/>
          <w:sz w:val="22"/>
          <w:szCs w:val="22"/>
        </w:rPr>
        <w:t xml:space="preserve">Callithrix </w:t>
      </w:r>
      <w:proofErr w:type="spellStart"/>
      <w:r>
        <w:rPr>
          <w:rFonts w:ascii="Times New Roman" w:eastAsia="Times New Roman" w:hAnsi="Times New Roman" w:cs="Times New Roman"/>
          <w:i/>
          <w:iCs/>
          <w:sz w:val="22"/>
          <w:szCs w:val="22"/>
        </w:rPr>
        <w:t>flaviceps</w:t>
      </w:r>
      <w:proofErr w:type="spellEnd"/>
      <w:r>
        <w:rPr>
          <w:rFonts w:ascii="Times New Roman" w:eastAsia="Times New Roman" w:hAnsi="Times New Roman" w:cs="Times New Roman"/>
          <w:sz w:val="22"/>
          <w:szCs w:val="22"/>
        </w:rPr>
        <w:t xml:space="preserve"> (Thomas, 1903). In: RA Mittermeier, KE Reuter, AB Rylands, L Jerusalinsky, C Schwitzer, KB </w:t>
      </w:r>
      <w:proofErr w:type="spellStart"/>
      <w:r>
        <w:rPr>
          <w:rFonts w:ascii="Times New Roman" w:eastAsia="Times New Roman" w:hAnsi="Times New Roman" w:cs="Times New Roman"/>
          <w:sz w:val="22"/>
          <w:szCs w:val="22"/>
        </w:rPr>
        <w:t>Strier</w:t>
      </w:r>
      <w:proofErr w:type="spellEnd"/>
      <w:r>
        <w:rPr>
          <w:rFonts w:ascii="Times New Roman" w:eastAsia="Times New Roman" w:hAnsi="Times New Roman" w:cs="Times New Roman"/>
          <w:sz w:val="22"/>
          <w:szCs w:val="22"/>
        </w:rPr>
        <w:t xml:space="preserve">, J Ratsimbazafy, T. Humle (eds.). Primates in Peril: The World’s 25 Most Endangered Primates 2022–2023, pp. 8–10. IUCN SSC Primate Specialist Group, International Primatological Society, </w:t>
      </w:r>
      <w:proofErr w:type="spellStart"/>
      <w:proofErr w:type="gramStart"/>
      <w:r>
        <w:rPr>
          <w:rFonts w:ascii="Times New Roman" w:eastAsia="Times New Roman" w:hAnsi="Times New Roman" w:cs="Times New Roman"/>
          <w:sz w:val="22"/>
          <w:szCs w:val="22"/>
        </w:rPr>
        <w:t>Re:wild</w:t>
      </w:r>
      <w:proofErr w:type="spellEnd"/>
      <w:proofErr w:type="gramEnd"/>
      <w:r>
        <w:rPr>
          <w:rFonts w:ascii="Times New Roman" w:eastAsia="Times New Roman" w:hAnsi="Times New Roman" w:cs="Times New Roman"/>
          <w:sz w:val="22"/>
          <w:szCs w:val="22"/>
        </w:rPr>
        <w:t>, Washington, DC.</w:t>
      </w:r>
    </w:p>
    <w:p w14:paraId="1BD04571"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Mendes-Oliveira AC, </w:t>
      </w:r>
      <w:proofErr w:type="spellStart"/>
      <w:r>
        <w:rPr>
          <w:rFonts w:ascii="Times New Roman" w:eastAsia="Times New Roman" w:hAnsi="Times New Roman" w:cs="Times New Roman"/>
          <w:sz w:val="22"/>
          <w:szCs w:val="22"/>
        </w:rPr>
        <w:t>Ravetta</w:t>
      </w:r>
      <w:proofErr w:type="spellEnd"/>
      <w:r>
        <w:rPr>
          <w:rFonts w:ascii="Times New Roman" w:eastAsia="Times New Roman" w:hAnsi="Times New Roman" w:cs="Times New Roman"/>
          <w:sz w:val="22"/>
          <w:szCs w:val="22"/>
        </w:rPr>
        <w:t xml:space="preserve"> AL, Carvalho AS, Fialho MS, Veiga LM (2021) </w:t>
      </w:r>
      <w:r>
        <w:rPr>
          <w:rFonts w:ascii="Times New Roman" w:eastAsia="Times New Roman" w:hAnsi="Times New Roman" w:cs="Times New Roman"/>
          <w:i/>
          <w:iCs/>
          <w:sz w:val="22"/>
          <w:szCs w:val="22"/>
        </w:rPr>
        <w:t xml:space="preserve">Saguinus </w:t>
      </w:r>
      <w:proofErr w:type="spellStart"/>
      <w:r>
        <w:rPr>
          <w:rFonts w:ascii="Times New Roman" w:eastAsia="Times New Roman" w:hAnsi="Times New Roman" w:cs="Times New Roman"/>
          <w:i/>
          <w:iCs/>
          <w:sz w:val="22"/>
          <w:szCs w:val="22"/>
        </w:rPr>
        <w:t>niger</w:t>
      </w:r>
      <w:proofErr w:type="spellEnd"/>
      <w:r>
        <w:rPr>
          <w:rFonts w:ascii="Times New Roman" w:eastAsia="Times New Roman" w:hAnsi="Times New Roman" w:cs="Times New Roman"/>
          <w:sz w:val="22"/>
          <w:szCs w:val="22"/>
        </w:rPr>
        <w:t xml:space="preserve"> (amended version of 2020 assessment). The IUCN Red List of Threatened Species 2021: e.T160901052A192553958. https://dx.doi.org/10.2305/IUCN.UK.2021-1.RLTS.T160901052A192553958.en. Accessed on 24 January 2025.</w:t>
      </w:r>
    </w:p>
    <w:p w14:paraId="2004C55D"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Messias MR, Valença-Montenegro MM, Ferrari SF (2021) </w:t>
      </w:r>
      <w:r>
        <w:rPr>
          <w:rFonts w:ascii="Times New Roman" w:eastAsia="Times New Roman" w:hAnsi="Times New Roman" w:cs="Times New Roman"/>
          <w:i/>
          <w:iCs/>
          <w:sz w:val="22"/>
          <w:szCs w:val="22"/>
        </w:rPr>
        <w:t xml:space="preserve">Mico </w:t>
      </w:r>
      <w:proofErr w:type="spellStart"/>
      <w:r>
        <w:rPr>
          <w:rFonts w:ascii="Times New Roman" w:eastAsia="Times New Roman" w:hAnsi="Times New Roman" w:cs="Times New Roman"/>
          <w:i/>
          <w:iCs/>
          <w:sz w:val="22"/>
          <w:szCs w:val="22"/>
        </w:rPr>
        <w:t>rondoni</w:t>
      </w:r>
      <w:proofErr w:type="spellEnd"/>
      <w:r>
        <w:rPr>
          <w:rFonts w:ascii="Times New Roman" w:eastAsia="Times New Roman" w:hAnsi="Times New Roman" w:cs="Times New Roman"/>
          <w:sz w:val="22"/>
          <w:szCs w:val="22"/>
        </w:rPr>
        <w:t xml:space="preserve"> (amended version of 2019 assessment). The IUCN Red List of Threatened Species 2021: e.T136804A192401067. https://dx.doi.org/10.2305/IUCN.UK.2021-1.RLTS.T136804A192401067.en. Accessed on 24 January 2025.</w:t>
      </w:r>
    </w:p>
    <w:p w14:paraId="721434EF"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Mittermeier RA, Konstant WR, Rylands AB (2000) The world's top 25 most endangered primates. </w:t>
      </w:r>
      <w:proofErr w:type="spellStart"/>
      <w:r>
        <w:rPr>
          <w:rFonts w:ascii="Times New Roman" w:eastAsia="Times New Roman" w:hAnsi="Times New Roman" w:cs="Times New Roman"/>
          <w:sz w:val="22"/>
          <w:szCs w:val="22"/>
        </w:rPr>
        <w:t>Neotrop</w:t>
      </w:r>
      <w:proofErr w:type="spellEnd"/>
      <w:r>
        <w:rPr>
          <w:rFonts w:ascii="Times New Roman" w:eastAsia="Times New Roman" w:hAnsi="Times New Roman" w:cs="Times New Roman"/>
          <w:sz w:val="22"/>
          <w:szCs w:val="22"/>
        </w:rPr>
        <w:t xml:space="preserve"> Primates 8:49. </w:t>
      </w:r>
    </w:p>
    <w:p w14:paraId="0C3F9EDA"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Mittermeier RA, Rylands AB, Schwitzer C, Taylor LA, Chiozza F, Williamson EA (Org.) (2012) Primates in Peril: The World’s 25 Most Endangered Primates 2010–2012. IUCN/SSC Primate Specialist Group (PSG), International Primatological Society (IPS), and Conservation International (CI), Arlington, VA. 40pp.</w:t>
      </w:r>
    </w:p>
    <w:p w14:paraId="7FBDC591"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Neves LG,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Rylands AB, Melo FR, Talebi MG (2015) Northern brown howler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sz w:val="22"/>
          <w:szCs w:val="22"/>
        </w:rPr>
        <w:t xml:space="preserve"> (Humboldt, 1812). In: Schwitzer C, Mittermeier RA, Rylands AB, Chiozza F, Williamson EA, Wallis J, Cotton A (Org.). Primates in Peril: The World’s 25 Most Endangered, International Primatological Society, Global Wildlife Conservation, and Bristol Zoological Society, Washington, DC.</w:t>
      </w:r>
    </w:p>
    <w:p w14:paraId="2E514A9B"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Neves LG,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Melo FR, Rylands AB, Talebi MG (2017) Northern Brown Howler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sz w:val="22"/>
          <w:szCs w:val="22"/>
        </w:rPr>
        <w:t xml:space="preserve"> (Humboldt, 1812). In: Schwitzer C, Mittermeier RA, Rylands AB, Chiozza F, Williamson EA, Macfie EJ, Wallis J, Cotton A (Org.). Primates in Peril: The World's 25 most endangered primates 2016-2018, p. 96-99. IUCN </w:t>
      </w:r>
      <w:r>
        <w:rPr>
          <w:rFonts w:ascii="Times New Roman" w:eastAsia="Times New Roman" w:hAnsi="Times New Roman" w:cs="Times New Roman"/>
          <w:sz w:val="22"/>
          <w:szCs w:val="22"/>
        </w:rPr>
        <w:lastRenderedPageBreak/>
        <w:t xml:space="preserve">SSC Primate Specialist Group, International Primatological Society, Global Wildlife Conservation, and Bristol Zoological Society, Washington, DC. Primates 2014-2016, p. 83-86. IUCN SSC Primate Specialist Group. </w:t>
      </w:r>
    </w:p>
    <w:p w14:paraId="7FA7EAC1"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Oklander</w:t>
      </w:r>
      <w:proofErr w:type="spellEnd"/>
      <w:r>
        <w:rPr>
          <w:rFonts w:ascii="Times New Roman" w:eastAsia="Times New Roman" w:hAnsi="Times New Roman" w:cs="Times New Roman"/>
          <w:sz w:val="22"/>
          <w:szCs w:val="22"/>
        </w:rPr>
        <w:t xml:space="preserve"> LI, Buss G, Bicca-Marques JC et al (2022) Brown Howler Monkey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sz w:val="22"/>
          <w:szCs w:val="22"/>
        </w:rPr>
        <w:t xml:space="preserve"> (Humboldt, 1812). In: RA Mittermeier, KE Reuter, AB Rylands, L Jerusalinsky, C Schwitzer, KB </w:t>
      </w:r>
      <w:proofErr w:type="spellStart"/>
      <w:r>
        <w:rPr>
          <w:rFonts w:ascii="Times New Roman" w:eastAsia="Times New Roman" w:hAnsi="Times New Roman" w:cs="Times New Roman"/>
          <w:sz w:val="22"/>
          <w:szCs w:val="22"/>
        </w:rPr>
        <w:t>Strier</w:t>
      </w:r>
      <w:proofErr w:type="spellEnd"/>
      <w:r>
        <w:rPr>
          <w:rFonts w:ascii="Times New Roman" w:eastAsia="Times New Roman" w:hAnsi="Times New Roman" w:cs="Times New Roman"/>
          <w:sz w:val="22"/>
          <w:szCs w:val="22"/>
        </w:rPr>
        <w:t xml:space="preserve">, J Ratsimbazafy, T Humle (eds.). Primates in Peril: The World’s 25 Most Endangered Primates 2022–2023, pp. 8–10. IUCN SSC Primate Specialist Group, International Primatological Society, </w:t>
      </w:r>
      <w:proofErr w:type="spellStart"/>
      <w:proofErr w:type="gramStart"/>
      <w:r>
        <w:rPr>
          <w:rFonts w:ascii="Times New Roman" w:eastAsia="Times New Roman" w:hAnsi="Times New Roman" w:cs="Times New Roman"/>
          <w:sz w:val="22"/>
          <w:szCs w:val="22"/>
        </w:rPr>
        <w:t>Re:wild</w:t>
      </w:r>
      <w:proofErr w:type="spellEnd"/>
      <w:proofErr w:type="gramEnd"/>
      <w:r>
        <w:rPr>
          <w:rFonts w:ascii="Times New Roman" w:eastAsia="Times New Roman" w:hAnsi="Times New Roman" w:cs="Times New Roman"/>
          <w:sz w:val="22"/>
          <w:szCs w:val="22"/>
        </w:rPr>
        <w:t xml:space="preserve">, Washington, DC. </w:t>
      </w:r>
    </w:p>
    <w:p w14:paraId="67E5F522"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Oklander</w:t>
      </w:r>
      <w:proofErr w:type="spellEnd"/>
      <w:r>
        <w:rPr>
          <w:rFonts w:ascii="Times New Roman" w:eastAsia="Times New Roman" w:hAnsi="Times New Roman" w:cs="Times New Roman"/>
          <w:sz w:val="22"/>
          <w:szCs w:val="22"/>
        </w:rPr>
        <w:t xml:space="preserve"> LI, Fernández GP, Machado S et al (2024) Phylogeography, taxonomy, and conservation of the endangered brown howler monkey,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guariba</w:t>
      </w:r>
      <w:proofErr w:type="spellEnd"/>
      <w:r>
        <w:rPr>
          <w:rFonts w:ascii="Times New Roman" w:eastAsia="Times New Roman" w:hAnsi="Times New Roman" w:cs="Times New Roman"/>
          <w:sz w:val="22"/>
          <w:szCs w:val="22"/>
        </w:rPr>
        <w:t xml:space="preserve"> (Primates, Atelidae), of the Atlantic Forest. Front Genet 15:1453005. </w:t>
      </w:r>
    </w:p>
    <w:p w14:paraId="7BF9FF7A"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Oliveira LC, Neves LG, Kierulff MCM, Jerusalinsky L, Mittermeier RA, Rylands AB (2021) </w:t>
      </w:r>
      <w:proofErr w:type="spellStart"/>
      <w:r>
        <w:rPr>
          <w:rFonts w:ascii="Times New Roman" w:eastAsia="Times New Roman" w:hAnsi="Times New Roman" w:cs="Times New Roman"/>
          <w:i/>
          <w:iCs/>
          <w:sz w:val="22"/>
          <w:szCs w:val="22"/>
        </w:rPr>
        <w:t>Leontopithecus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chrysomelas</w:t>
      </w:r>
      <w:proofErr w:type="spellEnd"/>
      <w:r>
        <w:rPr>
          <w:rFonts w:ascii="Times New Roman" w:eastAsia="Times New Roman" w:hAnsi="Times New Roman" w:cs="Times New Roman"/>
          <w:sz w:val="22"/>
          <w:szCs w:val="22"/>
        </w:rPr>
        <w:t xml:space="preserve"> (amended version of 2020 assessment). The IUCN Red List of Threatened Species 2021: e.T40643A192327573. https://dx.doi.org/10.2305/IUCN.UK.2021-1.RLTS.T40643A192327573.en. Accessed on 24 January 2025.</w:t>
      </w:r>
    </w:p>
    <w:p w14:paraId="40CADB43"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Port-Carvalho M, Muniz CC, Fialho MS, Alonso AC,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Veiga LM (2021) </w:t>
      </w:r>
      <w:proofErr w:type="spellStart"/>
      <w:r>
        <w:rPr>
          <w:rFonts w:ascii="Times New Roman" w:eastAsia="Times New Roman" w:hAnsi="Times New Roman" w:cs="Times New Roman"/>
          <w:i/>
          <w:iCs/>
          <w:sz w:val="22"/>
          <w:szCs w:val="22"/>
        </w:rPr>
        <w:t>Chiropotes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satanas</w:t>
      </w:r>
      <w:proofErr w:type="spellEnd"/>
      <w:r>
        <w:rPr>
          <w:rFonts w:ascii="Times New Roman" w:eastAsia="Times New Roman" w:hAnsi="Times New Roman" w:cs="Times New Roman"/>
          <w:sz w:val="22"/>
          <w:szCs w:val="22"/>
        </w:rPr>
        <w:t xml:space="preserve"> (amended version of 2020 assessment). The IUCN Red List of Threatened Species 2021: e.T39956A191704509. https://dx.doi.org/10.2305/IUCN.UK.2021-1.RLTS.T39956A191704509.en. Accessed on 24 January 2025.</w:t>
      </w:r>
    </w:p>
    <w:p w14:paraId="414A8191"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Pinto LP, </w:t>
      </w:r>
      <w:proofErr w:type="spellStart"/>
      <w:r>
        <w:rPr>
          <w:rFonts w:ascii="Times New Roman" w:eastAsia="Times New Roman" w:hAnsi="Times New Roman" w:cs="Times New Roman"/>
          <w:sz w:val="22"/>
          <w:szCs w:val="22"/>
        </w:rPr>
        <w:t>Ravetta</w:t>
      </w:r>
      <w:proofErr w:type="spellEnd"/>
      <w:r>
        <w:rPr>
          <w:rFonts w:ascii="Times New Roman" w:eastAsia="Times New Roman" w:hAnsi="Times New Roman" w:cs="Times New Roman"/>
          <w:sz w:val="22"/>
          <w:szCs w:val="22"/>
        </w:rPr>
        <w:t xml:space="preserve"> AL, Buss G, Veiga LM, Melo FR (2021)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discolor</w:t>
      </w:r>
      <w:proofErr w:type="spellEnd"/>
      <w:r>
        <w:rPr>
          <w:rFonts w:ascii="Times New Roman" w:eastAsia="Times New Roman" w:hAnsi="Times New Roman" w:cs="Times New Roman"/>
          <w:sz w:val="22"/>
          <w:szCs w:val="22"/>
        </w:rPr>
        <w:t xml:space="preserve"> (amended version of 2020 assessment). The IUCN Red List of Threatened Species 2021: e.T43912A190416507. https://dx.doi.org/10.2305/IUCN.UK.2021-1.RLTS.T43912A190416507.en. Accessed on 24 January 2025.</w:t>
      </w:r>
    </w:p>
    <w:p w14:paraId="6259648D"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Printes R,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Melo FR, </w:t>
      </w:r>
      <w:proofErr w:type="spellStart"/>
      <w:r w:rsidRPr="00BB2186">
        <w:rPr>
          <w:rFonts w:ascii="Times New Roman" w:eastAsia="Times New Roman" w:hAnsi="Times New Roman" w:cs="Times New Roman"/>
          <w:sz w:val="22"/>
          <w:szCs w:val="22"/>
          <w:lang w:val="pt-BR"/>
        </w:rPr>
        <w:t>Mittermeier</w:t>
      </w:r>
      <w:proofErr w:type="spellEnd"/>
      <w:r w:rsidRPr="00BB2186">
        <w:rPr>
          <w:rFonts w:ascii="Times New Roman" w:eastAsia="Times New Roman" w:hAnsi="Times New Roman" w:cs="Times New Roman"/>
          <w:sz w:val="22"/>
          <w:szCs w:val="22"/>
          <w:lang w:val="pt-BR"/>
        </w:rPr>
        <w:t xml:space="preserve"> RA (2020) </w:t>
      </w:r>
      <w:proofErr w:type="spellStart"/>
      <w:r w:rsidRPr="00BB2186">
        <w:rPr>
          <w:rFonts w:ascii="Times New Roman" w:eastAsia="Times New Roman" w:hAnsi="Times New Roman" w:cs="Times New Roman"/>
          <w:i/>
          <w:iCs/>
          <w:sz w:val="22"/>
          <w:szCs w:val="22"/>
          <w:lang w:val="pt-BR"/>
        </w:rPr>
        <w:t>Callicebus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melanochir</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 Threatened Species 2020: e.T39930A17975106. https://dx.doi.org/10.2305/IUCN.UK.2020-3.RLTS.T39930A17975106.en. Accessed on 24 January 2025.</w:t>
      </w:r>
    </w:p>
    <w:p w14:paraId="1A735D00"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Printes RC,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Alonso AC, Mittermeier RA (2021) </w:t>
      </w:r>
      <w:r>
        <w:rPr>
          <w:rFonts w:ascii="Times New Roman" w:eastAsia="Times New Roman" w:hAnsi="Times New Roman" w:cs="Times New Roman"/>
          <w:i/>
          <w:iCs/>
          <w:sz w:val="22"/>
          <w:szCs w:val="22"/>
        </w:rPr>
        <w:t xml:space="preserve">Callicebus </w:t>
      </w:r>
      <w:proofErr w:type="spellStart"/>
      <w:r>
        <w:rPr>
          <w:rFonts w:ascii="Times New Roman" w:eastAsia="Times New Roman" w:hAnsi="Times New Roman" w:cs="Times New Roman"/>
          <w:i/>
          <w:iCs/>
          <w:sz w:val="22"/>
          <w:szCs w:val="22"/>
        </w:rPr>
        <w:t>barbarabrownae</w:t>
      </w:r>
      <w:proofErr w:type="spellEnd"/>
      <w:r>
        <w:rPr>
          <w:rFonts w:ascii="Times New Roman" w:eastAsia="Times New Roman" w:hAnsi="Times New Roman" w:cs="Times New Roman"/>
          <w:sz w:val="22"/>
          <w:szCs w:val="22"/>
        </w:rPr>
        <w:t xml:space="preserve"> (amended version of 2020 assessment). The IUCN Red List of Threatened Species 2021: e.T39929A191703041. https://dx.doi.org/10.2305/IUCN.UK.2021-1.RLTS.T39929A191703041.en. Accessed on 24 January 2025.</w:t>
      </w:r>
    </w:p>
    <w:p w14:paraId="56C3926E"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Ravetta</w:t>
      </w:r>
      <w:proofErr w:type="spellEnd"/>
      <w:r>
        <w:rPr>
          <w:rFonts w:ascii="Times New Roman" w:eastAsia="Times New Roman" w:hAnsi="Times New Roman" w:cs="Times New Roman"/>
          <w:sz w:val="22"/>
          <w:szCs w:val="22"/>
        </w:rPr>
        <w:t xml:space="preserve"> AL, Buss G, Mittermeier RA (2021) </w:t>
      </w:r>
      <w:r>
        <w:rPr>
          <w:rFonts w:ascii="Times New Roman" w:eastAsia="Times New Roman" w:hAnsi="Times New Roman" w:cs="Times New Roman"/>
          <w:i/>
          <w:iCs/>
          <w:sz w:val="22"/>
          <w:szCs w:val="22"/>
        </w:rPr>
        <w:t>Ateles marginatus</w:t>
      </w:r>
      <w:r>
        <w:rPr>
          <w:rFonts w:ascii="Times New Roman" w:eastAsia="Times New Roman" w:hAnsi="Times New Roman" w:cs="Times New Roman"/>
          <w:sz w:val="22"/>
          <w:szCs w:val="22"/>
        </w:rPr>
        <w:t xml:space="preserve"> (amended version of 2019 assessment). The IUCN Red List of Threatened Species 2021: e.T2282A191689524. https://dx.doi.org/10.2305/IUCN.UK.2021-1.RLTS.T2282A191689524.en. Accessed on 24 January 2025.</w:t>
      </w:r>
    </w:p>
    <w:p w14:paraId="27D5601A"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Rezende G, </w:t>
      </w:r>
      <w:proofErr w:type="spellStart"/>
      <w:r w:rsidRPr="00BB2186">
        <w:rPr>
          <w:rFonts w:ascii="Times New Roman" w:eastAsia="Times New Roman" w:hAnsi="Times New Roman" w:cs="Times New Roman"/>
          <w:sz w:val="22"/>
          <w:szCs w:val="22"/>
          <w:lang w:val="pt-BR"/>
        </w:rPr>
        <w:t>Knogge</w:t>
      </w:r>
      <w:proofErr w:type="spellEnd"/>
      <w:r w:rsidRPr="00BB2186">
        <w:rPr>
          <w:rFonts w:ascii="Times New Roman" w:eastAsia="Times New Roman" w:hAnsi="Times New Roman" w:cs="Times New Roman"/>
          <w:sz w:val="22"/>
          <w:szCs w:val="22"/>
          <w:lang w:val="pt-BR"/>
        </w:rPr>
        <w:t xml:space="preserve"> C, Passos F, Ludwig G, Oliveira LC,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w:t>
      </w:r>
      <w:proofErr w:type="spellStart"/>
      <w:r w:rsidRPr="00BB2186">
        <w:rPr>
          <w:rFonts w:ascii="Times New Roman" w:eastAsia="Times New Roman" w:hAnsi="Times New Roman" w:cs="Times New Roman"/>
          <w:sz w:val="22"/>
          <w:szCs w:val="22"/>
          <w:lang w:val="pt-BR"/>
        </w:rPr>
        <w:t>Mittermeier</w:t>
      </w:r>
      <w:proofErr w:type="spellEnd"/>
      <w:r w:rsidRPr="00BB2186">
        <w:rPr>
          <w:rFonts w:ascii="Times New Roman" w:eastAsia="Times New Roman" w:hAnsi="Times New Roman" w:cs="Times New Roman"/>
          <w:sz w:val="22"/>
          <w:szCs w:val="22"/>
          <w:lang w:val="pt-BR"/>
        </w:rPr>
        <w:t xml:space="preserve"> RA (2020) </w:t>
      </w:r>
      <w:proofErr w:type="spellStart"/>
      <w:r w:rsidRPr="00BB2186">
        <w:rPr>
          <w:rFonts w:ascii="Times New Roman" w:eastAsia="Times New Roman" w:hAnsi="Times New Roman" w:cs="Times New Roman"/>
          <w:i/>
          <w:iCs/>
          <w:sz w:val="22"/>
          <w:szCs w:val="22"/>
          <w:lang w:val="pt-BR"/>
        </w:rPr>
        <w:t>Leontopithecus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chrysopygus</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 Threatened Species 2020: e.T11505A17935400. https://dx.doi.org/10.2305/IUCN.UK.2020-2.RLTS.T11505A17935400.en. Accessed on 24 January 2025.</w:t>
      </w:r>
    </w:p>
    <w:p w14:paraId="3FD48CA1"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Rímoli</w:t>
      </w:r>
      <w:proofErr w:type="spellEnd"/>
      <w:r>
        <w:rPr>
          <w:rFonts w:ascii="Times New Roman" w:eastAsia="Times New Roman" w:hAnsi="Times New Roman" w:cs="Times New Roman"/>
          <w:sz w:val="22"/>
          <w:szCs w:val="22"/>
        </w:rPr>
        <w:t xml:space="preserve"> J, Smith RL, Ludwig G, Martinez M, Kowalewski M, Melo FR, Lynch W (2022) </w:t>
      </w:r>
      <w:proofErr w:type="spellStart"/>
      <w:r>
        <w:rPr>
          <w:rFonts w:ascii="Times New Roman" w:eastAsia="Times New Roman" w:hAnsi="Times New Roman" w:cs="Times New Roman"/>
          <w:i/>
          <w:iCs/>
          <w:sz w:val="22"/>
          <w:szCs w:val="22"/>
        </w:rPr>
        <w:t>Sapajus</w:t>
      </w:r>
      <w:proofErr w:type="spellEnd"/>
      <w:r>
        <w:rPr>
          <w:rFonts w:ascii="Times New Roman" w:eastAsia="Times New Roman" w:hAnsi="Times New Roman" w:cs="Times New Roman"/>
          <w:i/>
          <w:iCs/>
          <w:sz w:val="22"/>
          <w:szCs w:val="22"/>
        </w:rPr>
        <w:t xml:space="preserve"> cay</w:t>
      </w:r>
      <w:r>
        <w:rPr>
          <w:rFonts w:ascii="Times New Roman" w:eastAsia="Times New Roman" w:hAnsi="Times New Roman" w:cs="Times New Roman"/>
          <w:sz w:val="22"/>
          <w:szCs w:val="22"/>
        </w:rPr>
        <w:t xml:space="preserve"> (errata version published in 2022). The IUCN Red List of Threatened Species 2022: e.T136366A222944655. Website:</w:t>
      </w:r>
      <w:r>
        <w:rPr>
          <w:rFonts w:ascii="Times New Roman" w:eastAsia="Times New Roman" w:hAnsi="Times New Roman" w:cs="Times New Roman"/>
          <w:sz w:val="22"/>
          <w:szCs w:val="22"/>
          <w:u w:val="single"/>
        </w:rPr>
        <w:t xml:space="preserve"> https://www.iucnredlist.org/species/136366/222944655</w:t>
      </w:r>
      <w:r>
        <w:rPr>
          <w:rFonts w:ascii="Times New Roman" w:eastAsia="Times New Roman" w:hAnsi="Times New Roman" w:cs="Times New Roman"/>
          <w:sz w:val="22"/>
          <w:szCs w:val="22"/>
        </w:rPr>
        <w:t>. Accessed 22 October 2023.</w:t>
      </w:r>
    </w:p>
    <w:p w14:paraId="5823C564"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Ruiz-Miranda CR, </w:t>
      </w:r>
      <w:proofErr w:type="spellStart"/>
      <w:r>
        <w:rPr>
          <w:rFonts w:ascii="Times New Roman" w:eastAsia="Times New Roman" w:hAnsi="Times New Roman" w:cs="Times New Roman"/>
          <w:sz w:val="22"/>
          <w:szCs w:val="22"/>
        </w:rPr>
        <w:t>Pissinatti</w:t>
      </w:r>
      <w:proofErr w:type="spellEnd"/>
      <w:r>
        <w:rPr>
          <w:rFonts w:ascii="Times New Roman" w:eastAsia="Times New Roman" w:hAnsi="Times New Roman" w:cs="Times New Roman"/>
          <w:sz w:val="22"/>
          <w:szCs w:val="22"/>
        </w:rPr>
        <w:t xml:space="preserve"> A, Kierulff MCM, Oliveira LC, Mittermeier RA, Valença-Montenegro MM, Oliveira P,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(2021) </w:t>
      </w:r>
      <w:proofErr w:type="spellStart"/>
      <w:r>
        <w:rPr>
          <w:rFonts w:ascii="Times New Roman" w:eastAsia="Times New Roman" w:hAnsi="Times New Roman" w:cs="Times New Roman"/>
          <w:i/>
          <w:iCs/>
          <w:sz w:val="22"/>
          <w:szCs w:val="22"/>
        </w:rPr>
        <w:t>Leontopithecus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rosalia</w:t>
      </w:r>
      <w:proofErr w:type="spellEnd"/>
      <w:r>
        <w:rPr>
          <w:rFonts w:ascii="Times New Roman" w:eastAsia="Times New Roman" w:hAnsi="Times New Roman" w:cs="Times New Roman"/>
          <w:sz w:val="22"/>
          <w:szCs w:val="22"/>
        </w:rPr>
        <w:t xml:space="preserve"> (amended version of 2019 assessment). The IUCN Red List of Threatened Species 2021: e.T11506A192327291. https://dx.doi.org/10.2305/IUCN.UK.2021-1.RLTS.T11506A192327291.en. Accessed on 24 January 2025.</w:t>
      </w:r>
    </w:p>
    <w:p w14:paraId="6F58836A"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Schwitzer C, Mittermeier RA, Rylands AB, Chiozza F, Williamson EA, Wallis J, Cotton A (eds.) (2015) Primates in Peril: The World’s 25 Most Endangered Primates 2014–2016. IUCN SSC Primate Specialist Group (PSG), International Primatological Society (IPS), Conservation International (CI), and Bristol Zoological Society, Arlington, VA. iv+93pp.</w:t>
      </w:r>
    </w:p>
    <w:p w14:paraId="31B65D8A"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Schwitzer C, Mittermeier RA, Rylands AB, Chiozza F, Williamson EA, Macfie EJ, Wallis J, Cotton A (eds.) (2017) Primates in Peril: The World’s 25 Most Endangered Primates 2016–2018. IUCN SSC Primate Specialist Group (PSG), International Primatological Society (IPS), Conservation International (CI), and Bristol Zoological Society, Arlington, VA. 99 pp.</w:t>
      </w:r>
    </w:p>
    <w:p w14:paraId="3C2F3D7E"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Schwitzer C, Mittermeier RA, Rylands AB, Chiozza F, Williamson EA, Byler D, </w:t>
      </w:r>
      <w:proofErr w:type="spellStart"/>
      <w:r>
        <w:rPr>
          <w:rFonts w:ascii="Times New Roman" w:eastAsia="Times New Roman" w:hAnsi="Times New Roman" w:cs="Times New Roman"/>
          <w:sz w:val="22"/>
          <w:szCs w:val="22"/>
        </w:rPr>
        <w:t>Wich</w:t>
      </w:r>
      <w:proofErr w:type="spellEnd"/>
      <w:r>
        <w:rPr>
          <w:rFonts w:ascii="Times New Roman" w:eastAsia="Times New Roman" w:hAnsi="Times New Roman" w:cs="Times New Roman"/>
          <w:sz w:val="22"/>
          <w:szCs w:val="22"/>
        </w:rPr>
        <w:t xml:space="preserve"> S, Humle T, Johnson C, Mynott H, McCabe G (eds.) (2019) Primates in Peril: The World’s 25 Most Endangered Primates 2018–2020</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IUCN SSC Primate Specialist Group, International Primatological Society, Global Wildlife Conservation, and Bristol Zoological Society, Washington, DC. 130pp.</w:t>
      </w:r>
    </w:p>
    <w:p w14:paraId="7B56D3C0"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Silva FE, Azevedo RB, </w:t>
      </w:r>
      <w:proofErr w:type="spellStart"/>
      <w:r w:rsidRPr="00BB2186">
        <w:rPr>
          <w:rFonts w:ascii="Times New Roman" w:eastAsia="Times New Roman" w:hAnsi="Times New Roman" w:cs="Times New Roman"/>
          <w:sz w:val="22"/>
          <w:szCs w:val="22"/>
          <w:lang w:val="pt-BR"/>
        </w:rPr>
        <w:t>Boubli</w:t>
      </w:r>
      <w:proofErr w:type="spellEnd"/>
      <w:r w:rsidRPr="00BB2186">
        <w:rPr>
          <w:rFonts w:ascii="Times New Roman" w:eastAsia="Times New Roman" w:hAnsi="Times New Roman" w:cs="Times New Roman"/>
          <w:sz w:val="22"/>
          <w:szCs w:val="22"/>
          <w:lang w:val="pt-BR"/>
        </w:rPr>
        <w:t xml:space="preserve"> JP (2021) </w:t>
      </w:r>
      <w:proofErr w:type="spellStart"/>
      <w:r w:rsidRPr="00BB2186">
        <w:rPr>
          <w:rFonts w:ascii="Times New Roman" w:eastAsia="Times New Roman" w:hAnsi="Times New Roman" w:cs="Times New Roman"/>
          <w:i/>
          <w:iCs/>
          <w:sz w:val="22"/>
          <w:szCs w:val="22"/>
          <w:lang w:val="pt-BR"/>
        </w:rPr>
        <w:t>Cacajao</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calvus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sz w:val="22"/>
          <w:szCs w:val="22"/>
          <w:lang w:val="pt-BR"/>
        </w:rPr>
        <w:t>ssp</w:t>
      </w:r>
      <w:proofErr w:type="spellEnd"/>
      <w:r w:rsidRPr="00BB2186">
        <w:rPr>
          <w:rFonts w:ascii="Times New Roman" w:eastAsia="Times New Roman" w:hAnsi="Times New Roman" w:cs="Times New Roman"/>
          <w:sz w:val="22"/>
          <w:szCs w:val="22"/>
          <w:lang w:val="pt-BR"/>
        </w:rPr>
        <w:t>.</w:t>
      </w:r>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rubicundus</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 Threatened Species 2021: e.T3422A206546924. Website: https://www.iucnredlist.org/species/3422/206546924. Accessed 28 October 2023.</w:t>
      </w:r>
    </w:p>
    <w:p w14:paraId="4D0669CE"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Silva FE, Amaral JV, </w:t>
      </w:r>
      <w:proofErr w:type="spellStart"/>
      <w:r>
        <w:rPr>
          <w:rFonts w:ascii="Times New Roman" w:eastAsia="Times New Roman" w:hAnsi="Times New Roman" w:cs="Times New Roman"/>
          <w:sz w:val="22"/>
          <w:szCs w:val="22"/>
        </w:rPr>
        <w:t>Roos</w:t>
      </w:r>
      <w:proofErr w:type="spellEnd"/>
      <w:r>
        <w:rPr>
          <w:rFonts w:ascii="Times New Roman" w:eastAsia="Times New Roman" w:hAnsi="Times New Roman" w:cs="Times New Roman"/>
          <w:sz w:val="22"/>
          <w:szCs w:val="22"/>
        </w:rPr>
        <w:t xml:space="preserve"> C et </w:t>
      </w:r>
      <w:proofErr w:type="gramStart"/>
      <w:r>
        <w:rPr>
          <w:rFonts w:ascii="Times New Roman" w:eastAsia="Times New Roman" w:hAnsi="Times New Roman" w:cs="Times New Roman"/>
          <w:sz w:val="22"/>
          <w:szCs w:val="22"/>
        </w:rPr>
        <w:t>al  (</w:t>
      </w:r>
      <w:proofErr w:type="gramEnd"/>
      <w:r>
        <w:rPr>
          <w:rFonts w:ascii="Times New Roman" w:eastAsia="Times New Roman" w:hAnsi="Times New Roman" w:cs="Times New Roman"/>
          <w:sz w:val="22"/>
          <w:szCs w:val="22"/>
        </w:rPr>
        <w:t xml:space="preserve">2022) Molecular phylogeny and systematics of bald uakaris, genus </w:t>
      </w:r>
      <w:proofErr w:type="spellStart"/>
      <w:r>
        <w:rPr>
          <w:rFonts w:ascii="Times New Roman" w:eastAsia="Times New Roman" w:hAnsi="Times New Roman" w:cs="Times New Roman"/>
          <w:i/>
          <w:iCs/>
          <w:sz w:val="22"/>
          <w:szCs w:val="22"/>
        </w:rPr>
        <w:t>Cacajao</w:t>
      </w:r>
      <w:proofErr w:type="spellEnd"/>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 xml:space="preserve">(Primates: </w:t>
      </w:r>
      <w:proofErr w:type="spellStart"/>
      <w:r>
        <w:rPr>
          <w:rFonts w:ascii="Times New Roman" w:eastAsia="Times New Roman" w:hAnsi="Times New Roman" w:cs="Times New Roman"/>
          <w:sz w:val="22"/>
          <w:szCs w:val="22"/>
        </w:rPr>
        <w:t>Pitheciidae</w:t>
      </w:r>
      <w:proofErr w:type="spellEnd"/>
      <w:r>
        <w:rPr>
          <w:rFonts w:ascii="Times New Roman" w:eastAsia="Times New Roman" w:hAnsi="Times New Roman" w:cs="Times New Roman"/>
          <w:sz w:val="22"/>
          <w:szCs w:val="22"/>
        </w:rPr>
        <w:t>), with the description of a new species.</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 xml:space="preserve">Mol. </w:t>
      </w:r>
      <w:proofErr w:type="spellStart"/>
      <w:r>
        <w:rPr>
          <w:rFonts w:ascii="Times New Roman" w:eastAsia="Times New Roman" w:hAnsi="Times New Roman" w:cs="Times New Roman"/>
          <w:sz w:val="22"/>
          <w:szCs w:val="22"/>
        </w:rPr>
        <w:t>Phylogenet</w:t>
      </w:r>
      <w:proofErr w:type="spellEnd"/>
      <w:r>
        <w:rPr>
          <w:rFonts w:ascii="Times New Roman" w:eastAsia="Times New Roman" w:hAnsi="Times New Roman" w:cs="Times New Roman"/>
          <w:sz w:val="22"/>
          <w:szCs w:val="22"/>
        </w:rPr>
        <w:t xml:space="preserve"> Evol 173:107509. </w:t>
      </w:r>
    </w:p>
    <w:p w14:paraId="0A15E3D3" w14:textId="77777777" w:rsidR="0072616B" w:rsidRDefault="00000000">
      <w:pPr>
        <w:spacing w:line="360" w:lineRule="auto"/>
        <w:ind w:left="284" w:hanging="284"/>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Strier</w:t>
      </w:r>
      <w:proofErr w:type="spellEnd"/>
      <w:r>
        <w:rPr>
          <w:rFonts w:ascii="Times New Roman" w:eastAsia="Times New Roman" w:hAnsi="Times New Roman" w:cs="Times New Roman"/>
          <w:sz w:val="22"/>
          <w:szCs w:val="22"/>
        </w:rPr>
        <w:t xml:space="preserve"> KB, Mendes SL, </w:t>
      </w:r>
      <w:proofErr w:type="spellStart"/>
      <w:r>
        <w:rPr>
          <w:rFonts w:ascii="Times New Roman" w:eastAsia="Times New Roman" w:hAnsi="Times New Roman" w:cs="Times New Roman"/>
          <w:sz w:val="22"/>
          <w:szCs w:val="22"/>
        </w:rPr>
        <w:t>Boubli</w:t>
      </w:r>
      <w:proofErr w:type="spellEnd"/>
      <w:r>
        <w:rPr>
          <w:rFonts w:ascii="Times New Roman" w:eastAsia="Times New Roman" w:hAnsi="Times New Roman" w:cs="Times New Roman"/>
          <w:sz w:val="22"/>
          <w:szCs w:val="22"/>
        </w:rPr>
        <w:t xml:space="preserve"> JP, Dias LG (2006) Northern Muriqui </w:t>
      </w:r>
      <w:proofErr w:type="spellStart"/>
      <w:r>
        <w:rPr>
          <w:rFonts w:ascii="Times New Roman" w:eastAsia="Times New Roman" w:hAnsi="Times New Roman" w:cs="Times New Roman"/>
          <w:i/>
          <w:iCs/>
          <w:sz w:val="22"/>
          <w:szCs w:val="22"/>
        </w:rPr>
        <w:t>Brachyteles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hypoxanthus</w:t>
      </w:r>
      <w:proofErr w:type="spellEnd"/>
      <w:r>
        <w:rPr>
          <w:rFonts w:ascii="Times New Roman" w:eastAsia="Times New Roman" w:hAnsi="Times New Roman" w:cs="Times New Roman"/>
          <w:sz w:val="22"/>
          <w:szCs w:val="22"/>
        </w:rPr>
        <w:t xml:space="preserve">.  In: Russell A Mittermeier, Cláudio Valladares-Pádua, Anthony B Rylands, Ardith A Eudey, Thomas M Butynski, Jörg U Ganzhorn, Rebecca Kormos, John M Aguiar, Sally Walker. Primates in Peril: The World’s 25 Most Endangered Primates, 2004–2006. Primate </w:t>
      </w:r>
      <w:proofErr w:type="spellStart"/>
      <w:r>
        <w:rPr>
          <w:rFonts w:ascii="Times New Roman" w:eastAsia="Times New Roman" w:hAnsi="Times New Roman" w:cs="Times New Roman"/>
          <w:sz w:val="22"/>
          <w:szCs w:val="22"/>
        </w:rPr>
        <w:t>Conserv</w:t>
      </w:r>
      <w:proofErr w:type="spellEnd"/>
      <w:r>
        <w:rPr>
          <w:rFonts w:ascii="Times New Roman" w:eastAsia="Times New Roman" w:hAnsi="Times New Roman" w:cs="Times New Roman"/>
          <w:sz w:val="22"/>
          <w:szCs w:val="22"/>
        </w:rPr>
        <w:t xml:space="preserve"> 20:1–28. </w:t>
      </w:r>
    </w:p>
    <w:p w14:paraId="04D1BCEB"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Stevenson PR, </w:t>
      </w:r>
      <w:proofErr w:type="spellStart"/>
      <w:r>
        <w:rPr>
          <w:rFonts w:ascii="Times New Roman" w:eastAsia="Times New Roman" w:hAnsi="Times New Roman" w:cs="Times New Roman"/>
          <w:sz w:val="22"/>
          <w:szCs w:val="22"/>
        </w:rPr>
        <w:t>Defler</w:t>
      </w:r>
      <w:proofErr w:type="spellEnd"/>
      <w:r>
        <w:rPr>
          <w:rFonts w:ascii="Times New Roman" w:eastAsia="Times New Roman" w:hAnsi="Times New Roman" w:cs="Times New Roman"/>
          <w:sz w:val="22"/>
          <w:szCs w:val="22"/>
        </w:rPr>
        <w:t xml:space="preserve"> TR, de la Torre S et al (2021) </w:t>
      </w:r>
      <w:proofErr w:type="spellStart"/>
      <w:r>
        <w:rPr>
          <w:rFonts w:ascii="Times New Roman" w:eastAsia="Times New Roman" w:hAnsi="Times New Roman" w:cs="Times New Roman"/>
          <w:i/>
          <w:iCs/>
          <w:sz w:val="22"/>
          <w:szCs w:val="22"/>
        </w:rPr>
        <w:t>Lagothrix</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lagothricha</w:t>
      </w:r>
      <w:proofErr w:type="spellEnd"/>
      <w:r>
        <w:rPr>
          <w:rFonts w:ascii="Times New Roman" w:eastAsia="Times New Roman" w:hAnsi="Times New Roman" w:cs="Times New Roman"/>
          <w:sz w:val="22"/>
          <w:szCs w:val="22"/>
        </w:rPr>
        <w:t xml:space="preserve"> (errata version published in 2024). The IUCN Red List of Threatened Species 2021: e.T160881218A254036136. https://dx.doi.org/10.2305/IUCN.UK.2021-1.RLTS.T160881218A254036136.en. Accessed on 24 January 2025.</w:t>
      </w:r>
    </w:p>
    <w:p w14:paraId="7D493DBD"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Talebi M, </w:t>
      </w:r>
      <w:proofErr w:type="spellStart"/>
      <w:r>
        <w:rPr>
          <w:rFonts w:ascii="Times New Roman" w:eastAsia="Times New Roman" w:hAnsi="Times New Roman" w:cs="Times New Roman"/>
          <w:sz w:val="22"/>
          <w:szCs w:val="22"/>
        </w:rPr>
        <w:t>Jerusalinsky</w:t>
      </w:r>
      <w:proofErr w:type="spellEnd"/>
      <w:r>
        <w:rPr>
          <w:rFonts w:ascii="Times New Roman" w:eastAsia="Times New Roman" w:hAnsi="Times New Roman" w:cs="Times New Roman"/>
          <w:sz w:val="22"/>
          <w:szCs w:val="22"/>
        </w:rPr>
        <w:t xml:space="preserve"> L, Martins M, Mittermeier RA, </w:t>
      </w:r>
      <w:proofErr w:type="spellStart"/>
      <w:r>
        <w:rPr>
          <w:rFonts w:ascii="Times New Roman" w:eastAsia="Times New Roman" w:hAnsi="Times New Roman" w:cs="Times New Roman"/>
          <w:sz w:val="22"/>
          <w:szCs w:val="22"/>
        </w:rPr>
        <w:t>Ingberman</w:t>
      </w:r>
      <w:proofErr w:type="spellEnd"/>
      <w:r>
        <w:rPr>
          <w:rFonts w:ascii="Times New Roman" w:eastAsia="Times New Roman" w:hAnsi="Times New Roman" w:cs="Times New Roman"/>
          <w:sz w:val="22"/>
          <w:szCs w:val="22"/>
        </w:rPr>
        <w:t xml:space="preserve"> B, Ferraz DS, Melo FR, </w:t>
      </w:r>
      <w:proofErr w:type="spellStart"/>
      <w:r>
        <w:rPr>
          <w:rFonts w:ascii="Times New Roman" w:eastAsia="Times New Roman" w:hAnsi="Times New Roman" w:cs="Times New Roman"/>
          <w:sz w:val="22"/>
          <w:szCs w:val="22"/>
        </w:rPr>
        <w:t>Boubli</w:t>
      </w:r>
      <w:proofErr w:type="spellEnd"/>
      <w:r>
        <w:rPr>
          <w:rFonts w:ascii="Times New Roman" w:eastAsia="Times New Roman" w:hAnsi="Times New Roman" w:cs="Times New Roman"/>
          <w:sz w:val="22"/>
          <w:szCs w:val="22"/>
        </w:rPr>
        <w:t xml:space="preserve"> JP (2021) </w:t>
      </w:r>
      <w:proofErr w:type="spellStart"/>
      <w:r>
        <w:rPr>
          <w:rFonts w:ascii="Times New Roman" w:eastAsia="Times New Roman" w:hAnsi="Times New Roman" w:cs="Times New Roman"/>
          <w:i/>
          <w:iCs/>
          <w:sz w:val="22"/>
          <w:szCs w:val="22"/>
        </w:rPr>
        <w:t>Brachyteles</w:t>
      </w:r>
      <w:proofErr w:type="spellEnd"/>
      <w:r>
        <w:rPr>
          <w:rFonts w:ascii="Times New Roman" w:eastAsia="Times New Roman" w:hAnsi="Times New Roman" w:cs="Times New Roman"/>
          <w:i/>
          <w:iCs/>
          <w:sz w:val="22"/>
          <w:szCs w:val="22"/>
        </w:rPr>
        <w:t xml:space="preserve"> </w:t>
      </w:r>
      <w:proofErr w:type="spellStart"/>
      <w:r>
        <w:rPr>
          <w:rFonts w:ascii="Times New Roman" w:eastAsia="Times New Roman" w:hAnsi="Times New Roman" w:cs="Times New Roman"/>
          <w:i/>
          <w:iCs/>
          <w:sz w:val="22"/>
          <w:szCs w:val="22"/>
        </w:rPr>
        <w:t>arachnoides</w:t>
      </w:r>
      <w:proofErr w:type="spellEnd"/>
      <w:r>
        <w:rPr>
          <w:rFonts w:ascii="Times New Roman" w:eastAsia="Times New Roman" w:hAnsi="Times New Roman" w:cs="Times New Roman"/>
          <w:sz w:val="22"/>
          <w:szCs w:val="22"/>
        </w:rPr>
        <w:t xml:space="preserve"> (amended version of 2019 assessment). The IUCN Red List of Threatened Species 2021: e.T2993A191692658. https://dx.doi.org/10.2305/IUCN.UK.2021-1.RLTS.T2993A191692658.en. Accessed on 24 January 2025.</w:t>
      </w:r>
    </w:p>
    <w:p w14:paraId="7DD2689A" w14:textId="77777777" w:rsidR="0072616B" w:rsidRPr="00BB2186" w:rsidRDefault="00000000">
      <w:pPr>
        <w:spacing w:line="360" w:lineRule="auto"/>
        <w:ind w:left="284" w:hanging="284"/>
        <w:jc w:val="both"/>
        <w:rPr>
          <w:rFonts w:ascii="Times New Roman" w:eastAsia="Times New Roman" w:hAnsi="Times New Roman" w:cs="Times New Roman"/>
          <w:sz w:val="22"/>
          <w:szCs w:val="22"/>
          <w:lang w:val="pt-BR"/>
        </w:rPr>
      </w:pPr>
      <w:r>
        <w:rPr>
          <w:rFonts w:ascii="Times New Roman" w:eastAsia="Times New Roman" w:hAnsi="Times New Roman" w:cs="Times New Roman"/>
          <w:sz w:val="22"/>
          <w:szCs w:val="22"/>
        </w:rPr>
        <w:t xml:space="preserve">Teixeira AMG, Soares-Filho BS, Freitas SR, Metzger JP (2009) </w:t>
      </w:r>
      <w:proofErr w:type="spellStart"/>
      <w:r>
        <w:rPr>
          <w:rFonts w:ascii="Times New Roman" w:eastAsia="Times New Roman" w:hAnsi="Times New Roman" w:cs="Times New Roman"/>
          <w:sz w:val="22"/>
          <w:szCs w:val="22"/>
        </w:rPr>
        <w:t>Modeling</w:t>
      </w:r>
      <w:proofErr w:type="spellEnd"/>
      <w:r>
        <w:rPr>
          <w:rFonts w:ascii="Times New Roman" w:eastAsia="Times New Roman" w:hAnsi="Times New Roman" w:cs="Times New Roman"/>
          <w:sz w:val="22"/>
          <w:szCs w:val="22"/>
        </w:rPr>
        <w:t xml:space="preserve"> landscape dynamics in an Atlantic Rainforest region: implications for conservation. </w:t>
      </w:r>
      <w:r w:rsidRPr="00BB2186">
        <w:rPr>
          <w:rFonts w:ascii="Times New Roman" w:eastAsia="Times New Roman" w:hAnsi="Times New Roman" w:cs="Times New Roman"/>
          <w:sz w:val="22"/>
          <w:szCs w:val="22"/>
          <w:lang w:val="pt-BR"/>
        </w:rPr>
        <w:t xml:space="preserve">For </w:t>
      </w:r>
      <w:proofErr w:type="spellStart"/>
      <w:r w:rsidRPr="00BB2186">
        <w:rPr>
          <w:rFonts w:ascii="Times New Roman" w:eastAsia="Times New Roman" w:hAnsi="Times New Roman" w:cs="Times New Roman"/>
          <w:sz w:val="22"/>
          <w:szCs w:val="22"/>
          <w:lang w:val="pt-BR"/>
        </w:rPr>
        <w:t>Ecol</w:t>
      </w:r>
      <w:proofErr w:type="spellEnd"/>
      <w:r w:rsidRPr="00BB2186">
        <w:rPr>
          <w:rFonts w:ascii="Times New Roman" w:eastAsia="Times New Roman" w:hAnsi="Times New Roman" w:cs="Times New Roman"/>
          <w:sz w:val="22"/>
          <w:szCs w:val="22"/>
          <w:lang w:val="pt-BR"/>
        </w:rPr>
        <w:t xml:space="preserve"> </w:t>
      </w:r>
      <w:proofErr w:type="spellStart"/>
      <w:r w:rsidRPr="00BB2186">
        <w:rPr>
          <w:rFonts w:ascii="Times New Roman" w:eastAsia="Times New Roman" w:hAnsi="Times New Roman" w:cs="Times New Roman"/>
          <w:sz w:val="22"/>
          <w:szCs w:val="22"/>
          <w:lang w:val="pt-BR"/>
        </w:rPr>
        <w:t>Manag</w:t>
      </w:r>
      <w:proofErr w:type="spellEnd"/>
      <w:r w:rsidRPr="00BB2186">
        <w:rPr>
          <w:rFonts w:ascii="Times New Roman" w:eastAsia="Times New Roman" w:hAnsi="Times New Roman" w:cs="Times New Roman"/>
          <w:sz w:val="22"/>
          <w:szCs w:val="22"/>
          <w:lang w:val="pt-BR"/>
        </w:rPr>
        <w:t xml:space="preserve"> 257:1219-1230.</w:t>
      </w:r>
    </w:p>
    <w:p w14:paraId="0C03E059" w14:textId="77777777" w:rsidR="0072616B" w:rsidRDefault="00000000">
      <w:pPr>
        <w:spacing w:line="360" w:lineRule="auto"/>
        <w:ind w:left="284" w:hanging="284"/>
        <w:jc w:val="both"/>
        <w:rPr>
          <w:rFonts w:ascii="Times New Roman" w:eastAsia="Times New Roman" w:hAnsi="Times New Roman" w:cs="Times New Roman"/>
          <w:sz w:val="22"/>
          <w:szCs w:val="22"/>
        </w:rPr>
      </w:pPr>
      <w:r w:rsidRPr="00BB2186">
        <w:rPr>
          <w:rFonts w:ascii="Times New Roman" w:eastAsia="Times New Roman" w:hAnsi="Times New Roman" w:cs="Times New Roman"/>
          <w:sz w:val="22"/>
          <w:szCs w:val="22"/>
          <w:lang w:val="pt-BR"/>
        </w:rPr>
        <w:t xml:space="preserve">Valença-Montenegro MM, Bezerra BM, Martins AB, </w:t>
      </w:r>
      <w:proofErr w:type="spellStart"/>
      <w:r w:rsidRPr="00BB2186">
        <w:rPr>
          <w:rFonts w:ascii="Times New Roman" w:eastAsia="Times New Roman" w:hAnsi="Times New Roman" w:cs="Times New Roman"/>
          <w:sz w:val="22"/>
          <w:szCs w:val="22"/>
          <w:lang w:val="pt-BR"/>
        </w:rPr>
        <w:t>Jerusalinsky</w:t>
      </w:r>
      <w:proofErr w:type="spellEnd"/>
      <w:r w:rsidRPr="00BB2186">
        <w:rPr>
          <w:rFonts w:ascii="Times New Roman" w:eastAsia="Times New Roman" w:hAnsi="Times New Roman" w:cs="Times New Roman"/>
          <w:sz w:val="22"/>
          <w:szCs w:val="22"/>
          <w:lang w:val="pt-BR"/>
        </w:rPr>
        <w:t xml:space="preserve"> L, Fialho MS, Lynch Alfaro JW (2021a) </w:t>
      </w:r>
      <w:proofErr w:type="spellStart"/>
      <w:r w:rsidRPr="00BB2186">
        <w:rPr>
          <w:rFonts w:ascii="Times New Roman" w:eastAsia="Times New Roman" w:hAnsi="Times New Roman" w:cs="Times New Roman"/>
          <w:i/>
          <w:iCs/>
          <w:sz w:val="22"/>
          <w:szCs w:val="22"/>
          <w:lang w:val="pt-BR"/>
        </w:rPr>
        <w:t>Sapajus</w:t>
      </w:r>
      <w:proofErr w:type="spellEnd"/>
      <w:r w:rsidRPr="00BB2186">
        <w:rPr>
          <w:rFonts w:ascii="Times New Roman" w:eastAsia="Times New Roman" w:hAnsi="Times New Roman" w:cs="Times New Roman"/>
          <w:i/>
          <w:iCs/>
          <w:sz w:val="22"/>
          <w:szCs w:val="22"/>
          <w:lang w:val="pt-BR"/>
        </w:rPr>
        <w:t xml:space="preserve"> </w:t>
      </w:r>
      <w:proofErr w:type="spellStart"/>
      <w:r w:rsidRPr="00BB2186">
        <w:rPr>
          <w:rFonts w:ascii="Times New Roman" w:eastAsia="Times New Roman" w:hAnsi="Times New Roman" w:cs="Times New Roman"/>
          <w:i/>
          <w:iCs/>
          <w:sz w:val="22"/>
          <w:szCs w:val="22"/>
          <w:lang w:val="pt-BR"/>
        </w:rPr>
        <w:t>flavius</w:t>
      </w:r>
      <w:proofErr w:type="spellEnd"/>
      <w:r w:rsidRPr="00BB2186">
        <w:rPr>
          <w:rFonts w:ascii="Times New Roman" w:eastAsia="Times New Roman" w:hAnsi="Times New Roman" w:cs="Times New Roman"/>
          <w:sz w:val="22"/>
          <w:szCs w:val="22"/>
          <w:lang w:val="pt-BR"/>
        </w:rPr>
        <w:t xml:space="preserve">. </w:t>
      </w:r>
      <w:r>
        <w:rPr>
          <w:rFonts w:ascii="Times New Roman" w:eastAsia="Times New Roman" w:hAnsi="Times New Roman" w:cs="Times New Roman"/>
          <w:sz w:val="22"/>
          <w:szCs w:val="22"/>
        </w:rPr>
        <w:t>The IUCN Red List of</w:t>
      </w:r>
      <w:r>
        <w:rPr>
          <w:rFonts w:ascii="Times New Roman" w:eastAsia="Times New Roman" w:hAnsi="Times New Roman" w:cs="Times New Roman"/>
          <w:sz w:val="22"/>
          <w:szCs w:val="22"/>
        </w:rPr>
        <w:br/>
        <w:t xml:space="preserve">Threatened Species 2021: e.T136253A192592928. Website: https://www.iucnredlist.org/species/136253/192592928. Accessed 28 October 2023. </w:t>
      </w:r>
    </w:p>
    <w:p w14:paraId="0BC26850" w14:textId="77777777" w:rsidR="0072616B" w:rsidRDefault="00000000">
      <w:pPr>
        <w:spacing w:line="360" w:lineRule="auto"/>
        <w:ind w:left="284"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Valença-Montenegro MM, Fialho MS, Carvalho AS et al (2021b) </w:t>
      </w:r>
      <w:r>
        <w:rPr>
          <w:rFonts w:ascii="Times New Roman" w:eastAsia="Times New Roman" w:hAnsi="Times New Roman" w:cs="Times New Roman"/>
          <w:i/>
          <w:iCs/>
          <w:sz w:val="22"/>
          <w:szCs w:val="22"/>
        </w:rPr>
        <w:t xml:space="preserve">Alouatta </w:t>
      </w:r>
      <w:proofErr w:type="spellStart"/>
      <w:r>
        <w:rPr>
          <w:rFonts w:ascii="Times New Roman" w:eastAsia="Times New Roman" w:hAnsi="Times New Roman" w:cs="Times New Roman"/>
          <w:i/>
          <w:iCs/>
          <w:sz w:val="22"/>
          <w:szCs w:val="22"/>
        </w:rPr>
        <w:t>belzebul</w:t>
      </w:r>
      <w:proofErr w:type="spellEnd"/>
      <w:r>
        <w:rPr>
          <w:rFonts w:ascii="Times New Roman" w:eastAsia="Times New Roman" w:hAnsi="Times New Roman" w:cs="Times New Roman"/>
          <w:sz w:val="22"/>
          <w:szCs w:val="22"/>
        </w:rPr>
        <w:t xml:space="preserve"> (amended version of 2019 assessment). The IUCN Red List of Threatened Species 2021: e.T39957A190412426. https://dx.doi.org/10.2305/IUCN.UK.2021-1.RLTS.T39957A190412426.en. Accessed on 24 January 2025.</w:t>
      </w:r>
    </w:p>
    <w:sectPr w:rsidR="0072616B">
      <w:pgSz w:w="16838" w:h="11906" w:orient="landscape"/>
      <w:pgMar w:top="720" w:right="720" w:bottom="720" w:left="720" w:header="708" w:footer="708"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033873A-3B4C-4A81-8AA9-08EDD9F8FAFC}"/>
    <w:embedBold r:id="rId2" w:fontKey="{CF019E27-C5DB-42F1-9CCF-8A2786D18F6C}"/>
    <w:embedItalic r:id="rId3" w:fontKey="{C59C7B97-9009-4B79-B0E4-20F9FC7E1EA3}"/>
  </w:font>
  <w:font w:name="Play">
    <w:charset w:val="00"/>
    <w:family w:val="auto"/>
    <w:pitch w:val="default"/>
    <w:embedRegular r:id="rId4" w:fontKey="{5490096F-8273-4BF0-A1EF-7626191A62A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E9E6F0AD-499C-4FC5-8FD2-EB694ADC41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16B"/>
    <w:rsid w:val="0006378E"/>
    <w:rsid w:val="000C587F"/>
    <w:rsid w:val="0072616B"/>
    <w:rsid w:val="00AC2F17"/>
    <w:rsid w:val="00B36EFD"/>
    <w:rsid w:val="00BB2186"/>
    <w:rsid w:val="00EE2F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E2650"/>
  <w15:docId w15:val="{F0EBE3E5-133E-465A-973C-DABCF596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paragraph" w:styleId="Ttulo7">
    <w:name w:val="heading 7"/>
    <w:basedOn w:val="Normal"/>
    <w:next w:val="Normal"/>
    <w:link w:val="Ttulo7Char"/>
    <w:uiPriority w:val="9"/>
    <w:semiHidden/>
    <w:unhideWhenUsed/>
    <w:qFormat/>
    <w:rsid w:val="009C5D2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C5D2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C5D29"/>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9C5D2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9C5D2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9C5D29"/>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9C5D29"/>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9C5D29"/>
    <w:rPr>
      <w:rFonts w:eastAsiaTheme="majorEastAsia" w:cstheme="majorBidi"/>
      <w:color w:val="0F4761" w:themeColor="accent1" w:themeShade="BF"/>
    </w:rPr>
  </w:style>
  <w:style w:type="character" w:customStyle="1" w:styleId="Ttulo6Char">
    <w:name w:val="Título 6 Char"/>
    <w:basedOn w:val="Fontepargpadro"/>
    <w:uiPriority w:val="9"/>
    <w:semiHidden/>
    <w:rsid w:val="009C5D2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C5D2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C5D2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C5D29"/>
    <w:rPr>
      <w:rFonts w:eastAsiaTheme="majorEastAsia" w:cstheme="majorBidi"/>
      <w:color w:val="272727" w:themeColor="text1" w:themeTint="D8"/>
    </w:rPr>
  </w:style>
  <w:style w:type="character" w:customStyle="1" w:styleId="TtuloChar">
    <w:name w:val="Título Char"/>
    <w:basedOn w:val="Fontepargpadro"/>
    <w:uiPriority w:val="10"/>
    <w:rsid w:val="009C5D29"/>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9C5D2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C5D29"/>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9C5D29"/>
    <w:rPr>
      <w:i/>
      <w:iCs/>
      <w:color w:val="404040" w:themeColor="text1" w:themeTint="BF"/>
    </w:rPr>
  </w:style>
  <w:style w:type="paragraph" w:styleId="PargrafodaLista">
    <w:name w:val="List Paragraph"/>
    <w:basedOn w:val="Normal"/>
    <w:uiPriority w:val="34"/>
    <w:qFormat/>
    <w:rsid w:val="009C5D29"/>
    <w:pPr>
      <w:ind w:left="720"/>
      <w:contextualSpacing/>
    </w:pPr>
  </w:style>
  <w:style w:type="character" w:styleId="nfaseIntensa">
    <w:name w:val="Intense Emphasis"/>
    <w:basedOn w:val="Fontepargpadro"/>
    <w:uiPriority w:val="21"/>
    <w:qFormat/>
    <w:rsid w:val="009C5D29"/>
    <w:rPr>
      <w:i/>
      <w:iCs/>
      <w:color w:val="0F4761" w:themeColor="accent1" w:themeShade="BF"/>
    </w:rPr>
  </w:style>
  <w:style w:type="paragraph" w:styleId="CitaoIntensa">
    <w:name w:val="Intense Quote"/>
    <w:basedOn w:val="Normal"/>
    <w:next w:val="Normal"/>
    <w:link w:val="CitaoIntensaChar"/>
    <w:uiPriority w:val="30"/>
    <w:qFormat/>
    <w:rsid w:val="009C5D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C5D29"/>
    <w:rPr>
      <w:i/>
      <w:iCs/>
      <w:color w:val="0F4761" w:themeColor="accent1" w:themeShade="BF"/>
    </w:rPr>
  </w:style>
  <w:style w:type="character" w:styleId="RefernciaIntensa">
    <w:name w:val="Intense Reference"/>
    <w:basedOn w:val="Fontepargpadro"/>
    <w:uiPriority w:val="32"/>
    <w:qFormat/>
    <w:rsid w:val="009C5D29"/>
    <w:rPr>
      <w:b/>
      <w:bCs/>
      <w:smallCaps/>
      <w:color w:val="0F4761" w:themeColor="accent1" w:themeShade="BF"/>
      <w:spacing w:val="5"/>
    </w:rPr>
  </w:style>
  <w:style w:type="character" w:styleId="Hyperlink">
    <w:name w:val="Hyperlink"/>
    <w:basedOn w:val="Fontepargpadro"/>
    <w:uiPriority w:val="99"/>
    <w:unhideWhenUsed/>
    <w:rsid w:val="0003508F"/>
    <w:rPr>
      <w:color w:val="467886" w:themeColor="hyperlink"/>
      <w:u w:val="single"/>
    </w:rPr>
  </w:style>
  <w:style w:type="character" w:styleId="MenoPendente">
    <w:name w:val="Unresolved Mention"/>
    <w:basedOn w:val="Fontepargpadro"/>
    <w:uiPriority w:val="99"/>
    <w:semiHidden/>
    <w:unhideWhenUsed/>
    <w:rsid w:val="0003508F"/>
    <w:rPr>
      <w:color w:val="605E5C"/>
      <w:shd w:val="clear" w:color="auto" w:fill="E1DFDD"/>
    </w:rPr>
  </w:style>
  <w:style w:type="paragraph" w:styleId="Reviso">
    <w:name w:val="Revision"/>
    <w:hidden/>
    <w:uiPriority w:val="99"/>
    <w:semiHidden/>
    <w:rsid w:val="004A1BB9"/>
  </w:style>
  <w:style w:type="character" w:styleId="Refdecomentrio">
    <w:name w:val="annotation reference"/>
    <w:basedOn w:val="Fontepargpadro"/>
    <w:uiPriority w:val="99"/>
    <w:semiHidden/>
    <w:unhideWhenUsed/>
    <w:rsid w:val="00774D62"/>
    <w:rPr>
      <w:sz w:val="16"/>
      <w:szCs w:val="16"/>
    </w:rPr>
  </w:style>
  <w:style w:type="paragraph" w:styleId="Textodecomentrio">
    <w:name w:val="annotation text"/>
    <w:basedOn w:val="Normal"/>
    <w:link w:val="TextodecomentrioChar"/>
    <w:uiPriority w:val="99"/>
    <w:semiHidden/>
    <w:unhideWhenUsed/>
    <w:rsid w:val="00774D62"/>
    <w:rPr>
      <w:sz w:val="20"/>
      <w:szCs w:val="20"/>
    </w:rPr>
  </w:style>
  <w:style w:type="character" w:customStyle="1" w:styleId="TextodecomentrioChar">
    <w:name w:val="Texto de comentário Char"/>
    <w:basedOn w:val="Fontepargpadro"/>
    <w:link w:val="Textodecomentrio"/>
    <w:uiPriority w:val="99"/>
    <w:semiHidden/>
    <w:rsid w:val="00774D62"/>
    <w:rPr>
      <w:sz w:val="20"/>
      <w:szCs w:val="20"/>
    </w:rPr>
  </w:style>
  <w:style w:type="paragraph" w:styleId="Assuntodocomentrio">
    <w:name w:val="annotation subject"/>
    <w:basedOn w:val="Textodecomentrio"/>
    <w:next w:val="Textodecomentrio"/>
    <w:link w:val="AssuntodocomentrioChar"/>
    <w:uiPriority w:val="99"/>
    <w:semiHidden/>
    <w:unhideWhenUsed/>
    <w:rsid w:val="00774D62"/>
    <w:rPr>
      <w:b/>
      <w:bCs/>
    </w:rPr>
  </w:style>
  <w:style w:type="character" w:customStyle="1" w:styleId="AssuntodocomentrioChar">
    <w:name w:val="Assunto do comentário Char"/>
    <w:basedOn w:val="TextodecomentrioChar"/>
    <w:link w:val="Assuntodocomentrio"/>
    <w:uiPriority w:val="99"/>
    <w:semiHidden/>
    <w:rsid w:val="00774D62"/>
    <w:rPr>
      <w:b/>
      <w:bCs/>
      <w:sz w:val="20"/>
      <w:szCs w:val="20"/>
    </w:rPr>
  </w:style>
  <w:style w:type="paragraph" w:styleId="NormalWeb">
    <w:name w:val="Normal (Web)"/>
    <w:basedOn w:val="Normal"/>
    <w:uiPriority w:val="99"/>
    <w:semiHidden/>
    <w:unhideWhenUsed/>
    <w:rsid w:val="008C00DC"/>
    <w:rPr>
      <w:rFonts w:ascii="Times New Roman" w:hAnsi="Times New Roman" w:cs="Times New Roman"/>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Nmerodelinha">
    <w:name w:val="line number"/>
    <w:basedOn w:val="Fontepargpadro"/>
    <w:uiPriority w:val="99"/>
    <w:semiHidden/>
    <w:unhideWhenUsed/>
    <w:rsid w:val="0035710A"/>
  </w:style>
  <w:style w:type="paragraph" w:styleId="Subttulo">
    <w:name w:val="Subtitle"/>
    <w:basedOn w:val="Normal"/>
    <w:next w:val="Normal"/>
    <w:uiPriority w:val="11"/>
    <w:qFormat/>
    <w:pPr>
      <w:spacing w:after="160"/>
    </w:pPr>
    <w:rPr>
      <w:color w:val="595959"/>
      <w:sz w:val="28"/>
      <w:szCs w:val="28"/>
    </w:r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ucnredlist.org/species/40019/191704766.%C2%A0Accessed%203%20November%202023" TargetMode="External"/><Relationship Id="rId3" Type="http://schemas.openxmlformats.org/officeDocument/2006/relationships/settings" Target="settings.xml"/><Relationship Id="rId7" Type="http://schemas.openxmlformats.org/officeDocument/2006/relationships/hyperlink" Target="https://www.speciesplus.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peciesplus.net/" TargetMode="External"/><Relationship Id="rId5" Type="http://schemas.openxmlformats.org/officeDocument/2006/relationships/hyperlink" Target="https://www.speciesplus.ne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6rTMHREbrmY/WtAqstLI1wAfmw==">CgMxLjA4AHIhMVd2M0lYc1BaMWY0X1FKQ1kwX3ZnUUU0VEZ4WWhkRGlH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5990</Words>
  <Characters>32350</Characters>
  <Application>Microsoft Office Word</Application>
  <DocSecurity>0</DocSecurity>
  <Lines>269</Lines>
  <Paragraphs>76</Paragraphs>
  <ScaleCrop>false</ScaleCrop>
  <Company/>
  <LinksUpToDate>false</LinksUpToDate>
  <CharactersWithSpaces>38264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Bezerra</dc:creator>
  <cp:lastModifiedBy>Ana Luiza Leichter Matte</cp:lastModifiedBy>
  <cp:revision>4</cp:revision>
  <dcterms:created xsi:type="dcterms:W3CDTF">2025-08-24T22:12:00Z</dcterms:created>
  <dcterms:modified xsi:type="dcterms:W3CDTF">2026-05-16T20:25:00Z</dcterms:modified>
</cp:coreProperties>
</file>