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B9EDB" w14:textId="77777777" w:rsidR="003D66A1" w:rsidRPr="00B14DD0" w:rsidRDefault="003D66A1"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Digital Footprints: Documenting Marine Mammal Distribution Through Social Media Reports </w:t>
      </w:r>
    </w:p>
    <w:p w14:paraId="0D158D20" w14:textId="7EC930EB" w:rsidR="00160015" w:rsidRPr="00B14DD0" w:rsidRDefault="00160015" w:rsidP="00B14DD0">
      <w:pPr>
        <w:spacing w:line="480" w:lineRule="auto"/>
        <w:rPr>
          <w:rFonts w:ascii="Times New Roman" w:hAnsi="Times New Roman" w:cs="Times New Roman"/>
          <w:b/>
          <w:bCs/>
          <w:i/>
          <w:iCs/>
          <w:sz w:val="20"/>
          <w:szCs w:val="20"/>
        </w:rPr>
      </w:pPr>
      <w:r w:rsidRPr="00B14DD0">
        <w:rPr>
          <w:rFonts w:ascii="Times New Roman" w:hAnsi="Times New Roman" w:cs="Times New Roman"/>
          <w:b/>
          <w:bCs/>
          <w:i/>
          <w:iCs/>
          <w:sz w:val="20"/>
          <w:szCs w:val="20"/>
        </w:rPr>
        <w:t>Biodiversity and Conservation</w:t>
      </w:r>
    </w:p>
    <w:p w14:paraId="0D5A5A28" w14:textId="2FAC519B" w:rsidR="009A3B52" w:rsidRPr="00B14DD0" w:rsidRDefault="004E7C5F" w:rsidP="00B14DD0">
      <w:p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Beddoe, J.</w:t>
      </w:r>
      <w:r w:rsidR="00143C07" w:rsidRPr="00B14DD0">
        <w:rPr>
          <w:rFonts w:ascii="Times New Roman" w:hAnsi="Times New Roman" w:cs="Times New Roman"/>
          <w:b/>
          <w:bCs/>
          <w:sz w:val="20"/>
          <w:szCs w:val="20"/>
        </w:rPr>
        <w:t xml:space="preserve"> </w:t>
      </w:r>
      <w:r w:rsidR="00143C07" w:rsidRPr="00B14DD0">
        <w:rPr>
          <w:rFonts w:ascii="Times New Roman" w:hAnsi="Times New Roman" w:cs="Times New Roman"/>
          <w:b/>
          <w:bCs/>
          <w:sz w:val="20"/>
          <w:szCs w:val="20"/>
          <w:vertAlign w:val="superscript"/>
        </w:rPr>
        <w:t>1,2</w:t>
      </w:r>
      <w:r w:rsidRPr="00B14DD0">
        <w:rPr>
          <w:rFonts w:ascii="Times New Roman" w:hAnsi="Times New Roman" w:cs="Times New Roman"/>
          <w:b/>
          <w:bCs/>
          <w:sz w:val="20"/>
          <w:szCs w:val="20"/>
        </w:rPr>
        <w:t>, Shimeta, J.</w:t>
      </w:r>
      <w:r w:rsidR="00FD60E2" w:rsidRPr="00B14DD0">
        <w:rPr>
          <w:rFonts w:ascii="Times New Roman" w:hAnsi="Times New Roman" w:cs="Times New Roman"/>
          <w:b/>
          <w:bCs/>
          <w:sz w:val="20"/>
          <w:szCs w:val="20"/>
        </w:rPr>
        <w:t xml:space="preserve"> </w:t>
      </w:r>
      <w:r w:rsidR="00FD60E2" w:rsidRPr="00B14DD0">
        <w:rPr>
          <w:rFonts w:ascii="Times New Roman" w:hAnsi="Times New Roman" w:cs="Times New Roman"/>
          <w:b/>
          <w:bCs/>
          <w:sz w:val="20"/>
          <w:szCs w:val="20"/>
          <w:vertAlign w:val="superscript"/>
        </w:rPr>
        <w:t>1</w:t>
      </w:r>
      <w:r w:rsidRPr="00B14DD0">
        <w:rPr>
          <w:rFonts w:ascii="Times New Roman" w:hAnsi="Times New Roman" w:cs="Times New Roman"/>
          <w:b/>
          <w:bCs/>
          <w:sz w:val="20"/>
          <w:szCs w:val="20"/>
        </w:rPr>
        <w:t>, Blades, S.</w:t>
      </w:r>
      <w:r w:rsidR="00FD60E2" w:rsidRPr="00B14DD0">
        <w:rPr>
          <w:rFonts w:ascii="Times New Roman" w:hAnsi="Times New Roman" w:cs="Times New Roman"/>
          <w:b/>
          <w:bCs/>
          <w:sz w:val="20"/>
          <w:szCs w:val="20"/>
        </w:rPr>
        <w:t xml:space="preserve"> </w:t>
      </w:r>
      <w:r w:rsidR="00FD60E2" w:rsidRPr="00B14DD0">
        <w:rPr>
          <w:rFonts w:ascii="Times New Roman" w:hAnsi="Times New Roman" w:cs="Times New Roman"/>
          <w:b/>
          <w:bCs/>
          <w:sz w:val="20"/>
          <w:szCs w:val="20"/>
          <w:vertAlign w:val="superscript"/>
        </w:rPr>
        <w:t>3</w:t>
      </w:r>
      <w:r w:rsidRPr="00B14DD0">
        <w:rPr>
          <w:rFonts w:ascii="Times New Roman" w:hAnsi="Times New Roman" w:cs="Times New Roman"/>
          <w:b/>
          <w:bCs/>
          <w:sz w:val="20"/>
          <w:szCs w:val="20"/>
        </w:rPr>
        <w:t>, Robb, K</w:t>
      </w:r>
      <w:r w:rsidR="00FD60E2" w:rsidRPr="00B14DD0">
        <w:rPr>
          <w:rFonts w:ascii="Times New Roman" w:hAnsi="Times New Roman" w:cs="Times New Roman"/>
          <w:b/>
          <w:bCs/>
          <w:sz w:val="20"/>
          <w:szCs w:val="20"/>
        </w:rPr>
        <w:t xml:space="preserve"> </w:t>
      </w:r>
      <w:r w:rsidR="00FD60E2" w:rsidRPr="00B14DD0">
        <w:rPr>
          <w:rFonts w:ascii="Times New Roman" w:hAnsi="Times New Roman" w:cs="Times New Roman"/>
          <w:b/>
          <w:bCs/>
          <w:sz w:val="20"/>
          <w:szCs w:val="20"/>
          <w:vertAlign w:val="superscript"/>
        </w:rPr>
        <w:t>2</w:t>
      </w:r>
      <w:r w:rsidR="00143C07" w:rsidRPr="00B14DD0">
        <w:rPr>
          <w:rFonts w:ascii="Times New Roman" w:hAnsi="Times New Roman" w:cs="Times New Roman"/>
          <w:b/>
          <w:bCs/>
          <w:sz w:val="20"/>
          <w:szCs w:val="20"/>
        </w:rPr>
        <w:br/>
      </w:r>
      <w:r w:rsidR="00143C07" w:rsidRPr="00B14DD0">
        <w:rPr>
          <w:rFonts w:ascii="Times New Roman" w:hAnsi="Times New Roman" w:cs="Times New Roman"/>
          <w:sz w:val="20"/>
          <w:szCs w:val="20"/>
          <w:vertAlign w:val="superscript"/>
        </w:rPr>
        <w:t xml:space="preserve">1 </w:t>
      </w:r>
      <w:r w:rsidR="00143C07" w:rsidRPr="00B14DD0">
        <w:rPr>
          <w:rFonts w:ascii="Times New Roman" w:hAnsi="Times New Roman" w:cs="Times New Roman"/>
          <w:sz w:val="20"/>
          <w:szCs w:val="20"/>
        </w:rPr>
        <w:t>School of Science, RMIT University, Melbourne, Victoria</w:t>
      </w:r>
      <w:r w:rsidR="00143C07" w:rsidRPr="00B14DD0">
        <w:rPr>
          <w:rFonts w:ascii="Times New Roman" w:hAnsi="Times New Roman" w:cs="Times New Roman"/>
          <w:sz w:val="20"/>
          <w:szCs w:val="20"/>
        </w:rPr>
        <w:br/>
      </w:r>
      <w:r w:rsidR="00143C07" w:rsidRPr="00B14DD0">
        <w:rPr>
          <w:rFonts w:ascii="Times New Roman" w:hAnsi="Times New Roman" w:cs="Times New Roman"/>
          <w:sz w:val="20"/>
          <w:szCs w:val="20"/>
          <w:vertAlign w:val="superscript"/>
        </w:rPr>
        <w:t xml:space="preserve">2 </w:t>
      </w:r>
      <w:r w:rsidR="00143C07" w:rsidRPr="00B14DD0">
        <w:rPr>
          <w:rFonts w:ascii="Times New Roman" w:hAnsi="Times New Roman" w:cs="Times New Roman"/>
          <w:sz w:val="20"/>
          <w:szCs w:val="20"/>
        </w:rPr>
        <w:t xml:space="preserve">Marine Mammal Foundation, </w:t>
      </w:r>
      <w:r w:rsidR="009A3B52" w:rsidRPr="00B14DD0">
        <w:rPr>
          <w:rFonts w:ascii="Times New Roman" w:hAnsi="Times New Roman" w:cs="Times New Roman"/>
          <w:sz w:val="20"/>
          <w:szCs w:val="20"/>
        </w:rPr>
        <w:t>Hampton East, Victoria, Australia</w:t>
      </w:r>
      <w:r w:rsidR="00FD60E2" w:rsidRPr="00B14DD0">
        <w:rPr>
          <w:rFonts w:ascii="Times New Roman" w:hAnsi="Times New Roman" w:cs="Times New Roman"/>
          <w:sz w:val="20"/>
          <w:szCs w:val="20"/>
        </w:rPr>
        <w:br/>
      </w:r>
      <w:r w:rsidR="00FD60E2" w:rsidRPr="00B14DD0">
        <w:rPr>
          <w:rFonts w:ascii="Times New Roman" w:hAnsi="Times New Roman" w:cs="Times New Roman"/>
          <w:sz w:val="20"/>
          <w:szCs w:val="20"/>
          <w:vertAlign w:val="superscript"/>
        </w:rPr>
        <w:t xml:space="preserve">3 </w:t>
      </w:r>
      <w:r w:rsidR="00FD60E2" w:rsidRPr="00B14DD0">
        <w:rPr>
          <w:rFonts w:ascii="Times New Roman" w:hAnsi="Times New Roman" w:cs="Times New Roman"/>
          <w:sz w:val="20"/>
          <w:szCs w:val="20"/>
        </w:rPr>
        <w:t>Future Spatial, Melbourne, Victoria, Australia</w:t>
      </w:r>
      <w:r w:rsidR="009A3B52" w:rsidRPr="00B14DD0">
        <w:rPr>
          <w:rFonts w:ascii="Times New Roman" w:hAnsi="Times New Roman" w:cs="Times New Roman"/>
          <w:sz w:val="20"/>
          <w:szCs w:val="20"/>
        </w:rPr>
        <w:br/>
        <w:t>Email: jemima@marinemammal.org.au</w:t>
      </w:r>
    </w:p>
    <w:p w14:paraId="0D8FB226" w14:textId="7E5C8ACE" w:rsidR="00147E6D" w:rsidRPr="00B14DD0" w:rsidRDefault="3397785A" w:rsidP="00B14DD0">
      <w:p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 xml:space="preserve">S1 – Complementarity </w:t>
      </w:r>
      <w:r w:rsidR="00627299" w:rsidRPr="00B14DD0">
        <w:rPr>
          <w:rFonts w:ascii="Times New Roman" w:hAnsi="Times New Roman" w:cs="Times New Roman"/>
          <w:b/>
          <w:bCs/>
          <w:sz w:val="20"/>
          <w:szCs w:val="20"/>
        </w:rPr>
        <w:t>Analysis</w:t>
      </w:r>
    </w:p>
    <w:p w14:paraId="2C45C94F" w14:textId="519682DC" w:rsidR="00E03793"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S1.1 </w:t>
      </w:r>
      <w:r w:rsidR="004213D7" w:rsidRPr="00B14DD0">
        <w:rPr>
          <w:rFonts w:ascii="Times New Roman" w:hAnsi="Times New Roman" w:cs="Times New Roman"/>
          <w:b/>
          <w:bCs/>
          <w:sz w:val="20"/>
          <w:szCs w:val="20"/>
        </w:rPr>
        <w:t xml:space="preserve">Spatial Data Preparation - </w:t>
      </w:r>
      <w:r w:rsidR="00E03793" w:rsidRPr="00B14DD0">
        <w:rPr>
          <w:rFonts w:ascii="Times New Roman" w:hAnsi="Times New Roman" w:cs="Times New Roman"/>
          <w:b/>
          <w:bCs/>
          <w:sz w:val="20"/>
          <w:szCs w:val="20"/>
        </w:rPr>
        <w:t>Grid Construction</w:t>
      </w:r>
    </w:p>
    <w:p w14:paraId="7B11D53A" w14:textId="57CAC06A" w:rsidR="00AE4B44" w:rsidRPr="00B14DD0" w:rsidRDefault="3397785A" w:rsidP="00B14DD0">
      <w:pPr>
        <w:spacing w:line="480" w:lineRule="auto"/>
        <w:rPr>
          <w:rFonts w:ascii="Times New Roman" w:hAnsi="Times New Roman" w:cs="Times New Roman"/>
          <w:noProof/>
          <w:sz w:val="20"/>
          <w:szCs w:val="20"/>
        </w:rPr>
      </w:pPr>
      <w:r w:rsidRPr="00B14DD0">
        <w:rPr>
          <w:rFonts w:ascii="Times New Roman" w:hAnsi="Times New Roman" w:cs="Times New Roman"/>
          <w:sz w:val="20"/>
          <w:szCs w:val="20"/>
        </w:rPr>
        <w:t xml:space="preserve">We created a 10 km hexagonal grid covering the study area (Figure 1) using QGIS 3.40.7. The 10 km resolution was selected to match our coordinate uncertainty threshold: all records with positional uncertainty &gt;10 km </w:t>
      </w:r>
      <w:proofErr w:type="gramStart"/>
      <w:r w:rsidRPr="00B14DD0">
        <w:rPr>
          <w:rFonts w:ascii="Times New Roman" w:hAnsi="Times New Roman" w:cs="Times New Roman"/>
          <w:sz w:val="20"/>
          <w:szCs w:val="20"/>
        </w:rPr>
        <w:t>were</w:t>
      </w:r>
      <w:proofErr w:type="gramEnd"/>
      <w:r w:rsidRPr="00B14DD0">
        <w:rPr>
          <w:rFonts w:ascii="Times New Roman" w:hAnsi="Times New Roman" w:cs="Times New Roman"/>
          <w:sz w:val="20"/>
          <w:szCs w:val="20"/>
        </w:rPr>
        <w:t xml:space="preserve"> excluded during data cleaning, ensuring that aggregating points into 10 km cells appropriately handles remaining spatial uncertainty, for this reason some cells encroach up to 10km inland. </w:t>
      </w:r>
      <w:r w:rsidR="00E03793" w:rsidRPr="00B14DD0">
        <w:rPr>
          <w:rFonts w:ascii="Times New Roman" w:hAnsi="Times New Roman" w:cs="Times New Roman"/>
          <w:sz w:val="20"/>
          <w:szCs w:val="20"/>
        </w:rPr>
        <w:br/>
      </w:r>
      <w:r w:rsidRPr="00B14DD0">
        <w:rPr>
          <w:rFonts w:ascii="Times New Roman" w:hAnsi="Times New Roman" w:cs="Times New Roman"/>
          <w:sz w:val="20"/>
          <w:szCs w:val="20"/>
        </w:rPr>
        <w:t>For computational efficiency cells &gt;10km inland were removed from the grid.</w:t>
      </w:r>
    </w:p>
    <w:p w14:paraId="59E55DC6" w14:textId="25938C4F" w:rsidR="00E03793"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S1.2 </w:t>
      </w:r>
      <w:r w:rsidR="00E03793" w:rsidRPr="00B14DD0">
        <w:rPr>
          <w:rFonts w:ascii="Times New Roman" w:hAnsi="Times New Roman" w:cs="Times New Roman"/>
          <w:b/>
          <w:bCs/>
          <w:sz w:val="20"/>
          <w:szCs w:val="20"/>
        </w:rPr>
        <w:t>Spatial Assignment</w:t>
      </w:r>
    </w:p>
    <w:p w14:paraId="4F4B50B7" w14:textId="1823D7BF"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For each species, </w:t>
      </w:r>
      <w:r w:rsidR="00251FDB" w:rsidRPr="00B14DD0">
        <w:rPr>
          <w:rFonts w:ascii="Times New Roman" w:hAnsi="Times New Roman" w:cs="Times New Roman"/>
          <w:sz w:val="20"/>
          <w:szCs w:val="20"/>
        </w:rPr>
        <w:t xml:space="preserve">cleaned </w:t>
      </w:r>
      <w:r w:rsidRPr="00B14DD0">
        <w:rPr>
          <w:rFonts w:ascii="Times New Roman" w:hAnsi="Times New Roman" w:cs="Times New Roman"/>
          <w:sz w:val="20"/>
          <w:szCs w:val="20"/>
        </w:rPr>
        <w:t xml:space="preserve">Facebook and GBIF occurrence records were spatially joined to the hexagonal grid using a point-in-polygon operation. Records falling within a hexagon's boundary were assigned to that cell. This created two binary presence/absence grids per species: one representing </w:t>
      </w:r>
      <w:proofErr w:type="gramStart"/>
      <w:r w:rsidRPr="00B14DD0">
        <w:rPr>
          <w:rFonts w:ascii="Times New Roman" w:hAnsi="Times New Roman" w:cs="Times New Roman"/>
          <w:sz w:val="20"/>
          <w:szCs w:val="20"/>
        </w:rPr>
        <w:t>hexagons</w:t>
      </w:r>
      <w:proofErr w:type="gramEnd"/>
      <w:r w:rsidRPr="00B14DD0">
        <w:rPr>
          <w:rFonts w:ascii="Times New Roman" w:hAnsi="Times New Roman" w:cs="Times New Roman"/>
          <w:sz w:val="20"/>
          <w:szCs w:val="20"/>
        </w:rPr>
        <w:t xml:space="preserve"> with ≥1 Facebook record, and one representing </w:t>
      </w:r>
      <w:proofErr w:type="gramStart"/>
      <w:r w:rsidRPr="00B14DD0">
        <w:rPr>
          <w:rFonts w:ascii="Times New Roman" w:hAnsi="Times New Roman" w:cs="Times New Roman"/>
          <w:sz w:val="20"/>
          <w:szCs w:val="20"/>
        </w:rPr>
        <w:t>hexagons</w:t>
      </w:r>
      <w:proofErr w:type="gramEnd"/>
      <w:r w:rsidRPr="00B14DD0">
        <w:rPr>
          <w:rFonts w:ascii="Times New Roman" w:hAnsi="Times New Roman" w:cs="Times New Roman"/>
          <w:sz w:val="20"/>
          <w:szCs w:val="20"/>
        </w:rPr>
        <w:t xml:space="preserve"> with ≥1 GBIF record. </w:t>
      </w:r>
      <w:r w:rsidR="004572D4" w:rsidRPr="00B14DD0">
        <w:rPr>
          <w:rFonts w:ascii="Times New Roman" w:hAnsi="Times New Roman" w:cs="Times New Roman"/>
          <w:sz w:val="20"/>
          <w:szCs w:val="20"/>
        </w:rPr>
        <w:t>A</w:t>
      </w:r>
      <w:r w:rsidRPr="00B14DD0">
        <w:rPr>
          <w:rFonts w:ascii="Times New Roman" w:hAnsi="Times New Roman" w:cs="Times New Roman"/>
          <w:sz w:val="20"/>
          <w:szCs w:val="20"/>
        </w:rPr>
        <w:t xml:space="preserve"> minimum record </w:t>
      </w:r>
      <w:r w:rsidR="004572D4" w:rsidRPr="00B14DD0">
        <w:rPr>
          <w:rFonts w:ascii="Times New Roman" w:hAnsi="Times New Roman" w:cs="Times New Roman"/>
          <w:sz w:val="20"/>
          <w:szCs w:val="20"/>
        </w:rPr>
        <w:t xml:space="preserve">of </w:t>
      </w:r>
      <w:r w:rsidRPr="00B14DD0">
        <w:rPr>
          <w:rFonts w:ascii="Times New Roman" w:hAnsi="Times New Roman" w:cs="Times New Roman"/>
          <w:sz w:val="20"/>
          <w:szCs w:val="20"/>
        </w:rPr>
        <w:t>thresholds per hexagon</w:t>
      </w:r>
      <w:r w:rsidR="004572D4" w:rsidRPr="00B14DD0">
        <w:rPr>
          <w:rFonts w:ascii="Times New Roman" w:hAnsi="Times New Roman" w:cs="Times New Roman"/>
          <w:sz w:val="20"/>
          <w:szCs w:val="20"/>
        </w:rPr>
        <w:t xml:space="preserve"> was not applied</w:t>
      </w:r>
      <w:r w:rsidRPr="00B14DD0">
        <w:rPr>
          <w:rFonts w:ascii="Times New Roman" w:hAnsi="Times New Roman" w:cs="Times New Roman"/>
          <w:sz w:val="20"/>
          <w:szCs w:val="20"/>
        </w:rPr>
        <w:t>, treating any detection as evidence of presence.</w:t>
      </w:r>
    </w:p>
    <w:p w14:paraId="176469E1" w14:textId="7346612C" w:rsidR="00E03793"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S1.3 </w:t>
      </w:r>
      <w:r w:rsidR="00E03793" w:rsidRPr="00B14DD0">
        <w:rPr>
          <w:rFonts w:ascii="Times New Roman" w:hAnsi="Times New Roman" w:cs="Times New Roman"/>
          <w:b/>
          <w:bCs/>
          <w:sz w:val="20"/>
          <w:szCs w:val="20"/>
        </w:rPr>
        <w:t>Complementarity Metrics</w:t>
      </w:r>
    </w:p>
    <w:p w14:paraId="364ED2B8" w14:textId="09DE751B" w:rsidR="00E03793" w:rsidRPr="00B14DD0" w:rsidRDefault="3397785A"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For each species, spatial sampling complementarity was calculated by assigning values to each cell:</w:t>
      </w:r>
    </w:p>
    <w:p w14:paraId="08F6C021" w14:textId="77777777" w:rsidR="00E03793" w:rsidRPr="00B14DD0" w:rsidRDefault="00E03793"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a = </w:t>
      </w:r>
      <w:r w:rsidRPr="00B14DD0">
        <w:rPr>
          <w:rFonts w:ascii="Times New Roman" w:hAnsi="Times New Roman" w:cs="Times New Roman"/>
          <w:sz w:val="20"/>
          <w:szCs w:val="20"/>
        </w:rPr>
        <w:t>number of hexagons with both Facebook AND GBIF records</w:t>
      </w:r>
    </w:p>
    <w:p w14:paraId="7D356FF3" w14:textId="77777777" w:rsidR="00E03793" w:rsidRPr="00B14DD0" w:rsidRDefault="00E03793"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b = </w:t>
      </w:r>
      <w:r w:rsidRPr="00B14DD0">
        <w:rPr>
          <w:rFonts w:ascii="Times New Roman" w:hAnsi="Times New Roman" w:cs="Times New Roman"/>
          <w:sz w:val="20"/>
          <w:szCs w:val="20"/>
        </w:rPr>
        <w:t>number of hexagons with Facebook ONLY</w:t>
      </w:r>
    </w:p>
    <w:p w14:paraId="65F4FB26" w14:textId="73DCE6D3"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 xml:space="preserve">c = </w:t>
      </w:r>
      <w:r w:rsidRPr="00B14DD0">
        <w:rPr>
          <w:rFonts w:ascii="Times New Roman" w:hAnsi="Times New Roman" w:cs="Times New Roman"/>
          <w:sz w:val="20"/>
          <w:szCs w:val="20"/>
        </w:rPr>
        <w:t>number of hexagons with GBIF ONLY</w:t>
      </w:r>
      <w:r w:rsidR="00AE4B44" w:rsidRPr="00B14DD0">
        <w:rPr>
          <w:rFonts w:ascii="Times New Roman" w:hAnsi="Times New Roman" w:cs="Times New Roman"/>
          <w:sz w:val="20"/>
          <w:szCs w:val="20"/>
        </w:rPr>
        <w:br/>
      </w:r>
    </w:p>
    <w:p w14:paraId="0253CB0F" w14:textId="17A821E2"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lastRenderedPageBreak/>
        <w:t xml:space="preserve">The Sørensen similarity index (SI) </w:t>
      </w:r>
      <w:r w:rsidR="0094138A" w:rsidRPr="00B14DD0">
        <w:rPr>
          <w:rFonts w:ascii="Times New Roman" w:hAnsi="Times New Roman" w:cs="Times New Roman"/>
          <w:sz w:val="20"/>
          <w:szCs w:val="20"/>
        </w:rPr>
        <w:fldChar w:fldCharType="begin"/>
      </w:r>
      <w:r w:rsidR="0094138A" w:rsidRPr="00B14DD0">
        <w:rPr>
          <w:rFonts w:ascii="Times New Roman" w:hAnsi="Times New Roman" w:cs="Times New Roman"/>
          <w:sz w:val="20"/>
          <w:szCs w:val="20"/>
        </w:rPr>
        <w:instrText xml:space="preserve"> ADDIN ZOTERO_ITEM CSL_CITATION {"citationID":"Ru5EVTmx","properties":{"formattedCitation":"(S\\uc0\\u248{}rensen 1948)","plainCitation":"(Sørensen 1948)","noteIndex":0},"citationItems":[{"id":2004,"uris":["http://zotero.org/users/3905390/items/XXFUMSKU"],"itemData":{"id":2004,"type":"book","language":"en","note":"Google-Books-ID: rpS8GAAACAAJ","number-of-pages":"34","publisher":"Munksgaard in Komm.","source":"Google Books","title":"A Method of Establishing Groups of Equal Amplitude in Plant Sociology Based on Similarity of Species Content: And Its Application to Analyses of the Vegetation on Danish Commons","title-short":"A Method of Establishing Groups of Equal Amplitude in Plant Sociology Based on Similarity of Species Content","author":[{"family":"Sørensen","given":"Thorvald"}],"issued":{"date-parts":[["1948"]]}}}],"schema":"https://github.com/citation-style-language/schema/raw/master/csl-citation.json"} </w:instrText>
      </w:r>
      <w:r w:rsidR="0094138A" w:rsidRPr="00B14DD0">
        <w:rPr>
          <w:rFonts w:ascii="Times New Roman" w:hAnsi="Times New Roman" w:cs="Times New Roman"/>
          <w:sz w:val="20"/>
          <w:szCs w:val="20"/>
        </w:rPr>
        <w:fldChar w:fldCharType="separate"/>
      </w:r>
      <w:r w:rsidR="0094138A" w:rsidRPr="00B14DD0">
        <w:rPr>
          <w:rFonts w:ascii="Times New Roman" w:hAnsi="Times New Roman" w:cs="Times New Roman"/>
          <w:kern w:val="0"/>
          <w:sz w:val="20"/>
          <w:szCs w:val="20"/>
        </w:rPr>
        <w:t>(Sørensen 1948)</w:t>
      </w:r>
      <w:r w:rsidR="0094138A" w:rsidRPr="00B14DD0">
        <w:rPr>
          <w:rFonts w:ascii="Times New Roman" w:hAnsi="Times New Roman" w:cs="Times New Roman"/>
          <w:sz w:val="20"/>
          <w:szCs w:val="20"/>
        </w:rPr>
        <w:fldChar w:fldCharType="end"/>
      </w:r>
      <w:r w:rsidR="0094138A" w:rsidRPr="00B14DD0">
        <w:rPr>
          <w:rFonts w:ascii="Times New Roman" w:hAnsi="Times New Roman" w:cs="Times New Roman"/>
          <w:sz w:val="20"/>
          <w:szCs w:val="20"/>
        </w:rPr>
        <w:t xml:space="preserve"> </w:t>
      </w:r>
      <w:r w:rsidRPr="00B14DD0">
        <w:rPr>
          <w:rFonts w:ascii="Times New Roman" w:hAnsi="Times New Roman" w:cs="Times New Roman"/>
          <w:sz w:val="20"/>
          <w:szCs w:val="20"/>
        </w:rPr>
        <w:t>was calculated as:</w:t>
      </w:r>
    </w:p>
    <w:p w14:paraId="63A1A14A" w14:textId="77777777" w:rsidR="00E03793" w:rsidRPr="00B14DD0" w:rsidRDefault="00E03793"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SI = 2a / (2a + b + c)</w:t>
      </w:r>
    </w:p>
    <w:p w14:paraId="4AB57F7B" w14:textId="77777777"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SI ranges from 0 (no shared hexagons) to 1 (complete spatial overlap). Low SI values indicate high spatial sampling complementarity, meaning datasets provide largely non-overlapping geographic coverage.</w:t>
      </w:r>
    </w:p>
    <w:p w14:paraId="2FE87C3C" w14:textId="4F17254A" w:rsidR="00E03793" w:rsidRPr="00B14DD0" w:rsidRDefault="3397785A"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The Jaccard index was also calculated for comparison:</w:t>
      </w:r>
    </w:p>
    <w:p w14:paraId="04F2C884" w14:textId="77777777" w:rsidR="00E03793" w:rsidRPr="00B14DD0" w:rsidRDefault="00E03793"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JI = a / (a + b + c)</w:t>
      </w:r>
    </w:p>
    <w:p w14:paraId="20A3E270" w14:textId="61A7EBEE"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And quantified the contribution of each dataset as:</w:t>
      </w:r>
    </w:p>
    <w:p w14:paraId="4A329C75" w14:textId="77777777"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Facebook unique contribution:</w:t>
      </w:r>
      <w:r w:rsidRPr="00B14DD0">
        <w:rPr>
          <w:rFonts w:ascii="Times New Roman" w:hAnsi="Times New Roman" w:cs="Times New Roman"/>
          <w:sz w:val="20"/>
          <w:szCs w:val="20"/>
        </w:rPr>
        <w:t xml:space="preserve"> (b / total hexagons) × 100%</w:t>
      </w:r>
    </w:p>
    <w:p w14:paraId="12A91012" w14:textId="77777777"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GBIF unique contribution:</w:t>
      </w:r>
      <w:r w:rsidRPr="00B14DD0">
        <w:rPr>
          <w:rFonts w:ascii="Times New Roman" w:hAnsi="Times New Roman" w:cs="Times New Roman"/>
          <w:sz w:val="20"/>
          <w:szCs w:val="20"/>
        </w:rPr>
        <w:t xml:space="preserve"> (c / total hexagons) × 100%</w:t>
      </w:r>
    </w:p>
    <w:p w14:paraId="051277FD" w14:textId="40BCB820"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Overlap:</w:t>
      </w:r>
      <w:r w:rsidRPr="00B14DD0">
        <w:rPr>
          <w:rFonts w:ascii="Times New Roman" w:hAnsi="Times New Roman" w:cs="Times New Roman"/>
          <w:sz w:val="20"/>
          <w:szCs w:val="20"/>
        </w:rPr>
        <w:t xml:space="preserve"> (a / total hexagons) × 100%</w:t>
      </w:r>
      <w:r w:rsidR="00597DC4" w:rsidRPr="00B14DD0">
        <w:rPr>
          <w:rFonts w:ascii="Times New Roman" w:hAnsi="Times New Roman" w:cs="Times New Roman"/>
          <w:sz w:val="20"/>
          <w:szCs w:val="20"/>
        </w:rPr>
        <w:t xml:space="preserve"> </w:t>
      </w:r>
      <w:r w:rsidRPr="00B14DD0">
        <w:rPr>
          <w:rFonts w:ascii="Times New Roman" w:hAnsi="Times New Roman" w:cs="Times New Roman"/>
          <w:sz w:val="20"/>
          <w:szCs w:val="20"/>
        </w:rPr>
        <w:t>where total hexagons = a + b + c.</w:t>
      </w:r>
    </w:p>
    <w:p w14:paraId="3091C608" w14:textId="77777777" w:rsidR="00E03793" w:rsidRPr="00B14DD0" w:rsidRDefault="00E03793"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Software and Implementation</w:t>
      </w:r>
    </w:p>
    <w:p w14:paraId="75B34151" w14:textId="62DC80F1" w:rsidR="00CA19D2"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Analysis was conducted in Python 3.9 using </w:t>
      </w:r>
      <w:proofErr w:type="spellStart"/>
      <w:r w:rsidRPr="00B14DD0">
        <w:rPr>
          <w:rFonts w:ascii="Times New Roman" w:hAnsi="Times New Roman" w:cs="Times New Roman"/>
          <w:sz w:val="20"/>
          <w:szCs w:val="20"/>
        </w:rPr>
        <w:t>GeoPandas</w:t>
      </w:r>
      <w:proofErr w:type="spellEnd"/>
      <w:r w:rsidRPr="00B14DD0">
        <w:rPr>
          <w:rFonts w:ascii="Times New Roman" w:hAnsi="Times New Roman" w:cs="Times New Roman"/>
          <w:sz w:val="20"/>
          <w:szCs w:val="20"/>
        </w:rPr>
        <w:t xml:space="preserve"> 0.14.0 for spatial operations, Pandas 2.0.3 for data manipulation, and Shapely 2.0.1 for geometric calculations. Visualization was performed using Matplotlib 3.7.2 and Seaborn 0.12.2. The complete analysis pipeline, including code for reproducibility, is archived at</w:t>
      </w:r>
      <w:r w:rsidR="00CA19D2" w:rsidRPr="00B14DD0">
        <w:rPr>
          <w:rFonts w:ascii="Times New Roman" w:hAnsi="Times New Roman" w:cs="Times New Roman"/>
          <w:sz w:val="20"/>
          <w:szCs w:val="20"/>
        </w:rPr>
        <w:t xml:space="preserve"> [https://doi.org/10.5061/dryad.jsxksn0qp].</w:t>
      </w:r>
    </w:p>
    <w:p w14:paraId="7C923263" w14:textId="2ED0702A" w:rsidR="00E03793"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S1.4 </w:t>
      </w:r>
      <w:r w:rsidR="00E03793" w:rsidRPr="00B14DD0">
        <w:rPr>
          <w:rFonts w:ascii="Times New Roman" w:hAnsi="Times New Roman" w:cs="Times New Roman"/>
          <w:b/>
          <w:bCs/>
          <w:sz w:val="20"/>
          <w:szCs w:val="20"/>
        </w:rPr>
        <w:t>Interpretation Framework</w:t>
      </w:r>
    </w:p>
    <w:p w14:paraId="0FA40BDC" w14:textId="18AD7BB2"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This analysis quantifies spatial sampling complementarity between data </w:t>
      </w:r>
      <w:proofErr w:type="gramStart"/>
      <w:r w:rsidRPr="00B14DD0">
        <w:rPr>
          <w:rFonts w:ascii="Times New Roman" w:hAnsi="Times New Roman" w:cs="Times New Roman"/>
          <w:sz w:val="20"/>
          <w:szCs w:val="20"/>
        </w:rPr>
        <w:t>sources</w:t>
      </w:r>
      <w:r w:rsidR="00597DC4" w:rsidRPr="00B14DD0">
        <w:rPr>
          <w:rFonts w:ascii="Times New Roman" w:hAnsi="Times New Roman" w:cs="Times New Roman"/>
          <w:sz w:val="20"/>
          <w:szCs w:val="20"/>
        </w:rPr>
        <w:t>,</w:t>
      </w:r>
      <w:proofErr w:type="gramEnd"/>
      <w:r w:rsidR="00597DC4" w:rsidRPr="00B14DD0">
        <w:rPr>
          <w:rFonts w:ascii="Times New Roman" w:hAnsi="Times New Roman" w:cs="Times New Roman"/>
          <w:sz w:val="20"/>
          <w:szCs w:val="20"/>
        </w:rPr>
        <w:t xml:space="preserve"> this is </w:t>
      </w:r>
      <w:r w:rsidRPr="00B14DD0">
        <w:rPr>
          <w:rFonts w:ascii="Times New Roman" w:hAnsi="Times New Roman" w:cs="Times New Roman"/>
          <w:sz w:val="20"/>
          <w:szCs w:val="20"/>
        </w:rPr>
        <w:t>the degree to which datasets provide unique geographic coverage for a given species. This differs fundamentally from traditional biodiversity complementarity analysis, which assesses compositional turnover (species replacement) between sites or regions</w:t>
      </w:r>
      <w:r w:rsidR="004C79B0" w:rsidRPr="00B14DD0">
        <w:rPr>
          <w:rFonts w:ascii="Times New Roman" w:hAnsi="Times New Roman" w:cs="Times New Roman"/>
          <w:sz w:val="20"/>
          <w:szCs w:val="20"/>
        </w:rPr>
        <w:t xml:space="preserve"> </w:t>
      </w:r>
      <w:r w:rsidR="004C79B0" w:rsidRPr="00B14DD0">
        <w:rPr>
          <w:rFonts w:ascii="Times New Roman" w:hAnsi="Times New Roman" w:cs="Times New Roman"/>
          <w:sz w:val="20"/>
          <w:szCs w:val="20"/>
        </w:rPr>
        <w:fldChar w:fldCharType="begin"/>
      </w:r>
      <w:r w:rsidR="004C79B0" w:rsidRPr="00B14DD0">
        <w:rPr>
          <w:rFonts w:ascii="Times New Roman" w:hAnsi="Times New Roman" w:cs="Times New Roman"/>
          <w:sz w:val="20"/>
          <w:szCs w:val="20"/>
        </w:rPr>
        <w:instrText xml:space="preserve"> ADDIN ZOTERO_ITEM CSL_CITATION {"citationID":"x8MQ1Ouc","properties":{"formattedCitation":"(Baselga and Orme 2012; Baselga 2010)","plainCitation":"(Baselga and Orme 2012; Baselga 2010)","noteIndex":0},"citationItems":[{"id":2147,"uris":["http://zotero.org/users/3905390/items/7GXPC36V"],"itemData":{"id":2147,"type":"article-journal","abstract":"1. Beta diversity, that is, the variation in species composition among sites, can be the result of species replacement between sites (turnover) and species loss from site to site (nestedness). 2. We present betapart, an R package for computing total dissimilarity as Sørensen or Jaccard indices, as well as their respective turnover and nestedness components. 3. betapart allows the assessment of spatial patterns of beta diversity using multiple-site dissimilarity measures accounting for compositional heterogeneity across several sites or pairwise measures providing distance matrices accounting for the multivariate structure of dissimilarity. 4. betapart also allows computing patterns of temporal difference in assemblage composition, and its turnover and nestedness components. 5. Several example analyses are shown, using the data included in the package, to illustrate the relevance of separating the turnover and nestedness components of beta diversity to infer different mechanisms behind biodiversity patterns.","container-title":"Methods in Ecology and Evolution","DOI":"10.1111/j.2041-210X.2012.00224.x","ISSN":"2041-210X","issue":"5","language":"en","license":"© 2012 The Authors. Methods in Ecology and Evolution © 2012 British Ecological Society","note":"_eprint: https://besjournals.onlinelibrary.wiley.com/doi/pdf/10.1111/j.2041-210X.2012.00224.x","page":"808-812","source":"Wiley Online Library","title":"betapart: an R package for the study of beta diversity","title-short":"betapart","URL":"https://onlinelibrary.wiley.com/doi/abs/10.1111/j.2041-210X.2012.00224.x","volume":"3","author":[{"family":"Baselga","given":"Andrés"},{"family":"Orme","given":"C. David L."}],"accessed":{"date-parts":[["2026",1,14]]},"issued":{"date-parts":[["2012"]]}}},{"id":2001,"uris":["http://zotero.org/users/3905390/items/5YSJPNT7"],"itemData":{"id":2001,"type":"article-journal","abstract":"Aim Beta diversity (variation of the species composition of assemblages) may reflect two different phenomena, spatial species turnover and nestedness of assemblages, which result from two antithetic processes, namely species replacement and species loss, respectively. The aim of this paper is to provide a unified framework for the assessment of beta diversity, disentangling the contribution of spatial turnover and nestedness to beta-diversity patterns. Innovation I derive an additive partitioning of beta diversity that provides the two separate components of spatial turnover and nestedness underlying the total amount of beta diversity. I propose two families of measures of beta diversity for pairwise and multiple-site situations. Each family comprises one measure accounting for all aspects of beta diversity, which is additively decomposed into two measures accounting for the pure spatial turnover and nestedness components, respectively. Finally, I provide a case study using European longhorn beetles to exemplify the relevance of disentangling spatial turnover and nestedness patterns. Main conclusion Assigning the different beta-diversity patterns to their respective biological phenomena is essential for analysing the causality of the processes underlying biodiversity. Thus, the differentiation of the spatial turnover and nestedness components of beta diversity is crucial for our understanding of central biogeographic, ecological and conservation issues.","container-title":"Global Ecology and Biogeography","DOI":"10.1111/j.1466-8238.2009.00490.x","ISSN":"1466-8238","issue":"1","language":"en","license":"© 2009 Blackwell Publishing Ltd","note":"_eprint: https://onlinelibrary.wiley.com/doi/pdf/10.1111/j.1466-8238.2009.00490.x","page":"134-143","source":"Wiley Online Library","title":"Partitioning the turnover and nestedness components of beta diversity","URL":"https://onlinelibrary.wiley.com/doi/abs/10.1111/j.1466-8238.2009.00490.x","volume":"19","author":[{"family":"Baselga","given":"Andrés"}],"accessed":{"date-parts":[["2025",10,9]]},"issued":{"date-parts":[["2010"]]}}}],"schema":"https://github.com/citation-style-language/schema/raw/master/csl-citation.json"} </w:instrText>
      </w:r>
      <w:r w:rsidR="004C79B0" w:rsidRPr="00B14DD0">
        <w:rPr>
          <w:rFonts w:ascii="Times New Roman" w:hAnsi="Times New Roman" w:cs="Times New Roman"/>
          <w:sz w:val="20"/>
          <w:szCs w:val="20"/>
        </w:rPr>
        <w:fldChar w:fldCharType="separate"/>
      </w:r>
      <w:r w:rsidR="004C79B0" w:rsidRPr="00B14DD0">
        <w:rPr>
          <w:rFonts w:ascii="Times New Roman" w:hAnsi="Times New Roman" w:cs="Times New Roman"/>
          <w:sz w:val="20"/>
          <w:szCs w:val="20"/>
        </w:rPr>
        <w:t>(Baselga and Orme 2012; Baselga 2010)</w:t>
      </w:r>
      <w:r w:rsidR="004C79B0" w:rsidRPr="00B14DD0">
        <w:rPr>
          <w:rFonts w:ascii="Times New Roman" w:hAnsi="Times New Roman" w:cs="Times New Roman"/>
          <w:sz w:val="20"/>
          <w:szCs w:val="20"/>
        </w:rPr>
        <w:fldChar w:fldCharType="end"/>
      </w:r>
      <w:r w:rsidR="004C79B0" w:rsidRPr="00B14DD0">
        <w:rPr>
          <w:rFonts w:ascii="Times New Roman" w:hAnsi="Times New Roman" w:cs="Times New Roman"/>
          <w:sz w:val="20"/>
          <w:szCs w:val="20"/>
        </w:rPr>
        <w:t xml:space="preserve">. </w:t>
      </w:r>
      <w:r w:rsidRPr="00B14DD0">
        <w:rPr>
          <w:rFonts w:ascii="Times New Roman" w:hAnsi="Times New Roman" w:cs="Times New Roman"/>
          <w:sz w:val="20"/>
          <w:szCs w:val="20"/>
        </w:rPr>
        <w:t xml:space="preserve">In biodiversity applications, Sørensen dissimilarity is typically partitioned into spatial turnover and </w:t>
      </w:r>
      <w:proofErr w:type="spellStart"/>
      <w:r w:rsidRPr="00B14DD0">
        <w:rPr>
          <w:rFonts w:ascii="Times New Roman" w:hAnsi="Times New Roman" w:cs="Times New Roman"/>
          <w:sz w:val="20"/>
          <w:szCs w:val="20"/>
        </w:rPr>
        <w:t>nestedness</w:t>
      </w:r>
      <w:proofErr w:type="spellEnd"/>
      <w:r w:rsidRPr="00B14DD0">
        <w:rPr>
          <w:rFonts w:ascii="Times New Roman" w:hAnsi="Times New Roman" w:cs="Times New Roman"/>
          <w:sz w:val="20"/>
          <w:szCs w:val="20"/>
        </w:rPr>
        <w:t xml:space="preserve"> components to understand ecological processes driving compositional differences. Such partitioning is not applicable here because we </w:t>
      </w:r>
      <w:proofErr w:type="spellStart"/>
      <w:r w:rsidRPr="00B14DD0">
        <w:rPr>
          <w:rFonts w:ascii="Times New Roman" w:hAnsi="Times New Roman" w:cs="Times New Roman"/>
          <w:sz w:val="20"/>
          <w:szCs w:val="20"/>
        </w:rPr>
        <w:t>analyze</w:t>
      </w:r>
      <w:proofErr w:type="spellEnd"/>
      <w:r w:rsidRPr="00B14DD0">
        <w:rPr>
          <w:rFonts w:ascii="Times New Roman" w:hAnsi="Times New Roman" w:cs="Times New Roman"/>
          <w:sz w:val="20"/>
          <w:szCs w:val="20"/>
        </w:rPr>
        <w:t xml:space="preserve"> spatial coverage patterns for single species rather than multi-species assemblages.</w:t>
      </w:r>
    </w:p>
    <w:p w14:paraId="063852D6" w14:textId="40325E9F" w:rsidR="00597DC4"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High Sørensen dissimilarity (low SI values) in </w:t>
      </w:r>
      <w:r w:rsidR="004E314A" w:rsidRPr="00B14DD0">
        <w:rPr>
          <w:rFonts w:ascii="Times New Roman" w:hAnsi="Times New Roman" w:cs="Times New Roman"/>
          <w:sz w:val="20"/>
          <w:szCs w:val="20"/>
        </w:rPr>
        <w:t>this</w:t>
      </w:r>
      <w:r w:rsidRPr="00B14DD0">
        <w:rPr>
          <w:rFonts w:ascii="Times New Roman" w:hAnsi="Times New Roman" w:cs="Times New Roman"/>
          <w:sz w:val="20"/>
          <w:szCs w:val="20"/>
        </w:rPr>
        <w:t xml:space="preserve"> context indicates datasets detected the species in largely non-overlapping locations. This pattern could arise from: (1) genuine complementarity in spatial sampling effort, where observers using different platforms access different areas; (2) temporal sampling differences, if species </w:t>
      </w:r>
      <w:r w:rsidRPr="00B14DD0">
        <w:rPr>
          <w:rFonts w:ascii="Times New Roman" w:hAnsi="Times New Roman" w:cs="Times New Roman"/>
          <w:sz w:val="20"/>
          <w:szCs w:val="20"/>
        </w:rPr>
        <w:lastRenderedPageBreak/>
        <w:t>distributions shifted between observation periods; or (3) differential detection probability or reporting behaviour between platforms, even when observing the same areas.</w:t>
      </w:r>
      <w:r w:rsidR="00597DC4" w:rsidRPr="00B14DD0">
        <w:rPr>
          <w:rFonts w:ascii="Times New Roman" w:hAnsi="Times New Roman" w:cs="Times New Roman"/>
          <w:sz w:val="20"/>
          <w:szCs w:val="20"/>
        </w:rPr>
        <w:t xml:space="preserve"> </w:t>
      </w:r>
    </w:p>
    <w:p w14:paraId="2367AF32" w14:textId="0DF2E253" w:rsidR="00E03793" w:rsidRPr="00B14DD0" w:rsidRDefault="004E314A"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These</w:t>
      </w:r>
      <w:r w:rsidR="00597DC4" w:rsidRPr="00B14DD0">
        <w:rPr>
          <w:rFonts w:ascii="Times New Roman" w:hAnsi="Times New Roman" w:cs="Times New Roman"/>
          <w:sz w:val="20"/>
          <w:szCs w:val="20"/>
        </w:rPr>
        <w:t xml:space="preserve"> complementarity metrics </w:t>
      </w:r>
      <w:r w:rsidRPr="00B14DD0">
        <w:rPr>
          <w:rFonts w:ascii="Times New Roman" w:hAnsi="Times New Roman" w:cs="Times New Roman"/>
          <w:sz w:val="20"/>
          <w:szCs w:val="20"/>
        </w:rPr>
        <w:t xml:space="preserve">are presented </w:t>
      </w:r>
      <w:r w:rsidR="00597DC4" w:rsidRPr="00B14DD0">
        <w:rPr>
          <w:rFonts w:ascii="Times New Roman" w:hAnsi="Times New Roman" w:cs="Times New Roman"/>
          <w:sz w:val="20"/>
          <w:szCs w:val="20"/>
        </w:rPr>
        <w:t>as</w:t>
      </w:r>
      <w:r w:rsidRPr="00B14DD0">
        <w:rPr>
          <w:rFonts w:ascii="Times New Roman" w:hAnsi="Times New Roman" w:cs="Times New Roman"/>
          <w:sz w:val="20"/>
          <w:szCs w:val="20"/>
        </w:rPr>
        <w:t xml:space="preserve"> an</w:t>
      </w:r>
      <w:r w:rsidR="00597DC4" w:rsidRPr="00B14DD0">
        <w:rPr>
          <w:rFonts w:ascii="Times New Roman" w:hAnsi="Times New Roman" w:cs="Times New Roman"/>
          <w:sz w:val="20"/>
          <w:szCs w:val="20"/>
        </w:rPr>
        <w:t xml:space="preserve"> exploratory analysis of spatial data coverage patterns, not as definitive evidence of complementary biodiversity information value.</w:t>
      </w:r>
    </w:p>
    <w:p w14:paraId="5BB8D473" w14:textId="023B2681" w:rsidR="00E03793"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 xml:space="preserve">S1.5 </w:t>
      </w:r>
      <w:r w:rsidR="00E03793" w:rsidRPr="00B14DD0">
        <w:rPr>
          <w:rFonts w:ascii="Times New Roman" w:hAnsi="Times New Roman" w:cs="Times New Roman"/>
          <w:b/>
          <w:bCs/>
          <w:sz w:val="20"/>
          <w:szCs w:val="20"/>
        </w:rPr>
        <w:t>Limitations and Bias Considerations</w:t>
      </w:r>
    </w:p>
    <w:p w14:paraId="5CBB1DF6" w14:textId="67D321D0" w:rsidR="00E03793" w:rsidRPr="00B14DD0" w:rsidRDefault="00E03793"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Presence-only occurrence data from heterogeneous sources present several analytical challenges. Different data sources typically exhibit distinct sampling biases related to observer accessibility, effort distribution, and detection probability </w:t>
      </w:r>
      <w:r w:rsidR="002C0BD9" w:rsidRPr="00B14DD0">
        <w:rPr>
          <w:rFonts w:ascii="Times New Roman" w:hAnsi="Times New Roman" w:cs="Times New Roman"/>
          <w:sz w:val="20"/>
          <w:szCs w:val="20"/>
        </w:rPr>
        <w:fldChar w:fldCharType="begin"/>
      </w:r>
      <w:r w:rsidR="002C0BD9" w:rsidRPr="00B14DD0">
        <w:rPr>
          <w:rFonts w:ascii="Times New Roman" w:hAnsi="Times New Roman" w:cs="Times New Roman"/>
          <w:sz w:val="20"/>
          <w:szCs w:val="20"/>
        </w:rPr>
        <w:instrText xml:space="preserve"> ADDIN ZOTERO_ITEM CSL_CITATION {"citationID":"WI4vXwNB","properties":{"formattedCitation":"(Fithian et al. 2015; Phillips et al. 2009)","plainCitation":"(Fithian et al. 2015; Phillips et al. 2009)","noteIndex":0},"citationItems":[{"id":2144,"uris":["http://zotero.org/users/3905390/items/U7YCQ2HQ"],"itemData":{"id":2144,"type":"article-journal","abstract":"Presence-only records may provide data on the distributions of rare species, but commonly suffer from large, unknown biases due to their typically haphazard collection schemes. Presence–absence or count data collected in systematic, planned surveys are more reliable but typically less abundant. We proposed a probabilistic model to allow for joint analysis of presence-only and survey data to exploit their complementary strengths. Our method pools presence-only and presence–absence data for many species and maximizes a joint likelihood, simultaneously estimating and adjusting for the sampling bias affecting the presence-only data. By assuming that the sampling bias is the same for all species, we can borrow strength across species to efficiently estimate the bias and improve our inference from presence-only data. We evaluate our model's performance on data for 36 eucalypt species in south-eastern Australia. We find that presence-only records exhibit a strong sampling bias towards the coast and towards Sydney, the largest city. Our data-pooling technique substantially improves the out-of-sample predictive performance of our model when the amount of available presence–absence data for a given species is scarce If we have only presence-only data and no presence–absence data for a given species, but both types of data for several other species that suffer from the same spatial sampling bias, then our method can obtain an unbiased estimate of the first species' geographic range.","container-title":"Methods in Ecology and Evolution","DOI":"10.1111/2041-210X.12242","ISSN":"2041-210X","issue":"4","language":"en","license":"© 2014 The Authors. Methods in Ecology and Evolution © 2014 British Ecological Society","note":"_eprint: https://besjournals.onlinelibrary.wiley.com/doi/pdf/10.1111/2041-210X.12242","page":"424-438","source":"Wiley Online Library","title":"Bias correction in species distribution models: pooling survey and collection data for multiple species","title-short":"Bias correction in species distribution models","URL":"https://onlinelibrary.wiley.com/doi/abs/10.1111/2041-210X.12242","volume":"6","author":[{"family":"Fithian","given":"William"},{"family":"Elith","given":"Jane"},{"family":"Hastie","given":"Trevor"},{"family":"Keith","given":"David A."}],"accessed":{"date-parts":[["2026",1,14]]},"issued":{"date-parts":[["2015"]]}}},{"id":2141,"uris":["http://zotero.org/users/3905390/items/BVE2SPCR"],"itemData":{"id":2141,"type":"article-journal","abstract":"Most methods for modeling species distributions from occurrence records require additional data representing the range of environmental conditions in the modeled region. These data, called background or pseudo-absence data, are usually drawn at random from the entire region, whereas occurrence collection is often spatially biased toward easily accessed areas. Since the spatial bias generally results in environmental bias, the difference between occurrence collection and background sampling may lead to inaccurate models. To correct the estimation, we propose choosing background data with the same bias as occurrence data. We investigate theoretical and practical implications of this approach. Accurate information about spatial bias is usually lacking, so explicit biased sampling of background sites may not be possible. However, it is likely that an entire target group of species observed by similar methods will share similar bias. We therefore explore the use of all occurrences within a target group as biased background data. We compare model performance using target-group background and randomly sampled background on a comprehensive collection of data for 226 species from diverse regions of the world. We find that target-group background improves average performance for all the modeling methods we consider, with the choice of background data having as large an effect on predictive performance as the choice of modeling method. The performance improvement due to target-group background is greatest when there is strong bias in the target-group presence records. Our approach applies to regression-based modeling methods that have been adapted for use with occurrence data, such as generalized linear or additive models and boosted regression trees, and to Maxent, a probability density estimation method. We argue that increased awareness of the implications of spatial bias in surveys, and possible modeling remedies, will substantially improve predictions of species distributions.","container-title":"Ecological Applications","DOI":"10.1890/07-2153.1","ISSN":"1939-5582","issue":"1","language":"en","license":"© 2009 by the Ecological Society of America","note":"_eprint: https://esajournals.onlinelibrary.wiley.com/doi/pdf/10.1890/07-2153.1","page":"181-197","source":"Wiley Online Library","title":"Sample selection bias and presence-only distribution models: implications for background and pseudo-absence data","title-short":"Sample selection bias and presence-only distribution models","URL":"https://onlinelibrary.wiley.com/doi/abs/10.1890/07-2153.1","volume":"19","author":[{"family":"Phillips","given":"Steven J."},{"family":"Dudík","given":"Miroslav"},{"family":"Elith","given":"Jane"},{"family":"Graham","given":"Catherine H."},{"family":"Lehmann","given":"Anthony"},{"family":"Leathwick","given":"John"},{"family":"Ferrier","given":"Simon"}],"accessed":{"date-parts":[["2026",1,14]]},"issued":{"date-parts":[["2009"]]}}}],"schema":"https://github.com/citation-style-language/schema/raw/master/csl-citation.json"} </w:instrText>
      </w:r>
      <w:r w:rsidR="002C0BD9" w:rsidRPr="00B14DD0">
        <w:rPr>
          <w:rFonts w:ascii="Times New Roman" w:hAnsi="Times New Roman" w:cs="Times New Roman"/>
          <w:sz w:val="20"/>
          <w:szCs w:val="20"/>
        </w:rPr>
        <w:fldChar w:fldCharType="separate"/>
      </w:r>
      <w:r w:rsidR="002C0BD9" w:rsidRPr="00B14DD0">
        <w:rPr>
          <w:rFonts w:ascii="Times New Roman" w:hAnsi="Times New Roman" w:cs="Times New Roman"/>
          <w:sz w:val="20"/>
          <w:szCs w:val="20"/>
        </w:rPr>
        <w:t>(Fithian et al. 2015; Phillips et al. 2009)</w:t>
      </w:r>
      <w:r w:rsidR="002C0BD9" w:rsidRPr="00B14DD0">
        <w:rPr>
          <w:rFonts w:ascii="Times New Roman" w:hAnsi="Times New Roman" w:cs="Times New Roman"/>
          <w:sz w:val="20"/>
          <w:szCs w:val="20"/>
        </w:rPr>
        <w:fldChar w:fldCharType="end"/>
      </w:r>
      <w:r w:rsidR="000D3FC0" w:rsidRPr="00B14DD0">
        <w:rPr>
          <w:rFonts w:ascii="Times New Roman" w:hAnsi="Times New Roman" w:cs="Times New Roman"/>
          <w:sz w:val="20"/>
          <w:szCs w:val="20"/>
        </w:rPr>
        <w:t>.</w:t>
      </w:r>
      <w:r w:rsidRPr="00B14DD0">
        <w:rPr>
          <w:rFonts w:ascii="Times New Roman" w:hAnsi="Times New Roman" w:cs="Times New Roman"/>
          <w:sz w:val="20"/>
          <w:szCs w:val="20"/>
        </w:rPr>
        <w:t xml:space="preserve"> For Victorian marine mammals specifically, both Facebook and GBIF records </w:t>
      </w:r>
      <w:r w:rsidR="00597DC4" w:rsidRPr="00B14DD0">
        <w:rPr>
          <w:rFonts w:ascii="Times New Roman" w:hAnsi="Times New Roman" w:cs="Times New Roman"/>
          <w:sz w:val="20"/>
          <w:szCs w:val="20"/>
        </w:rPr>
        <w:t xml:space="preserve">likely </w:t>
      </w:r>
      <w:r w:rsidRPr="00B14DD0">
        <w:rPr>
          <w:rFonts w:ascii="Times New Roman" w:hAnsi="Times New Roman" w:cs="Times New Roman"/>
          <w:sz w:val="20"/>
          <w:szCs w:val="20"/>
        </w:rPr>
        <w:t>derive primarily from land-based coastal observations and commercial wildlife tourism vessels, suggesting potentially similar—though not identical—spatial sampling biases. Both datasets likely underrepresent offshore waters, remote coastlines, and areas with low human activity.</w:t>
      </w:r>
    </w:p>
    <w:p w14:paraId="757B4D96" w14:textId="376F1F89" w:rsidR="00E03793" w:rsidRPr="00B14DD0" w:rsidRDefault="00E03793"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Key limitations include:</w:t>
      </w:r>
    </w:p>
    <w:p w14:paraId="165C5773" w14:textId="1CA7C8B3" w:rsidR="00E03793" w:rsidRPr="00B14DD0" w:rsidRDefault="00E03793" w:rsidP="00B14DD0">
      <w:pPr>
        <w:pStyle w:val="ListParagraph"/>
        <w:numPr>
          <w:ilvl w:val="0"/>
          <w:numId w:val="4"/>
        </w:num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Absence data unavailability:</w:t>
      </w:r>
      <w:r w:rsidRPr="00B14DD0">
        <w:rPr>
          <w:rFonts w:ascii="Times New Roman" w:hAnsi="Times New Roman" w:cs="Times New Roman"/>
          <w:sz w:val="20"/>
          <w:szCs w:val="20"/>
        </w:rPr>
        <w:t xml:space="preserve"> Presence-only data cannot distinguish true absence from lack of sampling effort. High dissimilarity between datasets may reflect differential effort rather than complementary information about species distributions.</w:t>
      </w:r>
    </w:p>
    <w:p w14:paraId="0BF79C99" w14:textId="279E00CC" w:rsidR="00E03793" w:rsidRPr="00B14DD0" w:rsidRDefault="00E03793" w:rsidP="00B14DD0">
      <w:pPr>
        <w:pStyle w:val="ListParagraph"/>
        <w:numPr>
          <w:ilvl w:val="0"/>
          <w:numId w:val="4"/>
        </w:num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Detection probability differences:</w:t>
      </w:r>
      <w:r w:rsidRPr="00B14DD0">
        <w:rPr>
          <w:rFonts w:ascii="Times New Roman" w:hAnsi="Times New Roman" w:cs="Times New Roman"/>
          <w:sz w:val="20"/>
          <w:szCs w:val="20"/>
        </w:rPr>
        <w:t xml:space="preserve"> Even when sampling the same locations, different observer types (casual social media users vs. scientific observers) may have different detection probabilities, particularly for cryptic or offshore species.</w:t>
      </w:r>
    </w:p>
    <w:p w14:paraId="353F4591" w14:textId="5C6B51DE" w:rsidR="00E03793" w:rsidRPr="00B14DD0" w:rsidRDefault="00E03793" w:rsidP="00B14DD0">
      <w:pPr>
        <w:pStyle w:val="ListParagraph"/>
        <w:numPr>
          <w:ilvl w:val="0"/>
          <w:numId w:val="4"/>
        </w:numPr>
        <w:spacing w:line="480" w:lineRule="auto"/>
        <w:rPr>
          <w:rFonts w:ascii="Times New Roman" w:hAnsi="Times New Roman" w:cs="Times New Roman"/>
          <w:sz w:val="20"/>
          <w:szCs w:val="20"/>
        </w:rPr>
      </w:pPr>
      <w:r w:rsidRPr="00B14DD0">
        <w:rPr>
          <w:rFonts w:ascii="Times New Roman" w:hAnsi="Times New Roman" w:cs="Times New Roman"/>
          <w:b/>
          <w:bCs/>
          <w:sz w:val="20"/>
          <w:szCs w:val="20"/>
        </w:rPr>
        <w:t>Coordinate uncertainty</w:t>
      </w:r>
      <w:r w:rsidRPr="00B14DD0">
        <w:rPr>
          <w:rFonts w:ascii="Times New Roman" w:hAnsi="Times New Roman" w:cs="Times New Roman"/>
          <w:b/>
          <w:bCs/>
          <w:i/>
          <w:iCs/>
          <w:sz w:val="20"/>
          <w:szCs w:val="20"/>
        </w:rPr>
        <w:t>:</w:t>
      </w:r>
      <w:r w:rsidRPr="00B14DD0">
        <w:rPr>
          <w:rFonts w:ascii="Times New Roman" w:hAnsi="Times New Roman" w:cs="Times New Roman"/>
          <w:sz w:val="20"/>
          <w:szCs w:val="20"/>
        </w:rPr>
        <w:t xml:space="preserve"> Despite </w:t>
      </w:r>
      <w:r w:rsidR="00355662" w:rsidRPr="00B14DD0">
        <w:rPr>
          <w:rFonts w:ascii="Times New Roman" w:hAnsi="Times New Roman" w:cs="Times New Roman"/>
          <w:sz w:val="20"/>
          <w:szCs w:val="20"/>
        </w:rPr>
        <w:t xml:space="preserve">the </w:t>
      </w:r>
      <w:r w:rsidRPr="00B14DD0">
        <w:rPr>
          <w:rFonts w:ascii="Times New Roman" w:hAnsi="Times New Roman" w:cs="Times New Roman"/>
          <w:sz w:val="20"/>
          <w:szCs w:val="20"/>
        </w:rPr>
        <w:t>10 km uncertainty threshold, remaining positional error could create apparent spatial separation between datasets observing the same events.</w:t>
      </w:r>
    </w:p>
    <w:p w14:paraId="575C970D" w14:textId="740644C2" w:rsidR="00E03793" w:rsidRPr="00B14DD0" w:rsidRDefault="00E03793" w:rsidP="00B14DD0">
      <w:pPr>
        <w:spacing w:line="480" w:lineRule="auto"/>
        <w:rPr>
          <w:rFonts w:ascii="Times New Roman" w:hAnsi="Times New Roman" w:cs="Times New Roman"/>
          <w:sz w:val="20"/>
          <w:szCs w:val="20"/>
        </w:rPr>
      </w:pPr>
    </w:p>
    <w:p w14:paraId="26D1ABF8" w14:textId="76FB30C9" w:rsidR="007C4AC7"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br w:type="page"/>
      </w:r>
      <w:r w:rsidRPr="00B14DD0">
        <w:rPr>
          <w:rFonts w:ascii="Times New Roman" w:hAnsi="Times New Roman" w:cs="Times New Roman"/>
          <w:b/>
          <w:bCs/>
          <w:sz w:val="20"/>
          <w:szCs w:val="20"/>
        </w:rPr>
        <w:lastRenderedPageBreak/>
        <w:t xml:space="preserve">SUPPLEMENTARY MATERIALS – EOO </w:t>
      </w:r>
    </w:p>
    <w:p w14:paraId="7147FEA7" w14:textId="61982C31" w:rsidR="00112336"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S</w:t>
      </w:r>
      <w:r w:rsidR="004213D7" w:rsidRPr="00B14DD0">
        <w:rPr>
          <w:rFonts w:ascii="Times New Roman" w:hAnsi="Times New Roman" w:cs="Times New Roman"/>
          <w:b/>
          <w:bCs/>
          <w:sz w:val="20"/>
          <w:szCs w:val="20"/>
        </w:rPr>
        <w:t>2</w:t>
      </w:r>
      <w:r w:rsidRPr="00B14DD0">
        <w:rPr>
          <w:rFonts w:ascii="Times New Roman" w:hAnsi="Times New Roman" w:cs="Times New Roman"/>
          <w:b/>
          <w:bCs/>
          <w:sz w:val="20"/>
          <w:szCs w:val="20"/>
        </w:rPr>
        <w:t>. Spatial Data Preparation</w:t>
      </w:r>
    </w:p>
    <w:p w14:paraId="72012F59" w14:textId="3F55ABA1" w:rsidR="00112336"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S</w:t>
      </w:r>
      <w:r w:rsidR="004213D7" w:rsidRPr="00B14DD0">
        <w:rPr>
          <w:rFonts w:ascii="Times New Roman" w:hAnsi="Times New Roman" w:cs="Times New Roman"/>
          <w:b/>
          <w:bCs/>
          <w:sz w:val="20"/>
          <w:szCs w:val="20"/>
        </w:rPr>
        <w:t>2</w:t>
      </w:r>
      <w:r w:rsidRPr="00B14DD0">
        <w:rPr>
          <w:rFonts w:ascii="Times New Roman" w:hAnsi="Times New Roman" w:cs="Times New Roman"/>
          <w:b/>
          <w:bCs/>
          <w:sz w:val="20"/>
          <w:szCs w:val="20"/>
        </w:rPr>
        <w:t>.1 Handling Terrestrial Occurrences</w:t>
      </w:r>
    </w:p>
    <w:p w14:paraId="32824BB7" w14:textId="4D141F50" w:rsidR="00112336" w:rsidRPr="00B14DD0" w:rsidRDefault="00112336"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Coordinates in both GBIF and Facebook datasets occasionally</w:t>
      </w:r>
      <w:r w:rsidR="005B032D" w:rsidRPr="00B14DD0">
        <w:rPr>
          <w:rFonts w:ascii="Times New Roman" w:hAnsi="Times New Roman" w:cs="Times New Roman"/>
          <w:sz w:val="20"/>
          <w:szCs w:val="20"/>
        </w:rPr>
        <w:t xml:space="preserve"> incorrectly</w:t>
      </w:r>
      <w:r w:rsidRPr="00B14DD0">
        <w:rPr>
          <w:rFonts w:ascii="Times New Roman" w:hAnsi="Times New Roman" w:cs="Times New Roman"/>
          <w:sz w:val="20"/>
          <w:szCs w:val="20"/>
        </w:rPr>
        <w:t xml:space="preserve"> reflected terrestrial locations (Table S</w:t>
      </w:r>
      <w:r w:rsidR="003D1D4B" w:rsidRPr="00B14DD0">
        <w:rPr>
          <w:rFonts w:ascii="Times New Roman" w:hAnsi="Times New Roman" w:cs="Times New Roman"/>
          <w:sz w:val="20"/>
          <w:szCs w:val="20"/>
        </w:rPr>
        <w:t>1</w:t>
      </w:r>
      <w:r w:rsidRPr="00B14DD0">
        <w:rPr>
          <w:rFonts w:ascii="Times New Roman" w:hAnsi="Times New Roman" w:cs="Times New Roman"/>
          <w:sz w:val="20"/>
          <w:szCs w:val="20"/>
        </w:rPr>
        <w:t>). After excluding stranded and dead animals, terrestrial records likely resulted from: (1) observers recording their own location rather than the animal's position</w:t>
      </w:r>
      <w:r w:rsidR="00D248B8" w:rsidRPr="00B14DD0">
        <w:rPr>
          <w:rFonts w:ascii="Times New Roman" w:hAnsi="Times New Roman" w:cs="Times New Roman"/>
          <w:sz w:val="20"/>
          <w:szCs w:val="20"/>
        </w:rPr>
        <w:t xml:space="preserve"> </w:t>
      </w:r>
      <w:r w:rsidR="00412E3D" w:rsidRPr="00B14DD0">
        <w:rPr>
          <w:rFonts w:ascii="Times New Roman" w:hAnsi="Times New Roman" w:cs="Times New Roman"/>
          <w:sz w:val="20"/>
          <w:szCs w:val="20"/>
        </w:rPr>
        <w:fldChar w:fldCharType="begin"/>
      </w:r>
      <w:r w:rsidR="00412E3D" w:rsidRPr="00B14DD0">
        <w:rPr>
          <w:rFonts w:ascii="Times New Roman" w:hAnsi="Times New Roman" w:cs="Times New Roman"/>
          <w:sz w:val="20"/>
          <w:szCs w:val="20"/>
        </w:rPr>
        <w:instrText xml:space="preserve"> ADDIN ZOTERO_ITEM CSL_CITATION {"citationID":"9Kw59Dld","properties":{"formattedCitation":"(Chapman and Wieczorek 2020)","plainCitation":"(Chapman and Wieczorek 2020)","noteIndex":0},"citationItems":[{"id":2135,"uris":["http://zotero.org/users/3905390/items/38BBNPDI"],"itemData":{"id":2135,"type":"article-journal","abstract":"This publication provides guidelines to the best practice for georeferencing. Though it is targeted specifically at biological occurrence data, the concepts and methods presented here may be just as useful in other disciplines.","DOI":"10.15468/DOC-GG7H-S853","license":"Creative Commons Attribution Share Alike 4.0 International","note":"publisher: GBIF Secretariat","source":"DOI.org (Datacite)","title":"Georeferencing Best Practices","URL":"https://docs.gbif.org/georeferencing-best-practices/1.0/en/","author":[{"family":"Chapman","given":"Arthur"},{"family":"Wieczorek","given":"John"}],"accessed":{"date-parts":[["2026",1,14]]},"issued":{"date-parts":[["2020"]]}}}],"schema":"https://github.com/citation-style-language/schema/raw/master/csl-citation.json"} </w:instrText>
      </w:r>
      <w:r w:rsidR="00412E3D" w:rsidRPr="00B14DD0">
        <w:rPr>
          <w:rFonts w:ascii="Times New Roman" w:hAnsi="Times New Roman" w:cs="Times New Roman"/>
          <w:sz w:val="20"/>
          <w:szCs w:val="20"/>
        </w:rPr>
        <w:fldChar w:fldCharType="separate"/>
      </w:r>
      <w:r w:rsidR="00412E3D" w:rsidRPr="00B14DD0">
        <w:rPr>
          <w:rFonts w:ascii="Times New Roman" w:hAnsi="Times New Roman" w:cs="Times New Roman"/>
          <w:sz w:val="20"/>
          <w:szCs w:val="20"/>
        </w:rPr>
        <w:t>(Chapman and Wieczorek 2020)</w:t>
      </w:r>
      <w:r w:rsidR="00412E3D" w:rsidRPr="00B14DD0">
        <w:rPr>
          <w:rFonts w:ascii="Times New Roman" w:hAnsi="Times New Roman" w:cs="Times New Roman"/>
          <w:sz w:val="20"/>
          <w:szCs w:val="20"/>
        </w:rPr>
        <w:fldChar w:fldCharType="end"/>
      </w:r>
      <w:r w:rsidR="00412E3D" w:rsidRPr="00B14DD0">
        <w:rPr>
          <w:rFonts w:ascii="Times New Roman" w:hAnsi="Times New Roman" w:cs="Times New Roman"/>
          <w:sz w:val="20"/>
          <w:szCs w:val="20"/>
        </w:rPr>
        <w:t>,</w:t>
      </w:r>
      <w:r w:rsidRPr="00B14DD0">
        <w:rPr>
          <w:rFonts w:ascii="Times New Roman" w:hAnsi="Times New Roman" w:cs="Times New Roman"/>
          <w:sz w:val="20"/>
          <w:szCs w:val="20"/>
        </w:rPr>
        <w:t xml:space="preserve"> or (2) low G</w:t>
      </w:r>
      <w:r w:rsidR="00D248B8" w:rsidRPr="00B14DD0">
        <w:rPr>
          <w:rFonts w:ascii="Times New Roman" w:hAnsi="Times New Roman" w:cs="Times New Roman"/>
          <w:sz w:val="20"/>
          <w:szCs w:val="20"/>
        </w:rPr>
        <w:t>NS</w:t>
      </w:r>
      <w:r w:rsidRPr="00B14DD0">
        <w:rPr>
          <w:rFonts w:ascii="Times New Roman" w:hAnsi="Times New Roman" w:cs="Times New Roman"/>
          <w:sz w:val="20"/>
          <w:szCs w:val="20"/>
        </w:rPr>
        <w:t xml:space="preserve">S </w:t>
      </w:r>
      <w:r w:rsidR="00D248B8" w:rsidRPr="00B14DD0">
        <w:rPr>
          <w:rFonts w:ascii="Times New Roman" w:hAnsi="Times New Roman" w:cs="Times New Roman"/>
          <w:sz w:val="20"/>
          <w:szCs w:val="20"/>
        </w:rPr>
        <w:t xml:space="preserve">device </w:t>
      </w:r>
      <w:r w:rsidRPr="00B14DD0">
        <w:rPr>
          <w:rFonts w:ascii="Times New Roman" w:hAnsi="Times New Roman" w:cs="Times New Roman"/>
          <w:sz w:val="20"/>
          <w:szCs w:val="20"/>
        </w:rPr>
        <w:t>precision.</w:t>
      </w:r>
    </w:p>
    <w:p w14:paraId="4B9F71FD" w14:textId="0ECAE824" w:rsidR="00112336" w:rsidRPr="00B14DD0" w:rsidRDefault="00112336"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For cetaceans, which should not naturally occur on land, a 10 km inland threshold</w:t>
      </w:r>
      <w:r w:rsidR="003D1D4B" w:rsidRPr="00B14DD0">
        <w:rPr>
          <w:rFonts w:ascii="Times New Roman" w:hAnsi="Times New Roman" w:cs="Times New Roman"/>
          <w:sz w:val="20"/>
          <w:szCs w:val="20"/>
        </w:rPr>
        <w:t xml:space="preserve"> was applied</w:t>
      </w:r>
      <w:r w:rsidRPr="00B14DD0">
        <w:rPr>
          <w:rFonts w:ascii="Times New Roman" w:hAnsi="Times New Roman" w:cs="Times New Roman"/>
          <w:sz w:val="20"/>
          <w:szCs w:val="20"/>
        </w:rPr>
        <w:t>. Terrestrial records within this threshold were snapped to the nearest coastline using the "Snap Geometries to Layer" tool in QGIS 3.40.7.</w:t>
      </w:r>
    </w:p>
    <w:p w14:paraId="42F4099C" w14:textId="75D23BD3" w:rsidR="00112336" w:rsidRPr="00B14DD0" w:rsidRDefault="00112336"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Australian fur seals, which can travel up to 30 km inland, required special handling. Terrestrial occurrences were manually verified using activity descriptions, location metadata, and associated photographs. When exact locations could not be verified, records were snapped to the nearest coastline.</w:t>
      </w:r>
    </w:p>
    <w:p w14:paraId="38F72B99" w14:textId="1E91B4FE" w:rsidR="00A57BEC" w:rsidRPr="00B14DD0" w:rsidRDefault="00A57BEC" w:rsidP="00B14DD0">
      <w:pPr>
        <w:pStyle w:val="Caption"/>
        <w:keepNext/>
        <w:spacing w:line="480" w:lineRule="auto"/>
        <w:rPr>
          <w:rFonts w:ascii="Times New Roman" w:hAnsi="Times New Roman" w:cs="Times New Roman"/>
          <w:i w:val="0"/>
          <w:iCs w:val="0"/>
          <w:color w:val="auto"/>
          <w:sz w:val="20"/>
          <w:szCs w:val="20"/>
        </w:rPr>
      </w:pPr>
      <w:bookmarkStart w:id="0" w:name="_Hlk210826449"/>
      <w:r w:rsidRPr="00B14DD0">
        <w:rPr>
          <w:rFonts w:ascii="Times New Roman" w:hAnsi="Times New Roman" w:cs="Times New Roman"/>
          <w:i w:val="0"/>
          <w:iCs w:val="0"/>
          <w:color w:val="auto"/>
          <w:sz w:val="20"/>
          <w:szCs w:val="20"/>
        </w:rPr>
        <w:t xml:space="preserve">Table </w:t>
      </w:r>
      <w:r w:rsidR="003D1D4B" w:rsidRPr="00B14DD0">
        <w:rPr>
          <w:rFonts w:ascii="Times New Roman" w:hAnsi="Times New Roman" w:cs="Times New Roman"/>
          <w:i w:val="0"/>
          <w:iCs w:val="0"/>
          <w:color w:val="auto"/>
          <w:sz w:val="20"/>
          <w:szCs w:val="20"/>
        </w:rPr>
        <w:t>S</w:t>
      </w:r>
      <w:r w:rsidRPr="00B14DD0">
        <w:rPr>
          <w:rFonts w:ascii="Times New Roman" w:hAnsi="Times New Roman" w:cs="Times New Roman"/>
          <w:i w:val="0"/>
          <w:iCs w:val="0"/>
          <w:color w:val="auto"/>
          <w:sz w:val="20"/>
          <w:szCs w:val="20"/>
        </w:rPr>
        <w:fldChar w:fldCharType="begin"/>
      </w:r>
      <w:r w:rsidRPr="00B14DD0">
        <w:rPr>
          <w:rFonts w:ascii="Times New Roman" w:hAnsi="Times New Roman" w:cs="Times New Roman"/>
          <w:i w:val="0"/>
          <w:iCs w:val="0"/>
          <w:color w:val="auto"/>
          <w:sz w:val="20"/>
          <w:szCs w:val="20"/>
        </w:rPr>
        <w:instrText xml:space="preserve"> SEQ Table \* ARABIC </w:instrText>
      </w:r>
      <w:r w:rsidRPr="00B14DD0">
        <w:rPr>
          <w:rFonts w:ascii="Times New Roman" w:hAnsi="Times New Roman" w:cs="Times New Roman"/>
          <w:i w:val="0"/>
          <w:iCs w:val="0"/>
          <w:color w:val="auto"/>
          <w:sz w:val="20"/>
          <w:szCs w:val="20"/>
        </w:rPr>
        <w:fldChar w:fldCharType="separate"/>
      </w:r>
      <w:r w:rsidR="003D1D4B" w:rsidRPr="00B14DD0">
        <w:rPr>
          <w:rFonts w:ascii="Times New Roman" w:hAnsi="Times New Roman" w:cs="Times New Roman"/>
          <w:i w:val="0"/>
          <w:iCs w:val="0"/>
          <w:noProof/>
          <w:color w:val="auto"/>
          <w:sz w:val="20"/>
          <w:szCs w:val="20"/>
        </w:rPr>
        <w:t>1</w:t>
      </w:r>
      <w:r w:rsidRPr="00B14DD0">
        <w:rPr>
          <w:rFonts w:ascii="Times New Roman" w:hAnsi="Times New Roman" w:cs="Times New Roman"/>
          <w:i w:val="0"/>
          <w:iCs w:val="0"/>
          <w:color w:val="auto"/>
          <w:sz w:val="20"/>
          <w:szCs w:val="20"/>
        </w:rPr>
        <w:fldChar w:fldCharType="end"/>
      </w:r>
      <w:r w:rsidRPr="00B14DD0">
        <w:rPr>
          <w:rFonts w:ascii="Times New Roman" w:hAnsi="Times New Roman" w:cs="Times New Roman"/>
          <w:i w:val="0"/>
          <w:iCs w:val="0"/>
          <w:color w:val="auto"/>
          <w:sz w:val="20"/>
          <w:szCs w:val="20"/>
        </w:rPr>
        <w:t>. The total number of records within each dataset found to be land based.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5"/>
        <w:gridCol w:w="1923"/>
        <w:gridCol w:w="1387"/>
      </w:tblGrid>
      <w:tr w:rsidR="00762C06" w:rsidRPr="00B14DD0" w14:paraId="58C392DF" w14:textId="77777777" w:rsidTr="00A57BEC">
        <w:trPr>
          <w:trHeight w:val="401"/>
          <w:jc w:val="center"/>
        </w:trPr>
        <w:tc>
          <w:tcPr>
            <w:tcW w:w="3975" w:type="dxa"/>
            <w:tcBorders>
              <w:bottom w:val="single" w:sz="4" w:space="0" w:color="auto"/>
            </w:tcBorders>
            <w:vAlign w:val="bottom"/>
          </w:tcPr>
          <w:p w14:paraId="644CFF92" w14:textId="77777777" w:rsidR="00762C06" w:rsidRPr="00B14DD0" w:rsidRDefault="00762C06" w:rsidP="00B14DD0">
            <w:pPr>
              <w:spacing w:line="480" w:lineRule="auto"/>
              <w:rPr>
                <w:rFonts w:ascii="Times New Roman" w:hAnsi="Times New Roman" w:cs="Times New Roman"/>
                <w:sz w:val="20"/>
                <w:szCs w:val="20"/>
              </w:rPr>
            </w:pPr>
          </w:p>
        </w:tc>
        <w:tc>
          <w:tcPr>
            <w:tcW w:w="1923" w:type="dxa"/>
            <w:tcBorders>
              <w:bottom w:val="single" w:sz="4" w:space="0" w:color="auto"/>
            </w:tcBorders>
          </w:tcPr>
          <w:p w14:paraId="78F5612C" w14:textId="2F274E08"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Facebook</w:t>
            </w:r>
          </w:p>
        </w:tc>
        <w:tc>
          <w:tcPr>
            <w:tcW w:w="1387" w:type="dxa"/>
            <w:tcBorders>
              <w:bottom w:val="single" w:sz="4" w:space="0" w:color="auto"/>
            </w:tcBorders>
          </w:tcPr>
          <w:p w14:paraId="789DCCB7" w14:textId="64422460"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GBIF</w:t>
            </w:r>
          </w:p>
        </w:tc>
      </w:tr>
      <w:tr w:rsidR="00762C06" w:rsidRPr="00B14DD0" w14:paraId="221408F5" w14:textId="77777777" w:rsidTr="00A57BEC">
        <w:trPr>
          <w:trHeight w:val="401"/>
          <w:jc w:val="center"/>
        </w:trPr>
        <w:tc>
          <w:tcPr>
            <w:tcW w:w="3975" w:type="dxa"/>
            <w:tcBorders>
              <w:top w:val="single" w:sz="4" w:space="0" w:color="auto"/>
            </w:tcBorders>
            <w:vAlign w:val="bottom"/>
          </w:tcPr>
          <w:p w14:paraId="61E661BB" w14:textId="77777777" w:rsidR="00762C06" w:rsidRPr="00B14DD0" w:rsidRDefault="00762C06" w:rsidP="00B14DD0">
            <w:pPr>
              <w:spacing w:line="480" w:lineRule="auto"/>
              <w:jc w:val="right"/>
              <w:rPr>
                <w:rFonts w:ascii="Times New Roman" w:eastAsia="Times New Roman" w:hAnsi="Times New Roman" w:cs="Times New Roman"/>
                <w:color w:val="000000"/>
                <w:kern w:val="0"/>
                <w:sz w:val="20"/>
                <w:szCs w:val="20"/>
                <w:lang w:eastAsia="en-AU"/>
                <w14:ligatures w14:val="none"/>
              </w:rPr>
            </w:pPr>
            <w:r w:rsidRPr="00B14DD0">
              <w:rPr>
                <w:rFonts w:ascii="Times New Roman" w:eastAsia="Times New Roman" w:hAnsi="Times New Roman" w:cs="Times New Roman"/>
                <w:color w:val="000000"/>
                <w:kern w:val="0"/>
                <w:sz w:val="20"/>
                <w:szCs w:val="20"/>
                <w:lang w:eastAsia="en-AU"/>
                <w14:ligatures w14:val="none"/>
              </w:rPr>
              <w:t>Australian fur seal</w:t>
            </w:r>
          </w:p>
        </w:tc>
        <w:tc>
          <w:tcPr>
            <w:tcW w:w="1923" w:type="dxa"/>
            <w:tcBorders>
              <w:top w:val="single" w:sz="4" w:space="0" w:color="auto"/>
            </w:tcBorders>
          </w:tcPr>
          <w:p w14:paraId="5E403247"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0</w:t>
            </w:r>
          </w:p>
        </w:tc>
        <w:tc>
          <w:tcPr>
            <w:tcW w:w="1387" w:type="dxa"/>
            <w:tcBorders>
              <w:top w:val="single" w:sz="4" w:space="0" w:color="auto"/>
            </w:tcBorders>
          </w:tcPr>
          <w:p w14:paraId="5FD5A47C"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49</w:t>
            </w:r>
          </w:p>
        </w:tc>
      </w:tr>
      <w:tr w:rsidR="00762C06" w:rsidRPr="00B14DD0" w14:paraId="2E9DE3A7" w14:textId="77777777" w:rsidTr="00A57BEC">
        <w:trPr>
          <w:trHeight w:val="401"/>
          <w:jc w:val="center"/>
        </w:trPr>
        <w:tc>
          <w:tcPr>
            <w:tcW w:w="3975" w:type="dxa"/>
            <w:vAlign w:val="bottom"/>
          </w:tcPr>
          <w:p w14:paraId="75A865A9" w14:textId="77777777" w:rsidR="00762C06" w:rsidRPr="00B14DD0" w:rsidRDefault="00762C06" w:rsidP="00B14DD0">
            <w:pPr>
              <w:spacing w:line="480" w:lineRule="auto"/>
              <w:jc w:val="right"/>
              <w:rPr>
                <w:rFonts w:ascii="Times New Roman" w:hAnsi="Times New Roman" w:cs="Times New Roman"/>
                <w:sz w:val="20"/>
                <w:szCs w:val="20"/>
              </w:rPr>
            </w:pPr>
            <w:r w:rsidRPr="00B14DD0">
              <w:rPr>
                <w:rFonts w:ascii="Times New Roman" w:eastAsia="Times New Roman" w:hAnsi="Times New Roman" w:cs="Times New Roman"/>
                <w:color w:val="000000"/>
                <w:kern w:val="0"/>
                <w:sz w:val="20"/>
                <w:szCs w:val="20"/>
                <w:lang w:eastAsia="en-AU"/>
                <w14:ligatures w14:val="none"/>
              </w:rPr>
              <w:t>Blue whale</w:t>
            </w:r>
          </w:p>
        </w:tc>
        <w:tc>
          <w:tcPr>
            <w:tcW w:w="1923" w:type="dxa"/>
          </w:tcPr>
          <w:p w14:paraId="5850E93F"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0</w:t>
            </w:r>
          </w:p>
        </w:tc>
        <w:tc>
          <w:tcPr>
            <w:tcW w:w="1387" w:type="dxa"/>
          </w:tcPr>
          <w:p w14:paraId="3311029C"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0</w:t>
            </w:r>
          </w:p>
        </w:tc>
      </w:tr>
      <w:tr w:rsidR="00762C06" w:rsidRPr="00B14DD0" w14:paraId="032C58A1" w14:textId="77777777" w:rsidTr="00A57BEC">
        <w:trPr>
          <w:trHeight w:val="401"/>
          <w:jc w:val="center"/>
        </w:trPr>
        <w:tc>
          <w:tcPr>
            <w:tcW w:w="3975" w:type="dxa"/>
            <w:vAlign w:val="bottom"/>
          </w:tcPr>
          <w:p w14:paraId="7A33545B" w14:textId="77777777" w:rsidR="00762C06" w:rsidRPr="00B14DD0" w:rsidRDefault="00762C06" w:rsidP="00B14DD0">
            <w:pPr>
              <w:spacing w:line="480" w:lineRule="auto"/>
              <w:jc w:val="right"/>
              <w:rPr>
                <w:rFonts w:ascii="Times New Roman" w:hAnsi="Times New Roman" w:cs="Times New Roman"/>
                <w:sz w:val="20"/>
                <w:szCs w:val="20"/>
              </w:rPr>
            </w:pPr>
            <w:r w:rsidRPr="00B14DD0">
              <w:rPr>
                <w:rFonts w:ascii="Times New Roman" w:eastAsia="Times New Roman" w:hAnsi="Times New Roman" w:cs="Times New Roman"/>
                <w:color w:val="000000"/>
                <w:kern w:val="0"/>
                <w:sz w:val="20"/>
                <w:szCs w:val="20"/>
                <w:lang w:eastAsia="en-AU"/>
                <w14:ligatures w14:val="none"/>
              </w:rPr>
              <w:t>Humpback whale</w:t>
            </w:r>
          </w:p>
        </w:tc>
        <w:tc>
          <w:tcPr>
            <w:tcW w:w="1923" w:type="dxa"/>
          </w:tcPr>
          <w:p w14:paraId="1E382D55"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1</w:t>
            </w:r>
          </w:p>
        </w:tc>
        <w:tc>
          <w:tcPr>
            <w:tcW w:w="1387" w:type="dxa"/>
          </w:tcPr>
          <w:p w14:paraId="6C2FDC89"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5</w:t>
            </w:r>
          </w:p>
        </w:tc>
      </w:tr>
      <w:tr w:rsidR="00762C06" w:rsidRPr="00B14DD0" w14:paraId="04A03302" w14:textId="77777777" w:rsidTr="00A57BEC">
        <w:trPr>
          <w:trHeight w:val="401"/>
          <w:jc w:val="center"/>
        </w:trPr>
        <w:tc>
          <w:tcPr>
            <w:tcW w:w="3975" w:type="dxa"/>
            <w:vAlign w:val="bottom"/>
          </w:tcPr>
          <w:p w14:paraId="5750B87B" w14:textId="77777777" w:rsidR="00762C06" w:rsidRPr="00B14DD0" w:rsidRDefault="00762C06" w:rsidP="00B14DD0">
            <w:pPr>
              <w:spacing w:line="480" w:lineRule="auto"/>
              <w:jc w:val="right"/>
              <w:rPr>
                <w:rFonts w:ascii="Times New Roman" w:hAnsi="Times New Roman" w:cs="Times New Roman"/>
                <w:sz w:val="20"/>
                <w:szCs w:val="20"/>
              </w:rPr>
            </w:pPr>
            <w:r w:rsidRPr="00B14DD0">
              <w:rPr>
                <w:rFonts w:ascii="Times New Roman" w:eastAsia="Times New Roman" w:hAnsi="Times New Roman" w:cs="Times New Roman"/>
                <w:color w:val="000000"/>
                <w:kern w:val="0"/>
                <w:sz w:val="20"/>
                <w:szCs w:val="20"/>
                <w:lang w:eastAsia="en-AU"/>
                <w14:ligatures w14:val="none"/>
              </w:rPr>
              <w:t>Orca</w:t>
            </w:r>
          </w:p>
        </w:tc>
        <w:tc>
          <w:tcPr>
            <w:tcW w:w="1923" w:type="dxa"/>
          </w:tcPr>
          <w:p w14:paraId="4EC23607"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0</w:t>
            </w:r>
          </w:p>
        </w:tc>
        <w:tc>
          <w:tcPr>
            <w:tcW w:w="1387" w:type="dxa"/>
          </w:tcPr>
          <w:p w14:paraId="0B9F983E"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0</w:t>
            </w:r>
          </w:p>
        </w:tc>
      </w:tr>
      <w:tr w:rsidR="00762C06" w:rsidRPr="00B14DD0" w14:paraId="13B8BDF1" w14:textId="77777777" w:rsidTr="00A57BEC">
        <w:trPr>
          <w:trHeight w:val="401"/>
          <w:jc w:val="center"/>
        </w:trPr>
        <w:tc>
          <w:tcPr>
            <w:tcW w:w="3975" w:type="dxa"/>
            <w:vAlign w:val="bottom"/>
          </w:tcPr>
          <w:p w14:paraId="10D174D9" w14:textId="77777777" w:rsidR="00762C06" w:rsidRPr="00B14DD0" w:rsidRDefault="00762C06" w:rsidP="00B14DD0">
            <w:pPr>
              <w:spacing w:line="480" w:lineRule="auto"/>
              <w:jc w:val="right"/>
              <w:rPr>
                <w:rFonts w:ascii="Times New Roman" w:hAnsi="Times New Roman" w:cs="Times New Roman"/>
                <w:sz w:val="20"/>
                <w:szCs w:val="20"/>
              </w:rPr>
            </w:pPr>
            <w:r w:rsidRPr="00B14DD0">
              <w:rPr>
                <w:rFonts w:ascii="Times New Roman" w:eastAsia="Times New Roman" w:hAnsi="Times New Roman" w:cs="Times New Roman"/>
                <w:color w:val="000000"/>
                <w:kern w:val="0"/>
                <w:sz w:val="20"/>
                <w:szCs w:val="20"/>
                <w:lang w:eastAsia="en-AU"/>
                <w14:ligatures w14:val="none"/>
              </w:rPr>
              <w:t>Short beaked common dolphin</w:t>
            </w:r>
          </w:p>
        </w:tc>
        <w:tc>
          <w:tcPr>
            <w:tcW w:w="1923" w:type="dxa"/>
          </w:tcPr>
          <w:p w14:paraId="4E7C673F"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0</w:t>
            </w:r>
          </w:p>
        </w:tc>
        <w:tc>
          <w:tcPr>
            <w:tcW w:w="1387" w:type="dxa"/>
          </w:tcPr>
          <w:p w14:paraId="1591C17E"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1</w:t>
            </w:r>
          </w:p>
        </w:tc>
      </w:tr>
      <w:tr w:rsidR="00762C06" w:rsidRPr="00B14DD0" w14:paraId="7BD8D282" w14:textId="77777777" w:rsidTr="00A57BEC">
        <w:trPr>
          <w:trHeight w:val="401"/>
          <w:jc w:val="center"/>
        </w:trPr>
        <w:tc>
          <w:tcPr>
            <w:tcW w:w="3975" w:type="dxa"/>
            <w:vAlign w:val="bottom"/>
          </w:tcPr>
          <w:p w14:paraId="315B7EC0" w14:textId="77777777" w:rsidR="00762C06" w:rsidRPr="00B14DD0" w:rsidRDefault="00762C06" w:rsidP="00B14DD0">
            <w:pPr>
              <w:spacing w:line="480" w:lineRule="auto"/>
              <w:jc w:val="right"/>
              <w:rPr>
                <w:rFonts w:ascii="Times New Roman" w:hAnsi="Times New Roman" w:cs="Times New Roman"/>
                <w:sz w:val="20"/>
                <w:szCs w:val="20"/>
              </w:rPr>
            </w:pPr>
            <w:r w:rsidRPr="00B14DD0">
              <w:rPr>
                <w:rFonts w:ascii="Times New Roman" w:eastAsia="Times New Roman" w:hAnsi="Times New Roman" w:cs="Times New Roman"/>
                <w:color w:val="000000"/>
                <w:kern w:val="0"/>
                <w:sz w:val="20"/>
                <w:szCs w:val="20"/>
                <w:lang w:eastAsia="en-AU"/>
                <w14:ligatures w14:val="none"/>
              </w:rPr>
              <w:t>Southern right whale</w:t>
            </w:r>
          </w:p>
        </w:tc>
        <w:tc>
          <w:tcPr>
            <w:tcW w:w="1923" w:type="dxa"/>
          </w:tcPr>
          <w:p w14:paraId="1E1A4812"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36</w:t>
            </w:r>
          </w:p>
        </w:tc>
        <w:tc>
          <w:tcPr>
            <w:tcW w:w="1387" w:type="dxa"/>
          </w:tcPr>
          <w:p w14:paraId="714B967B"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2</w:t>
            </w:r>
          </w:p>
        </w:tc>
      </w:tr>
      <w:tr w:rsidR="00762C06" w:rsidRPr="00B14DD0" w14:paraId="2E07A13B" w14:textId="77777777" w:rsidTr="00A57BEC">
        <w:trPr>
          <w:trHeight w:val="401"/>
          <w:jc w:val="center"/>
        </w:trPr>
        <w:tc>
          <w:tcPr>
            <w:tcW w:w="3975" w:type="dxa"/>
            <w:tcBorders>
              <w:bottom w:val="single" w:sz="4" w:space="0" w:color="auto"/>
            </w:tcBorders>
            <w:vAlign w:val="bottom"/>
          </w:tcPr>
          <w:p w14:paraId="4810BFBC" w14:textId="77777777" w:rsidR="00762C06" w:rsidRPr="00B14DD0" w:rsidRDefault="00762C06" w:rsidP="00B14DD0">
            <w:pPr>
              <w:spacing w:line="480" w:lineRule="auto"/>
              <w:jc w:val="right"/>
              <w:rPr>
                <w:rFonts w:ascii="Times New Roman" w:eastAsia="Times New Roman" w:hAnsi="Times New Roman" w:cs="Times New Roman"/>
                <w:i/>
                <w:iCs/>
                <w:color w:val="000000"/>
                <w:kern w:val="0"/>
                <w:sz w:val="20"/>
                <w:szCs w:val="20"/>
                <w:lang w:eastAsia="en-AU"/>
                <w14:ligatures w14:val="none"/>
              </w:rPr>
            </w:pPr>
            <w:r w:rsidRPr="00B14DD0">
              <w:rPr>
                <w:rFonts w:ascii="Times New Roman" w:eastAsia="Times New Roman" w:hAnsi="Times New Roman" w:cs="Times New Roman"/>
                <w:color w:val="000000"/>
                <w:kern w:val="0"/>
                <w:sz w:val="20"/>
                <w:szCs w:val="20"/>
                <w:lang w:eastAsia="en-AU"/>
                <w14:ligatures w14:val="none"/>
              </w:rPr>
              <w:t>Tursiops</w:t>
            </w:r>
            <w:r w:rsidRPr="00B14DD0">
              <w:rPr>
                <w:rFonts w:ascii="Times New Roman" w:eastAsia="Times New Roman" w:hAnsi="Times New Roman" w:cs="Times New Roman"/>
                <w:i/>
                <w:iCs/>
                <w:color w:val="000000"/>
                <w:kern w:val="0"/>
                <w:sz w:val="20"/>
                <w:szCs w:val="20"/>
                <w:lang w:eastAsia="en-AU"/>
                <w14:ligatures w14:val="none"/>
              </w:rPr>
              <w:t xml:space="preserve"> sp.</w:t>
            </w:r>
          </w:p>
        </w:tc>
        <w:tc>
          <w:tcPr>
            <w:tcW w:w="1923" w:type="dxa"/>
            <w:tcBorders>
              <w:bottom w:val="single" w:sz="4" w:space="0" w:color="auto"/>
            </w:tcBorders>
          </w:tcPr>
          <w:p w14:paraId="45986889"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5</w:t>
            </w:r>
          </w:p>
        </w:tc>
        <w:tc>
          <w:tcPr>
            <w:tcW w:w="1387" w:type="dxa"/>
            <w:tcBorders>
              <w:bottom w:val="single" w:sz="4" w:space="0" w:color="auto"/>
            </w:tcBorders>
          </w:tcPr>
          <w:p w14:paraId="02EF366D"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5</w:t>
            </w:r>
          </w:p>
        </w:tc>
      </w:tr>
      <w:tr w:rsidR="00762C06" w:rsidRPr="00B14DD0" w14:paraId="3621779B" w14:textId="77777777" w:rsidTr="00A57BEC">
        <w:trPr>
          <w:trHeight w:val="401"/>
          <w:jc w:val="center"/>
        </w:trPr>
        <w:tc>
          <w:tcPr>
            <w:tcW w:w="3975" w:type="dxa"/>
            <w:tcBorders>
              <w:top w:val="single" w:sz="4" w:space="0" w:color="auto"/>
            </w:tcBorders>
            <w:vAlign w:val="bottom"/>
          </w:tcPr>
          <w:p w14:paraId="75C11FA9" w14:textId="77777777" w:rsidR="00762C06" w:rsidRPr="00B14DD0" w:rsidRDefault="00762C06" w:rsidP="00B14DD0">
            <w:pPr>
              <w:spacing w:line="480" w:lineRule="auto"/>
              <w:jc w:val="right"/>
              <w:rPr>
                <w:rFonts w:ascii="Times New Roman" w:eastAsia="Times New Roman" w:hAnsi="Times New Roman" w:cs="Times New Roman"/>
                <w:color w:val="000000"/>
                <w:kern w:val="0"/>
                <w:sz w:val="20"/>
                <w:szCs w:val="20"/>
                <w:lang w:eastAsia="en-AU"/>
                <w14:ligatures w14:val="none"/>
              </w:rPr>
            </w:pPr>
            <w:r w:rsidRPr="00B14DD0">
              <w:rPr>
                <w:rFonts w:ascii="Times New Roman" w:eastAsia="Times New Roman" w:hAnsi="Times New Roman" w:cs="Times New Roman"/>
                <w:color w:val="000000"/>
                <w:kern w:val="0"/>
                <w:sz w:val="20"/>
                <w:szCs w:val="20"/>
                <w:lang w:eastAsia="en-AU"/>
                <w14:ligatures w14:val="none"/>
              </w:rPr>
              <w:t>TOTAL</w:t>
            </w:r>
          </w:p>
        </w:tc>
        <w:tc>
          <w:tcPr>
            <w:tcW w:w="1923" w:type="dxa"/>
            <w:tcBorders>
              <w:top w:val="single" w:sz="4" w:space="0" w:color="auto"/>
            </w:tcBorders>
          </w:tcPr>
          <w:p w14:paraId="0CE89554"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42</w:t>
            </w:r>
          </w:p>
        </w:tc>
        <w:tc>
          <w:tcPr>
            <w:tcW w:w="1387" w:type="dxa"/>
            <w:tcBorders>
              <w:top w:val="single" w:sz="4" w:space="0" w:color="auto"/>
            </w:tcBorders>
          </w:tcPr>
          <w:p w14:paraId="51B55F9A" w14:textId="77777777" w:rsidR="00762C06" w:rsidRPr="00B14DD0" w:rsidRDefault="00762C06"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62</w:t>
            </w:r>
          </w:p>
        </w:tc>
      </w:tr>
    </w:tbl>
    <w:p w14:paraId="3869C0F2" w14:textId="77777777" w:rsidR="003D1D4B" w:rsidRPr="00B14DD0" w:rsidRDefault="003D1D4B" w:rsidP="00B14DD0">
      <w:pPr>
        <w:spacing w:line="480" w:lineRule="auto"/>
        <w:rPr>
          <w:rFonts w:ascii="Times New Roman" w:hAnsi="Times New Roman" w:cs="Times New Roman"/>
          <w:b/>
          <w:bCs/>
          <w:sz w:val="20"/>
          <w:szCs w:val="20"/>
        </w:rPr>
      </w:pPr>
    </w:p>
    <w:p w14:paraId="07DEF8F4" w14:textId="7C287DA9" w:rsidR="00112336"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S</w:t>
      </w:r>
      <w:r w:rsidR="004213D7" w:rsidRPr="00B14DD0">
        <w:rPr>
          <w:rFonts w:ascii="Times New Roman" w:hAnsi="Times New Roman" w:cs="Times New Roman"/>
          <w:b/>
          <w:bCs/>
          <w:sz w:val="20"/>
          <w:szCs w:val="20"/>
        </w:rPr>
        <w:t>2</w:t>
      </w:r>
      <w:r w:rsidRPr="00B14DD0">
        <w:rPr>
          <w:rFonts w:ascii="Times New Roman" w:hAnsi="Times New Roman" w:cs="Times New Roman"/>
          <w:b/>
          <w:bCs/>
          <w:sz w:val="20"/>
          <w:szCs w:val="20"/>
        </w:rPr>
        <w:t>.2 Land Mask Construction</w:t>
      </w:r>
    </w:p>
    <w:p w14:paraId="76075C84" w14:textId="2DA5451D" w:rsidR="00087EA5" w:rsidRPr="00B14DD0" w:rsidRDefault="00112336"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lastRenderedPageBreak/>
        <w:t>The land mask combined multiple high-resolution spatial datasets (Table S</w:t>
      </w:r>
      <w:r w:rsidR="003D1D4B" w:rsidRPr="00B14DD0">
        <w:rPr>
          <w:rFonts w:ascii="Times New Roman" w:hAnsi="Times New Roman" w:cs="Times New Roman"/>
          <w:sz w:val="20"/>
          <w:szCs w:val="20"/>
        </w:rPr>
        <w:t>2</w:t>
      </w:r>
      <w:r w:rsidRPr="00B14DD0">
        <w:rPr>
          <w:rFonts w:ascii="Times New Roman" w:hAnsi="Times New Roman" w:cs="Times New Roman"/>
          <w:sz w:val="20"/>
          <w:szCs w:val="20"/>
        </w:rPr>
        <w:t>). All spatial layers were reprojected to EPSG:7899 before union into a single land mask polygon. This ensured accurate representation of inlets, estuaries, and complex coastal geometry for EOO calculations.</w:t>
      </w:r>
    </w:p>
    <w:p w14:paraId="500E7160" w14:textId="77777777" w:rsidR="00112336" w:rsidRPr="00B14DD0" w:rsidRDefault="00112336" w:rsidP="00B14DD0">
      <w:pPr>
        <w:spacing w:line="480" w:lineRule="auto"/>
        <w:rPr>
          <w:rFonts w:ascii="Times New Roman" w:hAnsi="Times New Roman" w:cs="Times New Roman"/>
          <w:sz w:val="20"/>
          <w:szCs w:val="20"/>
        </w:rPr>
      </w:pPr>
    </w:p>
    <w:p w14:paraId="2C304633" w14:textId="77777777" w:rsidR="004213D7" w:rsidRPr="00B14DD0" w:rsidRDefault="004213D7" w:rsidP="00B14DD0">
      <w:pPr>
        <w:spacing w:line="480" w:lineRule="auto"/>
        <w:rPr>
          <w:rFonts w:ascii="Times New Roman" w:hAnsi="Times New Roman" w:cs="Times New Roman"/>
          <w:b/>
          <w:bCs/>
          <w:sz w:val="20"/>
          <w:szCs w:val="20"/>
        </w:rPr>
      </w:pPr>
    </w:p>
    <w:p w14:paraId="088B69B7" w14:textId="77777777" w:rsidR="004213D7" w:rsidRPr="00B14DD0" w:rsidRDefault="004213D7" w:rsidP="00B14DD0">
      <w:pPr>
        <w:spacing w:line="480" w:lineRule="auto"/>
        <w:rPr>
          <w:rFonts w:ascii="Times New Roman" w:hAnsi="Times New Roman" w:cs="Times New Roman"/>
          <w:b/>
          <w:bCs/>
          <w:sz w:val="20"/>
          <w:szCs w:val="20"/>
        </w:rPr>
      </w:pPr>
    </w:p>
    <w:p w14:paraId="69027E06" w14:textId="77777777" w:rsidR="004213D7" w:rsidRPr="00B14DD0" w:rsidRDefault="004213D7" w:rsidP="00B14DD0">
      <w:pPr>
        <w:spacing w:line="480" w:lineRule="auto"/>
        <w:rPr>
          <w:rFonts w:ascii="Times New Roman" w:hAnsi="Times New Roman" w:cs="Times New Roman"/>
          <w:b/>
          <w:bCs/>
          <w:sz w:val="20"/>
          <w:szCs w:val="20"/>
        </w:rPr>
      </w:pPr>
    </w:p>
    <w:p w14:paraId="48923C71" w14:textId="77777777" w:rsidR="004213D7" w:rsidRPr="00B14DD0" w:rsidRDefault="004213D7" w:rsidP="00B14DD0">
      <w:pPr>
        <w:spacing w:line="480" w:lineRule="auto"/>
        <w:rPr>
          <w:rFonts w:ascii="Times New Roman" w:hAnsi="Times New Roman" w:cs="Times New Roman"/>
          <w:b/>
          <w:bCs/>
          <w:sz w:val="20"/>
          <w:szCs w:val="20"/>
        </w:rPr>
      </w:pPr>
    </w:p>
    <w:p w14:paraId="581D3565" w14:textId="38593750" w:rsidR="003D1D4B" w:rsidRPr="00B14DD0" w:rsidRDefault="003D1D4B" w:rsidP="00B14DD0">
      <w:pPr>
        <w:pStyle w:val="Caption"/>
        <w:keepNext/>
        <w:spacing w:line="480" w:lineRule="auto"/>
        <w:rPr>
          <w:rFonts w:ascii="Times New Roman" w:hAnsi="Times New Roman" w:cs="Times New Roman"/>
          <w:i w:val="0"/>
          <w:iCs w:val="0"/>
          <w:color w:val="auto"/>
          <w:sz w:val="20"/>
          <w:szCs w:val="20"/>
        </w:rPr>
      </w:pPr>
      <w:r w:rsidRPr="00B14DD0">
        <w:rPr>
          <w:rFonts w:ascii="Times New Roman" w:hAnsi="Times New Roman" w:cs="Times New Roman"/>
          <w:i w:val="0"/>
          <w:iCs w:val="0"/>
          <w:color w:val="auto"/>
          <w:sz w:val="20"/>
          <w:szCs w:val="20"/>
        </w:rPr>
        <w:t>Table S</w:t>
      </w:r>
      <w:r w:rsidRPr="00B14DD0">
        <w:rPr>
          <w:rFonts w:ascii="Times New Roman" w:hAnsi="Times New Roman" w:cs="Times New Roman"/>
          <w:i w:val="0"/>
          <w:iCs w:val="0"/>
          <w:color w:val="auto"/>
          <w:sz w:val="20"/>
          <w:szCs w:val="20"/>
        </w:rPr>
        <w:fldChar w:fldCharType="begin"/>
      </w:r>
      <w:r w:rsidRPr="00B14DD0">
        <w:rPr>
          <w:rFonts w:ascii="Times New Roman" w:hAnsi="Times New Roman" w:cs="Times New Roman"/>
          <w:i w:val="0"/>
          <w:iCs w:val="0"/>
          <w:color w:val="auto"/>
          <w:sz w:val="20"/>
          <w:szCs w:val="20"/>
        </w:rPr>
        <w:instrText xml:space="preserve"> SEQ Table \* ARABIC </w:instrText>
      </w:r>
      <w:r w:rsidRPr="00B14DD0">
        <w:rPr>
          <w:rFonts w:ascii="Times New Roman" w:hAnsi="Times New Roman" w:cs="Times New Roman"/>
          <w:i w:val="0"/>
          <w:iCs w:val="0"/>
          <w:color w:val="auto"/>
          <w:sz w:val="20"/>
          <w:szCs w:val="20"/>
        </w:rPr>
        <w:fldChar w:fldCharType="separate"/>
      </w:r>
      <w:r w:rsidRPr="00B14DD0">
        <w:rPr>
          <w:rFonts w:ascii="Times New Roman" w:hAnsi="Times New Roman" w:cs="Times New Roman"/>
          <w:i w:val="0"/>
          <w:iCs w:val="0"/>
          <w:noProof/>
          <w:color w:val="auto"/>
          <w:sz w:val="20"/>
          <w:szCs w:val="20"/>
        </w:rPr>
        <w:t>2</w:t>
      </w:r>
      <w:r w:rsidRPr="00B14DD0">
        <w:rPr>
          <w:rFonts w:ascii="Times New Roman" w:hAnsi="Times New Roman" w:cs="Times New Roman"/>
          <w:i w:val="0"/>
          <w:iCs w:val="0"/>
          <w:color w:val="auto"/>
          <w:sz w:val="20"/>
          <w:szCs w:val="20"/>
        </w:rPr>
        <w:fldChar w:fldCharType="end"/>
      </w:r>
      <w:r w:rsidRPr="00B14DD0">
        <w:rPr>
          <w:rFonts w:ascii="Times New Roman" w:hAnsi="Times New Roman" w:cs="Times New Roman"/>
          <w:i w:val="0"/>
          <w:iCs w:val="0"/>
          <w:color w:val="auto"/>
          <w:sz w:val="20"/>
          <w:szCs w:val="20"/>
        </w:rPr>
        <w:t>. Spatial data used in the creation of the land mask.</w:t>
      </w:r>
    </w:p>
    <w:tbl>
      <w:tblPr>
        <w:tblStyle w:val="TableGrid"/>
        <w:tblpPr w:leftFromText="180" w:rightFromText="180" w:vertAnchor="text" w:horzAnchor="page" w:tblpXSpec="center" w:tblpY="302"/>
        <w:tblW w:w="5815" w:type="pct"/>
        <w:tblLayout w:type="fixed"/>
        <w:tblLook w:val="04A0" w:firstRow="1" w:lastRow="0" w:firstColumn="1" w:lastColumn="0" w:noHBand="0" w:noVBand="1"/>
      </w:tblPr>
      <w:tblGrid>
        <w:gridCol w:w="2691"/>
        <w:gridCol w:w="1416"/>
        <w:gridCol w:w="1275"/>
        <w:gridCol w:w="2835"/>
        <w:gridCol w:w="2269"/>
      </w:tblGrid>
      <w:tr w:rsidR="007C4AC7" w:rsidRPr="00B14DD0" w14:paraId="0E6DE796" w14:textId="77777777" w:rsidTr="00741B9A">
        <w:trPr>
          <w:trHeight w:val="237"/>
        </w:trPr>
        <w:tc>
          <w:tcPr>
            <w:tcW w:w="1283" w:type="pct"/>
            <w:noWrap/>
            <w:vAlign w:val="center"/>
            <w:hideMark/>
          </w:tcPr>
          <w:p w14:paraId="003038BB" w14:textId="77777777" w:rsidR="007C4AC7" w:rsidRPr="00B14DD0" w:rsidRDefault="007C4AC7" w:rsidP="00B14DD0">
            <w:pPr>
              <w:spacing w:line="480" w:lineRule="auto"/>
              <w:jc w:val="center"/>
              <w:rPr>
                <w:rFonts w:ascii="Times New Roman" w:hAnsi="Times New Roman" w:cs="Times New Roman"/>
                <w:b/>
                <w:bCs/>
                <w:sz w:val="20"/>
                <w:szCs w:val="20"/>
              </w:rPr>
            </w:pPr>
            <w:r w:rsidRPr="00B14DD0">
              <w:rPr>
                <w:rFonts w:ascii="Times New Roman" w:hAnsi="Times New Roman" w:cs="Times New Roman"/>
                <w:b/>
                <w:bCs/>
                <w:sz w:val="20"/>
                <w:szCs w:val="20"/>
              </w:rPr>
              <w:t>GIS Layer Name</w:t>
            </w:r>
          </w:p>
        </w:tc>
        <w:tc>
          <w:tcPr>
            <w:tcW w:w="675" w:type="pct"/>
            <w:noWrap/>
            <w:vAlign w:val="center"/>
            <w:hideMark/>
          </w:tcPr>
          <w:p w14:paraId="54FD11DC" w14:textId="77777777" w:rsidR="007C4AC7" w:rsidRPr="00B14DD0" w:rsidRDefault="007C4AC7" w:rsidP="00B14DD0">
            <w:pPr>
              <w:spacing w:line="480" w:lineRule="auto"/>
              <w:jc w:val="center"/>
              <w:rPr>
                <w:rFonts w:ascii="Times New Roman" w:hAnsi="Times New Roman" w:cs="Times New Roman"/>
                <w:b/>
                <w:bCs/>
                <w:sz w:val="20"/>
                <w:szCs w:val="20"/>
              </w:rPr>
            </w:pPr>
            <w:r w:rsidRPr="00B14DD0">
              <w:rPr>
                <w:rFonts w:ascii="Times New Roman" w:hAnsi="Times New Roman" w:cs="Times New Roman"/>
                <w:b/>
                <w:bCs/>
                <w:sz w:val="20"/>
                <w:szCs w:val="20"/>
              </w:rPr>
              <w:t>Source</w:t>
            </w:r>
          </w:p>
        </w:tc>
        <w:tc>
          <w:tcPr>
            <w:tcW w:w="608" w:type="pct"/>
            <w:vAlign w:val="center"/>
          </w:tcPr>
          <w:p w14:paraId="0BA2FA0C" w14:textId="77777777" w:rsidR="007C4AC7" w:rsidRPr="00B14DD0" w:rsidRDefault="007C4AC7" w:rsidP="00B14DD0">
            <w:pPr>
              <w:spacing w:line="480" w:lineRule="auto"/>
              <w:jc w:val="center"/>
              <w:rPr>
                <w:rFonts w:ascii="Times New Roman" w:hAnsi="Times New Roman" w:cs="Times New Roman"/>
                <w:b/>
                <w:bCs/>
                <w:sz w:val="20"/>
                <w:szCs w:val="20"/>
              </w:rPr>
            </w:pPr>
            <w:r w:rsidRPr="00B14DD0">
              <w:rPr>
                <w:rFonts w:ascii="Times New Roman" w:hAnsi="Times New Roman" w:cs="Times New Roman"/>
                <w:b/>
                <w:bCs/>
                <w:sz w:val="20"/>
                <w:szCs w:val="20"/>
              </w:rPr>
              <w:t>Format</w:t>
            </w:r>
          </w:p>
        </w:tc>
        <w:tc>
          <w:tcPr>
            <w:tcW w:w="1352" w:type="pct"/>
            <w:vAlign w:val="center"/>
          </w:tcPr>
          <w:p w14:paraId="065F470D" w14:textId="77777777" w:rsidR="007C4AC7" w:rsidRPr="00B14DD0" w:rsidRDefault="007C4AC7"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Purpose</w:t>
            </w:r>
          </w:p>
        </w:tc>
        <w:tc>
          <w:tcPr>
            <w:tcW w:w="1082" w:type="pct"/>
            <w:vAlign w:val="center"/>
          </w:tcPr>
          <w:p w14:paraId="6B253BA4" w14:textId="35BAE221" w:rsidR="007C4AC7" w:rsidRPr="00B14DD0" w:rsidRDefault="007C4AC7"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t>Link to source</w:t>
            </w:r>
          </w:p>
        </w:tc>
      </w:tr>
      <w:tr w:rsidR="007C4AC7" w:rsidRPr="00B14DD0" w14:paraId="15024718" w14:textId="77777777" w:rsidTr="00741B9A">
        <w:trPr>
          <w:trHeight w:val="227"/>
        </w:trPr>
        <w:tc>
          <w:tcPr>
            <w:tcW w:w="1283" w:type="pct"/>
            <w:noWrap/>
            <w:vAlign w:val="center"/>
          </w:tcPr>
          <w:p w14:paraId="6B719723" w14:textId="75D56D60" w:rsidR="007C4AC7" w:rsidRPr="00B14DD0" w:rsidRDefault="007C4AC7"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VMLITE_VICTORIA_POLYGON_SU5</w:t>
            </w:r>
          </w:p>
        </w:tc>
        <w:tc>
          <w:tcPr>
            <w:tcW w:w="675" w:type="pct"/>
            <w:noWrap/>
            <w:vAlign w:val="center"/>
          </w:tcPr>
          <w:p w14:paraId="7FC01113" w14:textId="733B8B06" w:rsidR="007C4AC7" w:rsidRPr="00B14DD0" w:rsidRDefault="007C4AC7" w:rsidP="00B14DD0">
            <w:pPr>
              <w:spacing w:line="480" w:lineRule="auto"/>
              <w:jc w:val="center"/>
              <w:rPr>
                <w:rFonts w:ascii="Times New Roman" w:hAnsi="Times New Roman" w:cs="Times New Roman"/>
                <w:i/>
                <w:iCs/>
                <w:sz w:val="20"/>
                <w:szCs w:val="20"/>
              </w:rPr>
            </w:pPr>
            <w:r w:rsidRPr="00B14DD0">
              <w:rPr>
                <w:rFonts w:ascii="Times New Roman" w:hAnsi="Times New Roman" w:cs="Times New Roman"/>
                <w:i/>
                <w:iCs/>
                <w:sz w:val="20"/>
                <w:szCs w:val="20"/>
              </w:rPr>
              <w:t>Department of Transport and Planning</w:t>
            </w:r>
          </w:p>
        </w:tc>
        <w:tc>
          <w:tcPr>
            <w:tcW w:w="608" w:type="pct"/>
            <w:vAlign w:val="center"/>
          </w:tcPr>
          <w:p w14:paraId="065C044F" w14:textId="2CDC2DF1" w:rsidR="007C4AC7" w:rsidRPr="00B14DD0" w:rsidRDefault="007C4AC7"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Shapefile</w:t>
            </w:r>
          </w:p>
        </w:tc>
        <w:tc>
          <w:tcPr>
            <w:tcW w:w="1352" w:type="pct"/>
            <w:vAlign w:val="center"/>
          </w:tcPr>
          <w:p w14:paraId="131E0EAA" w14:textId="5CA7F0A3" w:rsidR="007C4AC7" w:rsidRPr="00B14DD0" w:rsidRDefault="007C4AC7"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This was used as the base for the Land </w:t>
            </w:r>
            <w:proofErr w:type="gramStart"/>
            <w:r w:rsidRPr="00B14DD0">
              <w:rPr>
                <w:rFonts w:ascii="Times New Roman" w:hAnsi="Times New Roman" w:cs="Times New Roman"/>
                <w:sz w:val="20"/>
                <w:szCs w:val="20"/>
              </w:rPr>
              <w:t>Mask</w:t>
            </w:r>
            <w:proofErr w:type="gramEnd"/>
            <w:r w:rsidRPr="00B14DD0">
              <w:rPr>
                <w:rFonts w:ascii="Times New Roman" w:hAnsi="Times New Roman" w:cs="Times New Roman"/>
                <w:sz w:val="20"/>
                <w:szCs w:val="20"/>
              </w:rPr>
              <w:t xml:space="preserve"> but important detail was missing.</w:t>
            </w:r>
          </w:p>
        </w:tc>
        <w:tc>
          <w:tcPr>
            <w:tcW w:w="1082" w:type="pct"/>
            <w:vAlign w:val="center"/>
          </w:tcPr>
          <w:p w14:paraId="101DC4DF" w14:textId="4D0D55D1" w:rsidR="007C4AC7" w:rsidRPr="00B14DD0" w:rsidRDefault="007C4AC7" w:rsidP="00B14DD0">
            <w:pPr>
              <w:spacing w:line="480" w:lineRule="auto"/>
              <w:rPr>
                <w:rFonts w:ascii="Times New Roman" w:hAnsi="Times New Roman" w:cs="Times New Roman"/>
                <w:sz w:val="20"/>
                <w:szCs w:val="20"/>
              </w:rPr>
            </w:pPr>
            <w:hyperlink r:id="rId7" w:history="1">
              <w:r w:rsidRPr="00B14DD0">
                <w:rPr>
                  <w:rStyle w:val="Hyperlink"/>
                  <w:rFonts w:ascii="Times New Roman" w:hAnsi="Times New Roman" w:cs="Times New Roman"/>
                  <w:sz w:val="20"/>
                  <w:szCs w:val="20"/>
                </w:rPr>
                <w:t>https://discover.data.vic.gov.au/dataset/vicmap-lite-state-polygon-1-250000-to-1-2000000</w:t>
              </w:r>
            </w:hyperlink>
            <w:r w:rsidRPr="00B14DD0">
              <w:rPr>
                <w:rFonts w:ascii="Times New Roman" w:hAnsi="Times New Roman" w:cs="Times New Roman"/>
                <w:sz w:val="20"/>
                <w:szCs w:val="20"/>
              </w:rPr>
              <w:br/>
              <w:t>Accessed 28 September 2025</w:t>
            </w:r>
          </w:p>
          <w:p w14:paraId="461E5727" w14:textId="77777777" w:rsidR="007C4AC7" w:rsidRPr="00B14DD0" w:rsidRDefault="007C4AC7" w:rsidP="00B14DD0">
            <w:pPr>
              <w:spacing w:line="480" w:lineRule="auto"/>
              <w:rPr>
                <w:rFonts w:ascii="Times New Roman" w:hAnsi="Times New Roman" w:cs="Times New Roman"/>
                <w:sz w:val="20"/>
                <w:szCs w:val="20"/>
              </w:rPr>
            </w:pPr>
          </w:p>
        </w:tc>
      </w:tr>
      <w:tr w:rsidR="007C4AC7" w:rsidRPr="00B14DD0" w14:paraId="7E0242F6" w14:textId="77777777" w:rsidTr="00741B9A">
        <w:trPr>
          <w:trHeight w:val="1819"/>
        </w:trPr>
        <w:tc>
          <w:tcPr>
            <w:tcW w:w="1283" w:type="pct"/>
            <w:noWrap/>
            <w:vAlign w:val="center"/>
            <w:hideMark/>
          </w:tcPr>
          <w:p w14:paraId="295A1346" w14:textId="77777777" w:rsidR="007C4AC7" w:rsidRPr="00B14DD0" w:rsidRDefault="007C4AC7"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AUS_2021_AUST_GDA2020</w:t>
            </w:r>
          </w:p>
        </w:tc>
        <w:tc>
          <w:tcPr>
            <w:tcW w:w="675" w:type="pct"/>
            <w:noWrap/>
            <w:vAlign w:val="center"/>
            <w:hideMark/>
          </w:tcPr>
          <w:p w14:paraId="7FA23D97" w14:textId="77777777" w:rsidR="007C4AC7" w:rsidRPr="00B14DD0" w:rsidRDefault="007C4AC7" w:rsidP="00B14DD0">
            <w:pPr>
              <w:spacing w:line="480" w:lineRule="auto"/>
              <w:jc w:val="center"/>
              <w:rPr>
                <w:rFonts w:ascii="Times New Roman" w:hAnsi="Times New Roman" w:cs="Times New Roman"/>
                <w:i/>
                <w:iCs/>
                <w:sz w:val="20"/>
                <w:szCs w:val="20"/>
              </w:rPr>
            </w:pPr>
            <w:r w:rsidRPr="00B14DD0">
              <w:rPr>
                <w:rFonts w:ascii="Times New Roman" w:hAnsi="Times New Roman" w:cs="Times New Roman"/>
                <w:i/>
                <w:iCs/>
                <w:sz w:val="20"/>
                <w:szCs w:val="20"/>
              </w:rPr>
              <w:t>Australian Bureau of Statistics</w:t>
            </w:r>
          </w:p>
        </w:tc>
        <w:tc>
          <w:tcPr>
            <w:tcW w:w="608" w:type="pct"/>
            <w:vAlign w:val="center"/>
          </w:tcPr>
          <w:p w14:paraId="0E21CFE8" w14:textId="77777777" w:rsidR="007C4AC7" w:rsidRPr="00B14DD0" w:rsidRDefault="007C4AC7"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Shapefile</w:t>
            </w:r>
          </w:p>
        </w:tc>
        <w:tc>
          <w:tcPr>
            <w:tcW w:w="1352" w:type="pct"/>
            <w:vAlign w:val="center"/>
          </w:tcPr>
          <w:p w14:paraId="4231A91C" w14:textId="2E792136" w:rsidR="007C4AC7" w:rsidRPr="00B14DD0" w:rsidRDefault="007C4AC7"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Large islands within the study area were extracted from this dataset for inclusion in the </w:t>
            </w:r>
            <w:r w:rsidR="00741B9A" w:rsidRPr="00B14DD0">
              <w:rPr>
                <w:rFonts w:ascii="Times New Roman" w:hAnsi="Times New Roman" w:cs="Times New Roman"/>
                <w:sz w:val="20"/>
                <w:szCs w:val="20"/>
              </w:rPr>
              <w:t>Land Mask</w:t>
            </w:r>
          </w:p>
        </w:tc>
        <w:tc>
          <w:tcPr>
            <w:tcW w:w="1082" w:type="pct"/>
            <w:vAlign w:val="center"/>
          </w:tcPr>
          <w:p w14:paraId="3095BF9A" w14:textId="77777777" w:rsidR="007C4AC7" w:rsidRPr="00B14DD0" w:rsidRDefault="007C4AC7" w:rsidP="00B14DD0">
            <w:pPr>
              <w:spacing w:line="480" w:lineRule="auto"/>
              <w:rPr>
                <w:rFonts w:ascii="Times New Roman" w:hAnsi="Times New Roman" w:cs="Times New Roman"/>
                <w:sz w:val="20"/>
                <w:szCs w:val="20"/>
              </w:rPr>
            </w:pPr>
            <w:hyperlink r:id="rId8" w:history="1">
              <w:r w:rsidRPr="00B14DD0">
                <w:rPr>
                  <w:rStyle w:val="Hyperlink"/>
                  <w:rFonts w:ascii="Times New Roman" w:hAnsi="Times New Roman" w:cs="Times New Roman"/>
                  <w:sz w:val="20"/>
                  <w:szCs w:val="20"/>
                </w:rPr>
                <w:t>https://www.abs.gov.au/statistics/standards/australian-statistical-geography-standard-asgs-edition-3/jul2021-jun2026/access-and-downloads/digital-boundary-files</w:t>
              </w:r>
            </w:hyperlink>
          </w:p>
          <w:p w14:paraId="7BE43CED" w14:textId="641F7A69" w:rsidR="007C4AC7" w:rsidRPr="00B14DD0" w:rsidRDefault="007C4AC7"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Accessed 28 September 2025</w:t>
            </w:r>
          </w:p>
        </w:tc>
      </w:tr>
      <w:tr w:rsidR="007C4AC7" w:rsidRPr="00B14DD0" w14:paraId="498C27F6" w14:textId="77777777" w:rsidTr="00741B9A">
        <w:trPr>
          <w:trHeight w:val="386"/>
        </w:trPr>
        <w:tc>
          <w:tcPr>
            <w:tcW w:w="1283" w:type="pct"/>
            <w:noWrap/>
            <w:vAlign w:val="center"/>
            <w:hideMark/>
          </w:tcPr>
          <w:p w14:paraId="5B94A872" w14:textId="77777777" w:rsidR="007C4AC7" w:rsidRPr="00B14DD0" w:rsidRDefault="007C4AC7"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lastRenderedPageBreak/>
              <w:t>HY_WATER_AREA_POLYGON</w:t>
            </w:r>
          </w:p>
        </w:tc>
        <w:tc>
          <w:tcPr>
            <w:tcW w:w="675" w:type="pct"/>
            <w:noWrap/>
            <w:vAlign w:val="center"/>
            <w:hideMark/>
          </w:tcPr>
          <w:p w14:paraId="710F0077" w14:textId="77777777" w:rsidR="007C4AC7" w:rsidRPr="00B14DD0" w:rsidRDefault="007C4AC7" w:rsidP="00B14DD0">
            <w:pPr>
              <w:spacing w:line="480" w:lineRule="auto"/>
              <w:jc w:val="center"/>
              <w:rPr>
                <w:rFonts w:ascii="Times New Roman" w:hAnsi="Times New Roman" w:cs="Times New Roman"/>
                <w:i/>
                <w:iCs/>
                <w:sz w:val="20"/>
                <w:szCs w:val="20"/>
              </w:rPr>
            </w:pPr>
            <w:r w:rsidRPr="00B14DD0">
              <w:rPr>
                <w:rFonts w:ascii="Times New Roman" w:hAnsi="Times New Roman" w:cs="Times New Roman"/>
                <w:i/>
                <w:iCs/>
                <w:sz w:val="20"/>
                <w:szCs w:val="20"/>
              </w:rPr>
              <w:t>Department of Transport and Planning</w:t>
            </w:r>
          </w:p>
        </w:tc>
        <w:tc>
          <w:tcPr>
            <w:tcW w:w="608" w:type="pct"/>
            <w:vAlign w:val="center"/>
          </w:tcPr>
          <w:p w14:paraId="6791DA60" w14:textId="77777777" w:rsidR="007C4AC7" w:rsidRPr="00B14DD0" w:rsidRDefault="007C4AC7" w:rsidP="00B14DD0">
            <w:pPr>
              <w:spacing w:line="480" w:lineRule="auto"/>
              <w:jc w:val="center"/>
              <w:rPr>
                <w:rFonts w:ascii="Times New Roman" w:hAnsi="Times New Roman" w:cs="Times New Roman"/>
                <w:sz w:val="20"/>
                <w:szCs w:val="20"/>
              </w:rPr>
            </w:pPr>
            <w:r w:rsidRPr="00B14DD0">
              <w:rPr>
                <w:rFonts w:ascii="Times New Roman" w:hAnsi="Times New Roman" w:cs="Times New Roman"/>
                <w:sz w:val="20"/>
                <w:szCs w:val="20"/>
              </w:rPr>
              <w:t>WFS</w:t>
            </w:r>
          </w:p>
        </w:tc>
        <w:tc>
          <w:tcPr>
            <w:tcW w:w="1352" w:type="pct"/>
            <w:vAlign w:val="center"/>
          </w:tcPr>
          <w:p w14:paraId="50E8796F" w14:textId="5EA04C28" w:rsidR="007C4AC7" w:rsidRPr="00B14DD0" w:rsidRDefault="007C4AC7"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This was a level of detail missing from the source dataset </w:t>
            </w:r>
            <w:proofErr w:type="gramStart"/>
            <w:r w:rsidRPr="00B14DD0">
              <w:rPr>
                <w:rFonts w:ascii="Times New Roman" w:hAnsi="Times New Roman" w:cs="Times New Roman"/>
                <w:sz w:val="20"/>
                <w:szCs w:val="20"/>
              </w:rPr>
              <w:t>( VMLITE</w:t>
            </w:r>
            <w:proofErr w:type="gramEnd"/>
            <w:r w:rsidRPr="00B14DD0">
              <w:rPr>
                <w:rFonts w:ascii="Times New Roman" w:hAnsi="Times New Roman" w:cs="Times New Roman"/>
                <w:sz w:val="20"/>
                <w:szCs w:val="20"/>
              </w:rPr>
              <w:t>_VICTORIA_POLYGON_SU5) that immediately created issues with occurrences in inlets and estuaries. This dataset was filtered using:</w:t>
            </w:r>
            <w:r w:rsidRPr="00B14DD0">
              <w:rPr>
                <w:rFonts w:ascii="Times New Roman" w:hAnsi="Times New Roman" w:cs="Times New Roman"/>
                <w:sz w:val="20"/>
                <w:szCs w:val="20"/>
              </w:rPr>
              <w:br/>
            </w:r>
            <w:r w:rsidRPr="00B14DD0">
              <w:rPr>
                <w:rFonts w:ascii="Times New Roman" w:hAnsi="Times New Roman" w:cs="Times New Roman"/>
                <w:i/>
                <w:iCs/>
                <w:sz w:val="20"/>
                <w:szCs w:val="20"/>
              </w:rPr>
              <w:t xml:space="preserve"> </w:t>
            </w:r>
            <w:proofErr w:type="spellStart"/>
            <w:r w:rsidRPr="00B14DD0">
              <w:rPr>
                <w:rFonts w:ascii="Times New Roman" w:hAnsi="Times New Roman" w:cs="Times New Roman"/>
                <w:i/>
                <w:iCs/>
                <w:sz w:val="20"/>
                <w:szCs w:val="20"/>
              </w:rPr>
              <w:t>feature_type_code</w:t>
            </w:r>
            <w:proofErr w:type="spellEnd"/>
            <w:r w:rsidRPr="00B14DD0">
              <w:rPr>
                <w:rFonts w:ascii="Times New Roman" w:hAnsi="Times New Roman" w:cs="Times New Roman"/>
                <w:i/>
                <w:iCs/>
                <w:sz w:val="20"/>
                <w:szCs w:val="20"/>
              </w:rPr>
              <w:t xml:space="preserve"> in ['</w:t>
            </w:r>
            <w:proofErr w:type="spellStart"/>
            <w:r w:rsidRPr="00B14DD0">
              <w:rPr>
                <w:rFonts w:ascii="Times New Roman" w:hAnsi="Times New Roman" w:cs="Times New Roman"/>
                <w:i/>
                <w:iCs/>
                <w:sz w:val="20"/>
                <w:szCs w:val="20"/>
              </w:rPr>
              <w:t>wb_lake_salt</w:t>
            </w:r>
            <w:proofErr w:type="spellEnd"/>
            <w:r w:rsidRPr="00B14DD0">
              <w:rPr>
                <w:rFonts w:ascii="Times New Roman" w:hAnsi="Times New Roman" w:cs="Times New Roman"/>
                <w:i/>
                <w:iCs/>
                <w:sz w:val="20"/>
                <w:szCs w:val="20"/>
              </w:rPr>
              <w:t>', '</w:t>
            </w:r>
            <w:proofErr w:type="spellStart"/>
            <w:r w:rsidRPr="00B14DD0">
              <w:rPr>
                <w:rFonts w:ascii="Times New Roman" w:hAnsi="Times New Roman" w:cs="Times New Roman"/>
                <w:i/>
                <w:iCs/>
                <w:sz w:val="20"/>
                <w:szCs w:val="20"/>
              </w:rPr>
              <w:t>watercourse_area_river</w:t>
            </w:r>
            <w:proofErr w:type="spellEnd"/>
            <w:r w:rsidRPr="00B14DD0">
              <w:rPr>
                <w:rFonts w:ascii="Times New Roman" w:hAnsi="Times New Roman" w:cs="Times New Roman"/>
                <w:i/>
                <w:iCs/>
                <w:sz w:val="20"/>
                <w:szCs w:val="20"/>
              </w:rPr>
              <w:t>']</w:t>
            </w:r>
            <w:r w:rsidRPr="00B14DD0">
              <w:rPr>
                <w:rFonts w:ascii="Times New Roman" w:hAnsi="Times New Roman" w:cs="Times New Roman"/>
                <w:sz w:val="20"/>
                <w:szCs w:val="20"/>
              </w:rPr>
              <w:t xml:space="preserve"> </w:t>
            </w:r>
          </w:p>
          <w:p w14:paraId="61738C89" w14:textId="19A13CA5" w:rsidR="007C4AC7" w:rsidRPr="00B14DD0" w:rsidRDefault="007C4AC7"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 xml:space="preserve">Features of interest were identified and manually added into the Land Mask. </w:t>
            </w:r>
          </w:p>
        </w:tc>
        <w:tc>
          <w:tcPr>
            <w:tcW w:w="1082" w:type="pct"/>
            <w:vAlign w:val="center"/>
          </w:tcPr>
          <w:p w14:paraId="3135360B" w14:textId="77777777" w:rsidR="007C4AC7" w:rsidRPr="00B14DD0" w:rsidRDefault="007C4AC7" w:rsidP="00B14DD0">
            <w:pPr>
              <w:spacing w:line="480" w:lineRule="auto"/>
              <w:rPr>
                <w:rFonts w:ascii="Times New Roman" w:hAnsi="Times New Roman" w:cs="Times New Roman"/>
                <w:sz w:val="20"/>
                <w:szCs w:val="20"/>
              </w:rPr>
            </w:pPr>
            <w:hyperlink r:id="rId9" w:history="1">
              <w:r w:rsidRPr="00B14DD0">
                <w:rPr>
                  <w:rStyle w:val="Hyperlink"/>
                  <w:rFonts w:ascii="Times New Roman" w:hAnsi="Times New Roman" w:cs="Times New Roman"/>
                  <w:sz w:val="20"/>
                  <w:szCs w:val="20"/>
                </w:rPr>
                <w:t>https://discover.data.vic.gov.au/dataset/vicmap-hydro</w:t>
              </w:r>
            </w:hyperlink>
          </w:p>
          <w:p w14:paraId="61670DE0" w14:textId="056A8447" w:rsidR="007C4AC7" w:rsidRPr="00B14DD0" w:rsidRDefault="007C4AC7" w:rsidP="00B14DD0">
            <w:pPr>
              <w:spacing w:line="480" w:lineRule="auto"/>
              <w:rPr>
                <w:rFonts w:ascii="Times New Roman" w:hAnsi="Times New Roman" w:cs="Times New Roman"/>
                <w:sz w:val="20"/>
                <w:szCs w:val="20"/>
              </w:rPr>
            </w:pPr>
            <w:r w:rsidRPr="00B14DD0">
              <w:rPr>
                <w:rFonts w:ascii="Times New Roman" w:hAnsi="Times New Roman" w:cs="Times New Roman"/>
                <w:sz w:val="20"/>
                <w:szCs w:val="20"/>
              </w:rPr>
              <w:t>Accessed 28 September 2025</w:t>
            </w:r>
          </w:p>
        </w:tc>
      </w:tr>
    </w:tbl>
    <w:p w14:paraId="084EA4DA" w14:textId="77777777" w:rsidR="004213D7" w:rsidRPr="00B14DD0" w:rsidRDefault="004213D7"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br/>
      </w:r>
    </w:p>
    <w:p w14:paraId="27688228" w14:textId="77777777" w:rsidR="004213D7" w:rsidRPr="00B14DD0" w:rsidRDefault="004213D7" w:rsidP="00B14DD0">
      <w:pPr>
        <w:spacing w:line="480" w:lineRule="auto"/>
        <w:rPr>
          <w:rFonts w:ascii="Times New Roman" w:hAnsi="Times New Roman" w:cs="Times New Roman"/>
          <w:b/>
          <w:bCs/>
          <w:sz w:val="20"/>
          <w:szCs w:val="20"/>
        </w:rPr>
      </w:pPr>
    </w:p>
    <w:p w14:paraId="53FA58F5" w14:textId="77777777" w:rsidR="004213D7" w:rsidRPr="00B14DD0" w:rsidRDefault="004213D7" w:rsidP="00B14DD0">
      <w:pPr>
        <w:spacing w:line="480" w:lineRule="auto"/>
        <w:rPr>
          <w:rFonts w:ascii="Times New Roman" w:hAnsi="Times New Roman" w:cs="Times New Roman"/>
          <w:b/>
          <w:bCs/>
          <w:sz w:val="20"/>
          <w:szCs w:val="20"/>
        </w:rPr>
      </w:pPr>
    </w:p>
    <w:p w14:paraId="45B8EE3D" w14:textId="77777777" w:rsidR="004213D7" w:rsidRPr="00B14DD0" w:rsidRDefault="004213D7" w:rsidP="00B14DD0">
      <w:pPr>
        <w:spacing w:line="480" w:lineRule="auto"/>
        <w:rPr>
          <w:rFonts w:ascii="Times New Roman" w:hAnsi="Times New Roman" w:cs="Times New Roman"/>
          <w:b/>
          <w:bCs/>
          <w:sz w:val="20"/>
          <w:szCs w:val="20"/>
        </w:rPr>
      </w:pPr>
    </w:p>
    <w:p w14:paraId="073BEA37" w14:textId="77777777" w:rsidR="004213D7" w:rsidRPr="00B14DD0" w:rsidRDefault="004213D7" w:rsidP="00B14DD0">
      <w:pPr>
        <w:spacing w:line="480" w:lineRule="auto"/>
        <w:rPr>
          <w:rFonts w:ascii="Times New Roman" w:hAnsi="Times New Roman" w:cs="Times New Roman"/>
          <w:b/>
          <w:bCs/>
          <w:sz w:val="20"/>
          <w:szCs w:val="20"/>
        </w:rPr>
      </w:pPr>
    </w:p>
    <w:bookmarkEnd w:id="0"/>
    <w:p w14:paraId="3B7D6205" w14:textId="63C107DF" w:rsidR="004213D7" w:rsidRPr="00B14DD0" w:rsidRDefault="004213D7"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br w:type="page"/>
      </w:r>
    </w:p>
    <w:p w14:paraId="170969D5" w14:textId="4B7481C5" w:rsidR="0048657F" w:rsidRPr="00B14DD0" w:rsidRDefault="00112336"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lastRenderedPageBreak/>
        <w:t>R</w:t>
      </w:r>
      <w:r w:rsidR="00EF7378" w:rsidRPr="00B14DD0">
        <w:rPr>
          <w:rFonts w:ascii="Times New Roman" w:hAnsi="Times New Roman" w:cs="Times New Roman"/>
          <w:b/>
          <w:bCs/>
          <w:sz w:val="20"/>
          <w:szCs w:val="20"/>
        </w:rPr>
        <w:t>eferences</w:t>
      </w:r>
    </w:p>
    <w:p w14:paraId="453C42C3" w14:textId="77777777" w:rsidR="00392101" w:rsidRPr="00B14DD0" w:rsidRDefault="00EF7378"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sz w:val="20"/>
          <w:szCs w:val="20"/>
        </w:rPr>
        <w:fldChar w:fldCharType="begin"/>
      </w:r>
      <w:r w:rsidR="00392101" w:rsidRPr="00B14DD0">
        <w:rPr>
          <w:rFonts w:ascii="Times New Roman" w:hAnsi="Times New Roman" w:cs="Times New Roman"/>
          <w:sz w:val="20"/>
          <w:szCs w:val="20"/>
        </w:rPr>
        <w:instrText xml:space="preserve"> ADDIN ZOTERO_BIBL {"uncited":[["http://zotero.org/users/3905390/items/TWATDEMX"],["http://zotero.org/users/3905390/items/LTZTRVX4"]],"omitted":[],"custom":[]} CSL_BIBLIOGRAPHY </w:instrText>
      </w:r>
      <w:r w:rsidRPr="00B14DD0">
        <w:rPr>
          <w:rFonts w:ascii="Times New Roman" w:hAnsi="Times New Roman" w:cs="Times New Roman"/>
          <w:sz w:val="20"/>
          <w:szCs w:val="20"/>
        </w:rPr>
        <w:fldChar w:fldCharType="separate"/>
      </w:r>
      <w:r w:rsidR="00392101" w:rsidRPr="00B14DD0">
        <w:rPr>
          <w:rFonts w:ascii="Times New Roman" w:hAnsi="Times New Roman" w:cs="Times New Roman"/>
          <w:kern w:val="0"/>
          <w:sz w:val="20"/>
          <w:szCs w:val="20"/>
        </w:rPr>
        <w:t>Australian Bureau of Statistics. 2021. ‘AUS_2021_AUST_GDA2020’. Digital boundary files [shapefile]. In Australian Statistical Geography Standard (ASGS) Edition 3 (2021–2026). https://www.abs.gov.au/statistics/standards/australian-statistical-geography-standard-asgs-edition-3/jul2021-jun2026/access-and-downloads/digital-boundary-files.</w:t>
      </w:r>
    </w:p>
    <w:p w14:paraId="33DA172B"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 xml:space="preserve">Baselga, Andrés. 2010. ‘Partitioning the Turnover and Nestedness Components of Beta Diversity’. </w:t>
      </w:r>
      <w:r w:rsidRPr="00B14DD0">
        <w:rPr>
          <w:rFonts w:ascii="Times New Roman" w:hAnsi="Times New Roman" w:cs="Times New Roman"/>
          <w:i/>
          <w:iCs/>
          <w:kern w:val="0"/>
          <w:sz w:val="20"/>
          <w:szCs w:val="20"/>
        </w:rPr>
        <w:t>Global Ecology and Biogeography</w:t>
      </w:r>
      <w:r w:rsidRPr="00B14DD0">
        <w:rPr>
          <w:rFonts w:ascii="Times New Roman" w:hAnsi="Times New Roman" w:cs="Times New Roman"/>
          <w:kern w:val="0"/>
          <w:sz w:val="20"/>
          <w:szCs w:val="20"/>
        </w:rPr>
        <w:t xml:space="preserve"> 19 (1): 134–43. https://doi.org/10.1111/j.1466-8238.2009.00490.x.</w:t>
      </w:r>
    </w:p>
    <w:p w14:paraId="50B7AEC7"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 xml:space="preserve">Baselga, Andrés, and C. David L. Orme. 2012. ‘Betapart: An R Package for the Study of Beta Diversity’. </w:t>
      </w:r>
      <w:r w:rsidRPr="00B14DD0">
        <w:rPr>
          <w:rFonts w:ascii="Times New Roman" w:hAnsi="Times New Roman" w:cs="Times New Roman"/>
          <w:i/>
          <w:iCs/>
          <w:kern w:val="0"/>
          <w:sz w:val="20"/>
          <w:szCs w:val="20"/>
        </w:rPr>
        <w:t>Methods in Ecology and Evolution</w:t>
      </w:r>
      <w:r w:rsidRPr="00B14DD0">
        <w:rPr>
          <w:rFonts w:ascii="Times New Roman" w:hAnsi="Times New Roman" w:cs="Times New Roman"/>
          <w:kern w:val="0"/>
          <w:sz w:val="20"/>
          <w:szCs w:val="20"/>
        </w:rPr>
        <w:t xml:space="preserve"> 3 (5): 808–12. https://doi.org/10.1111/j.2041-210X.2012.00224.x.</w:t>
      </w:r>
    </w:p>
    <w:p w14:paraId="31B8E02F"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 xml:space="preserve">Chapman, Arthur, and John Wieczorek. 2020. </w:t>
      </w:r>
      <w:r w:rsidRPr="00B14DD0">
        <w:rPr>
          <w:rFonts w:ascii="Times New Roman" w:hAnsi="Times New Roman" w:cs="Times New Roman"/>
          <w:i/>
          <w:iCs/>
          <w:kern w:val="0"/>
          <w:sz w:val="20"/>
          <w:szCs w:val="20"/>
        </w:rPr>
        <w:t>Georeferencing Best Practices</w:t>
      </w:r>
      <w:r w:rsidRPr="00B14DD0">
        <w:rPr>
          <w:rFonts w:ascii="Times New Roman" w:hAnsi="Times New Roman" w:cs="Times New Roman"/>
          <w:kern w:val="0"/>
          <w:sz w:val="20"/>
          <w:szCs w:val="20"/>
        </w:rPr>
        <w:t>. https://doi.org/10.15468/DOC-GG7H-S853.</w:t>
      </w:r>
    </w:p>
    <w:p w14:paraId="1C7D4763"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Department of Transport and Planning. 2024. ‘Vicmap Hydro’. WFS. https://discover.data.vic.gov.au/dataset/vicmap-hydro.</w:t>
      </w:r>
    </w:p>
    <w:p w14:paraId="0D28726A"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 xml:space="preserve">Fithian, William, Jane Elith, Trevor Hastie, and David A. Keith. 2015. ‘Bias Correction in Species Distribution Models: Pooling Survey and Collection Data for Multiple Species’. </w:t>
      </w:r>
      <w:r w:rsidRPr="00B14DD0">
        <w:rPr>
          <w:rFonts w:ascii="Times New Roman" w:hAnsi="Times New Roman" w:cs="Times New Roman"/>
          <w:i/>
          <w:iCs/>
          <w:kern w:val="0"/>
          <w:sz w:val="20"/>
          <w:szCs w:val="20"/>
        </w:rPr>
        <w:t>Methods in Ecology and Evolution</w:t>
      </w:r>
      <w:r w:rsidRPr="00B14DD0">
        <w:rPr>
          <w:rFonts w:ascii="Times New Roman" w:hAnsi="Times New Roman" w:cs="Times New Roman"/>
          <w:kern w:val="0"/>
          <w:sz w:val="20"/>
          <w:szCs w:val="20"/>
        </w:rPr>
        <w:t xml:space="preserve"> 6 (4): 424–38. https://doi.org/10.1111/2041-210X.12242.</w:t>
      </w:r>
    </w:p>
    <w:p w14:paraId="63BA10FE"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 xml:space="preserve">Phillips, Steven J., Miroslav Dudík, Jane Elith, et al. 2009. ‘Sample Selection Bias and Presence-Only Distribution Models: Implications for Background and Pseudo-Absence Data’. </w:t>
      </w:r>
      <w:r w:rsidRPr="00B14DD0">
        <w:rPr>
          <w:rFonts w:ascii="Times New Roman" w:hAnsi="Times New Roman" w:cs="Times New Roman"/>
          <w:i/>
          <w:iCs/>
          <w:kern w:val="0"/>
          <w:sz w:val="20"/>
          <w:szCs w:val="20"/>
        </w:rPr>
        <w:t>Ecological Applications</w:t>
      </w:r>
      <w:r w:rsidRPr="00B14DD0">
        <w:rPr>
          <w:rFonts w:ascii="Times New Roman" w:hAnsi="Times New Roman" w:cs="Times New Roman"/>
          <w:kern w:val="0"/>
          <w:sz w:val="20"/>
          <w:szCs w:val="20"/>
        </w:rPr>
        <w:t xml:space="preserve"> 19 (1): 181–97. https://doi.org/10.1890/07-2153.1.</w:t>
      </w:r>
    </w:p>
    <w:p w14:paraId="742ABADC" w14:textId="77777777" w:rsidR="00392101" w:rsidRPr="00B14DD0" w:rsidRDefault="00392101" w:rsidP="00B14DD0">
      <w:pPr>
        <w:pStyle w:val="Bibliography"/>
        <w:spacing w:line="480" w:lineRule="auto"/>
        <w:rPr>
          <w:rFonts w:ascii="Times New Roman" w:hAnsi="Times New Roman" w:cs="Times New Roman"/>
          <w:kern w:val="0"/>
          <w:sz w:val="20"/>
          <w:szCs w:val="20"/>
        </w:rPr>
      </w:pPr>
      <w:r w:rsidRPr="00B14DD0">
        <w:rPr>
          <w:rFonts w:ascii="Times New Roman" w:hAnsi="Times New Roman" w:cs="Times New Roman"/>
          <w:kern w:val="0"/>
          <w:sz w:val="20"/>
          <w:szCs w:val="20"/>
        </w:rPr>
        <w:t xml:space="preserve">Sørensen, Thorvald. 1948. </w:t>
      </w:r>
      <w:r w:rsidRPr="00B14DD0">
        <w:rPr>
          <w:rFonts w:ascii="Times New Roman" w:hAnsi="Times New Roman" w:cs="Times New Roman"/>
          <w:i/>
          <w:iCs/>
          <w:kern w:val="0"/>
          <w:sz w:val="20"/>
          <w:szCs w:val="20"/>
        </w:rPr>
        <w:t>A Method of Establishing Groups of Equal Amplitude in Plant Sociology Based on Similarity of Species Content: And Its Application to Analyses of the Vegetation on Danish Commons</w:t>
      </w:r>
      <w:r w:rsidRPr="00B14DD0">
        <w:rPr>
          <w:rFonts w:ascii="Times New Roman" w:hAnsi="Times New Roman" w:cs="Times New Roman"/>
          <w:kern w:val="0"/>
          <w:sz w:val="20"/>
          <w:szCs w:val="20"/>
        </w:rPr>
        <w:t>. Munksgaard in Komm.</w:t>
      </w:r>
    </w:p>
    <w:p w14:paraId="511852F2" w14:textId="522B398D" w:rsidR="00112336" w:rsidRPr="00B14DD0" w:rsidRDefault="00EF7378" w:rsidP="00B14DD0">
      <w:pPr>
        <w:spacing w:line="480" w:lineRule="auto"/>
        <w:rPr>
          <w:rFonts w:ascii="Times New Roman" w:hAnsi="Times New Roman" w:cs="Times New Roman"/>
          <w:b/>
          <w:bCs/>
          <w:sz w:val="20"/>
          <w:szCs w:val="20"/>
        </w:rPr>
      </w:pPr>
      <w:r w:rsidRPr="00B14DD0">
        <w:rPr>
          <w:rFonts w:ascii="Times New Roman" w:hAnsi="Times New Roman" w:cs="Times New Roman"/>
          <w:b/>
          <w:bCs/>
          <w:sz w:val="20"/>
          <w:szCs w:val="20"/>
        </w:rPr>
        <w:fldChar w:fldCharType="end"/>
      </w:r>
    </w:p>
    <w:sectPr w:rsidR="00112336" w:rsidRPr="00B14D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8CB64" w14:textId="77777777" w:rsidR="00480E02" w:rsidRDefault="00480E02" w:rsidP="00627299">
      <w:pPr>
        <w:spacing w:after="0" w:line="240" w:lineRule="auto"/>
      </w:pPr>
      <w:r>
        <w:separator/>
      </w:r>
    </w:p>
  </w:endnote>
  <w:endnote w:type="continuationSeparator" w:id="0">
    <w:p w14:paraId="768CE8E4" w14:textId="77777777" w:rsidR="00480E02" w:rsidRDefault="00480E02" w:rsidP="00627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13C57" w14:textId="77777777" w:rsidR="00480E02" w:rsidRDefault="00480E02" w:rsidP="00627299">
      <w:pPr>
        <w:spacing w:after="0" w:line="240" w:lineRule="auto"/>
      </w:pPr>
      <w:r>
        <w:separator/>
      </w:r>
    </w:p>
  </w:footnote>
  <w:footnote w:type="continuationSeparator" w:id="0">
    <w:p w14:paraId="29F48146" w14:textId="77777777" w:rsidR="00480E02" w:rsidRDefault="00480E02" w:rsidP="006272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5E68"/>
    <w:multiLevelType w:val="hybridMultilevel"/>
    <w:tmpl w:val="177C36C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BA2BAE"/>
    <w:multiLevelType w:val="multilevel"/>
    <w:tmpl w:val="E920F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6A099B"/>
    <w:multiLevelType w:val="hybridMultilevel"/>
    <w:tmpl w:val="13E237C2"/>
    <w:lvl w:ilvl="0" w:tplc="E1505256">
      <w:start w:val="1"/>
      <w:numFmt w:val="bullet"/>
      <w:lvlText w:val="-"/>
      <w:lvlJc w:val="left"/>
      <w:pPr>
        <w:ind w:left="720" w:hanging="360"/>
      </w:pPr>
      <w:rPr>
        <w:rFonts w:ascii="Aptos" w:eastAsiaTheme="minorHAnsi" w:hAnsi="Aptos" w:cstheme="minorBidi" w:hint="default"/>
        <w:b/>
        <w:i/>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626685"/>
    <w:multiLevelType w:val="hybridMultilevel"/>
    <w:tmpl w:val="926CBAF4"/>
    <w:lvl w:ilvl="0" w:tplc="A7724424">
      <w:start w:val="3"/>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9541992">
    <w:abstractNumId w:val="0"/>
  </w:num>
  <w:num w:numId="2" w16cid:durableId="1862695484">
    <w:abstractNumId w:val="1"/>
  </w:num>
  <w:num w:numId="3" w16cid:durableId="1092505066">
    <w:abstractNumId w:val="3"/>
  </w:num>
  <w:num w:numId="4" w16cid:durableId="2041317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B7"/>
    <w:rsid w:val="00016992"/>
    <w:rsid w:val="0006378A"/>
    <w:rsid w:val="0008602E"/>
    <w:rsid w:val="00087EA5"/>
    <w:rsid w:val="000D3FC0"/>
    <w:rsid w:val="000E39EA"/>
    <w:rsid w:val="00112336"/>
    <w:rsid w:val="00143C07"/>
    <w:rsid w:val="00147E6D"/>
    <w:rsid w:val="00160015"/>
    <w:rsid w:val="001A61B7"/>
    <w:rsid w:val="001E4B55"/>
    <w:rsid w:val="00233F68"/>
    <w:rsid w:val="00251FDB"/>
    <w:rsid w:val="0025778C"/>
    <w:rsid w:val="002C0BD9"/>
    <w:rsid w:val="00355662"/>
    <w:rsid w:val="00392101"/>
    <w:rsid w:val="003D1D4B"/>
    <w:rsid w:val="003D66A1"/>
    <w:rsid w:val="003F1EAA"/>
    <w:rsid w:val="00412E3D"/>
    <w:rsid w:val="00412F62"/>
    <w:rsid w:val="004213D7"/>
    <w:rsid w:val="00424BC6"/>
    <w:rsid w:val="00433C37"/>
    <w:rsid w:val="0045292E"/>
    <w:rsid w:val="004572D4"/>
    <w:rsid w:val="00480E02"/>
    <w:rsid w:val="0048657F"/>
    <w:rsid w:val="004B2FBD"/>
    <w:rsid w:val="004C79B0"/>
    <w:rsid w:val="004E314A"/>
    <w:rsid w:val="004E7C5F"/>
    <w:rsid w:val="00526A89"/>
    <w:rsid w:val="00597DC4"/>
    <w:rsid w:val="005B032D"/>
    <w:rsid w:val="005B1E3A"/>
    <w:rsid w:val="005B4045"/>
    <w:rsid w:val="006132D4"/>
    <w:rsid w:val="00627299"/>
    <w:rsid w:val="00637566"/>
    <w:rsid w:val="006552B6"/>
    <w:rsid w:val="00656595"/>
    <w:rsid w:val="006C4006"/>
    <w:rsid w:val="00741B9A"/>
    <w:rsid w:val="00762C06"/>
    <w:rsid w:val="007B7D38"/>
    <w:rsid w:val="007C4AC7"/>
    <w:rsid w:val="00827129"/>
    <w:rsid w:val="00842E1F"/>
    <w:rsid w:val="009114B4"/>
    <w:rsid w:val="00912A48"/>
    <w:rsid w:val="0094138A"/>
    <w:rsid w:val="009A3B52"/>
    <w:rsid w:val="009B2425"/>
    <w:rsid w:val="00A1124B"/>
    <w:rsid w:val="00A1244A"/>
    <w:rsid w:val="00A43BBE"/>
    <w:rsid w:val="00A57BEC"/>
    <w:rsid w:val="00A64BA2"/>
    <w:rsid w:val="00A96FA3"/>
    <w:rsid w:val="00AC7EF0"/>
    <w:rsid w:val="00AE4B44"/>
    <w:rsid w:val="00AF138F"/>
    <w:rsid w:val="00B14DD0"/>
    <w:rsid w:val="00B1788C"/>
    <w:rsid w:val="00BF5D2E"/>
    <w:rsid w:val="00BF7B81"/>
    <w:rsid w:val="00C14484"/>
    <w:rsid w:val="00C22819"/>
    <w:rsid w:val="00C96B0C"/>
    <w:rsid w:val="00CA19D2"/>
    <w:rsid w:val="00D248B8"/>
    <w:rsid w:val="00D775B2"/>
    <w:rsid w:val="00D863DA"/>
    <w:rsid w:val="00E03793"/>
    <w:rsid w:val="00E15BF8"/>
    <w:rsid w:val="00E66D74"/>
    <w:rsid w:val="00EC06F0"/>
    <w:rsid w:val="00EF7378"/>
    <w:rsid w:val="00F50E13"/>
    <w:rsid w:val="00FC4711"/>
    <w:rsid w:val="00FD60E2"/>
    <w:rsid w:val="3397785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C661C8"/>
  <w15:chartTrackingRefBased/>
  <w15:docId w15:val="{6591BC2F-17A2-4455-96F3-E71F289DD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1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1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1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1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1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1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1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1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1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1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1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1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1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1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1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1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1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1B7"/>
    <w:rPr>
      <w:rFonts w:eastAsiaTheme="majorEastAsia" w:cstheme="majorBidi"/>
      <w:color w:val="272727" w:themeColor="text1" w:themeTint="D8"/>
    </w:rPr>
  </w:style>
  <w:style w:type="paragraph" w:styleId="Title">
    <w:name w:val="Title"/>
    <w:basedOn w:val="Normal"/>
    <w:next w:val="Normal"/>
    <w:link w:val="TitleChar"/>
    <w:uiPriority w:val="10"/>
    <w:qFormat/>
    <w:rsid w:val="001A61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1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1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1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1B7"/>
    <w:pPr>
      <w:spacing w:before="160"/>
      <w:jc w:val="center"/>
    </w:pPr>
    <w:rPr>
      <w:i/>
      <w:iCs/>
      <w:color w:val="404040" w:themeColor="text1" w:themeTint="BF"/>
    </w:rPr>
  </w:style>
  <w:style w:type="character" w:customStyle="1" w:styleId="QuoteChar">
    <w:name w:val="Quote Char"/>
    <w:basedOn w:val="DefaultParagraphFont"/>
    <w:link w:val="Quote"/>
    <w:uiPriority w:val="29"/>
    <w:rsid w:val="001A61B7"/>
    <w:rPr>
      <w:i/>
      <w:iCs/>
      <w:color w:val="404040" w:themeColor="text1" w:themeTint="BF"/>
    </w:rPr>
  </w:style>
  <w:style w:type="paragraph" w:styleId="ListParagraph">
    <w:name w:val="List Paragraph"/>
    <w:basedOn w:val="Normal"/>
    <w:uiPriority w:val="34"/>
    <w:qFormat/>
    <w:rsid w:val="001A61B7"/>
    <w:pPr>
      <w:ind w:left="720"/>
      <w:contextualSpacing/>
    </w:pPr>
  </w:style>
  <w:style w:type="character" w:styleId="IntenseEmphasis">
    <w:name w:val="Intense Emphasis"/>
    <w:basedOn w:val="DefaultParagraphFont"/>
    <w:uiPriority w:val="21"/>
    <w:qFormat/>
    <w:rsid w:val="001A61B7"/>
    <w:rPr>
      <w:i/>
      <w:iCs/>
      <w:color w:val="0F4761" w:themeColor="accent1" w:themeShade="BF"/>
    </w:rPr>
  </w:style>
  <w:style w:type="paragraph" w:styleId="IntenseQuote">
    <w:name w:val="Intense Quote"/>
    <w:basedOn w:val="Normal"/>
    <w:next w:val="Normal"/>
    <w:link w:val="IntenseQuoteChar"/>
    <w:uiPriority w:val="30"/>
    <w:qFormat/>
    <w:rsid w:val="001A61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1B7"/>
    <w:rPr>
      <w:i/>
      <w:iCs/>
      <w:color w:val="0F4761" w:themeColor="accent1" w:themeShade="BF"/>
    </w:rPr>
  </w:style>
  <w:style w:type="character" w:styleId="IntenseReference">
    <w:name w:val="Intense Reference"/>
    <w:basedOn w:val="DefaultParagraphFont"/>
    <w:uiPriority w:val="32"/>
    <w:qFormat/>
    <w:rsid w:val="001A61B7"/>
    <w:rPr>
      <w:b/>
      <w:bCs/>
      <w:smallCaps/>
      <w:color w:val="0F4761" w:themeColor="accent1" w:themeShade="BF"/>
      <w:spacing w:val="5"/>
    </w:rPr>
  </w:style>
  <w:style w:type="table" w:styleId="TableGrid">
    <w:name w:val="Table Grid"/>
    <w:basedOn w:val="TableNormal"/>
    <w:uiPriority w:val="39"/>
    <w:rsid w:val="00911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778C"/>
    <w:rPr>
      <w:color w:val="467886" w:themeColor="hyperlink"/>
      <w:u w:val="single"/>
    </w:rPr>
  </w:style>
  <w:style w:type="character" w:styleId="UnresolvedMention">
    <w:name w:val="Unresolved Mention"/>
    <w:basedOn w:val="DefaultParagraphFont"/>
    <w:uiPriority w:val="99"/>
    <w:semiHidden/>
    <w:unhideWhenUsed/>
    <w:rsid w:val="0025778C"/>
    <w:rPr>
      <w:color w:val="605E5C"/>
      <w:shd w:val="clear" w:color="auto" w:fill="E1DFDD"/>
    </w:rPr>
  </w:style>
  <w:style w:type="paragraph" w:styleId="NormalWeb">
    <w:name w:val="Normal (Web)"/>
    <w:basedOn w:val="Normal"/>
    <w:uiPriority w:val="99"/>
    <w:semiHidden/>
    <w:unhideWhenUsed/>
    <w:rsid w:val="00C22819"/>
    <w:rPr>
      <w:rFonts w:ascii="Times New Roman" w:hAnsi="Times New Roman" w:cs="Times New Roman"/>
    </w:rPr>
  </w:style>
  <w:style w:type="character" w:styleId="CommentReference">
    <w:name w:val="annotation reference"/>
    <w:basedOn w:val="DefaultParagraphFont"/>
    <w:uiPriority w:val="99"/>
    <w:semiHidden/>
    <w:unhideWhenUsed/>
    <w:rsid w:val="00A1244A"/>
    <w:rPr>
      <w:sz w:val="16"/>
      <w:szCs w:val="16"/>
    </w:rPr>
  </w:style>
  <w:style w:type="paragraph" w:styleId="CommentText">
    <w:name w:val="annotation text"/>
    <w:basedOn w:val="Normal"/>
    <w:link w:val="CommentTextChar"/>
    <w:uiPriority w:val="99"/>
    <w:unhideWhenUsed/>
    <w:rsid w:val="00A1244A"/>
    <w:pPr>
      <w:spacing w:line="240" w:lineRule="auto"/>
    </w:pPr>
    <w:rPr>
      <w:sz w:val="20"/>
      <w:szCs w:val="20"/>
    </w:rPr>
  </w:style>
  <w:style w:type="character" w:customStyle="1" w:styleId="CommentTextChar">
    <w:name w:val="Comment Text Char"/>
    <w:basedOn w:val="DefaultParagraphFont"/>
    <w:link w:val="CommentText"/>
    <w:uiPriority w:val="99"/>
    <w:rsid w:val="00A1244A"/>
    <w:rPr>
      <w:sz w:val="20"/>
      <w:szCs w:val="20"/>
    </w:rPr>
  </w:style>
  <w:style w:type="paragraph" w:styleId="CommentSubject">
    <w:name w:val="annotation subject"/>
    <w:basedOn w:val="CommentText"/>
    <w:next w:val="CommentText"/>
    <w:link w:val="CommentSubjectChar"/>
    <w:uiPriority w:val="99"/>
    <w:semiHidden/>
    <w:unhideWhenUsed/>
    <w:rsid w:val="00A1244A"/>
    <w:rPr>
      <w:b/>
      <w:bCs/>
    </w:rPr>
  </w:style>
  <w:style w:type="character" w:customStyle="1" w:styleId="CommentSubjectChar">
    <w:name w:val="Comment Subject Char"/>
    <w:basedOn w:val="CommentTextChar"/>
    <w:link w:val="CommentSubject"/>
    <w:uiPriority w:val="99"/>
    <w:semiHidden/>
    <w:rsid w:val="00A1244A"/>
    <w:rPr>
      <w:b/>
      <w:bCs/>
      <w:sz w:val="20"/>
      <w:szCs w:val="20"/>
    </w:rPr>
  </w:style>
  <w:style w:type="paragraph" w:styleId="Header">
    <w:name w:val="header"/>
    <w:basedOn w:val="Normal"/>
    <w:link w:val="HeaderChar"/>
    <w:uiPriority w:val="99"/>
    <w:unhideWhenUsed/>
    <w:rsid w:val="00627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7299"/>
  </w:style>
  <w:style w:type="paragraph" w:styleId="Footer">
    <w:name w:val="footer"/>
    <w:basedOn w:val="Normal"/>
    <w:link w:val="FooterChar"/>
    <w:uiPriority w:val="99"/>
    <w:unhideWhenUsed/>
    <w:rsid w:val="00627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7299"/>
  </w:style>
  <w:style w:type="paragraph" w:styleId="Caption">
    <w:name w:val="caption"/>
    <w:basedOn w:val="Normal"/>
    <w:next w:val="Normal"/>
    <w:uiPriority w:val="35"/>
    <w:unhideWhenUsed/>
    <w:qFormat/>
    <w:rsid w:val="00A57BEC"/>
    <w:pPr>
      <w:spacing w:after="200" w:line="240" w:lineRule="auto"/>
    </w:pPr>
    <w:rPr>
      <w:i/>
      <w:iCs/>
      <w:color w:val="0E2841" w:themeColor="text2"/>
      <w:sz w:val="18"/>
      <w:szCs w:val="18"/>
    </w:rPr>
  </w:style>
  <w:style w:type="paragraph" w:styleId="Bibliography">
    <w:name w:val="Bibliography"/>
    <w:basedOn w:val="Normal"/>
    <w:next w:val="Normal"/>
    <w:uiPriority w:val="37"/>
    <w:unhideWhenUsed/>
    <w:rsid w:val="00EF7378"/>
    <w:pPr>
      <w:spacing w:after="240" w:line="24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s.gov.au/statistics/standards/australian-statistical-geography-standard-asgs-edition-3/jul2021-jun2026/access-and-downloads/digital-boundary-files" TargetMode="External"/><Relationship Id="rId3" Type="http://schemas.openxmlformats.org/officeDocument/2006/relationships/settings" Target="settings.xml"/><Relationship Id="rId7" Type="http://schemas.openxmlformats.org/officeDocument/2006/relationships/hyperlink" Target="https://discover.data.vic.gov.au/dataset/vicmap-lite-state-polygon-1-250000-to-1-2000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iscover.data.vic.gov.au/dataset/vicmap-hyd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1323671-cdbe-4417-b4d4-bdb24b51316b}" enabled="0" method="" siteId="{d1323671-cdbe-4417-b4d4-bdb24b51316b}" removed="1"/>
</clbl:labelList>
</file>

<file path=docProps/app.xml><?xml version="1.0" encoding="utf-8"?>
<Properties xmlns="http://schemas.openxmlformats.org/officeDocument/2006/extended-properties" xmlns:vt="http://schemas.openxmlformats.org/officeDocument/2006/docPropsVTypes">
  <Template>Normal</Template>
  <TotalTime>37</TotalTime>
  <Pages>7</Pages>
  <Words>3432</Words>
  <Characters>19567</Characters>
  <Application>Microsoft Office Word</Application>
  <DocSecurity>0</DocSecurity>
  <Lines>163</Lines>
  <Paragraphs>45</Paragraphs>
  <ScaleCrop>false</ScaleCrop>
  <Company/>
  <LinksUpToDate>false</LinksUpToDate>
  <CharactersWithSpaces>22954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Blades</dc:creator>
  <cp:keywords/>
  <dc:description/>
  <cp:lastModifiedBy>Jemima Beddoe</cp:lastModifiedBy>
  <cp:revision>40</cp:revision>
  <dcterms:created xsi:type="dcterms:W3CDTF">2026-01-12T12:03:00Z</dcterms:created>
  <dcterms:modified xsi:type="dcterms:W3CDTF">2026-05-01T04:34:00Z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id="XkO5LaDz"/&gt;&lt;style id="http://www.zotero.org/styles/chicago-author-date" locale="en-GB"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