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C95" w:rsidRPr="00D25210" w:rsidRDefault="009A2C95" w:rsidP="009A2C95">
      <w:pPr>
        <w:pStyle w:val="Heading1"/>
        <w:spacing w:line="360" w:lineRule="auto"/>
        <w:rPr>
          <w:rFonts w:ascii="Times New Roman" w:hAnsi="Times New Roman" w:cs="Times New Roman"/>
          <w:b/>
          <w:bCs/>
          <w:color w:val="000000" w:themeColor="text1"/>
          <w:sz w:val="28"/>
          <w:szCs w:val="28"/>
        </w:rPr>
      </w:pPr>
      <w:r w:rsidRPr="00D25210">
        <w:rPr>
          <w:rFonts w:ascii="Times New Roman" w:hAnsi="Times New Roman" w:cs="Times New Roman"/>
          <w:b/>
          <w:bCs/>
          <w:color w:val="000000" w:themeColor="text1"/>
          <w:sz w:val="28"/>
          <w:szCs w:val="28"/>
        </w:rPr>
        <w:t>Supplement</w:t>
      </w:r>
      <w:bookmarkStart w:id="0" w:name="_GoBack"/>
      <w:bookmarkEnd w:id="0"/>
      <w:r w:rsidRPr="00D25210">
        <w:rPr>
          <w:rFonts w:ascii="Times New Roman" w:hAnsi="Times New Roman" w:cs="Times New Roman"/>
          <w:b/>
          <w:bCs/>
          <w:color w:val="000000" w:themeColor="text1"/>
          <w:sz w:val="28"/>
          <w:szCs w:val="28"/>
        </w:rPr>
        <w:t>ary Information</w:t>
      </w:r>
    </w:p>
    <w:p w:rsidR="009A2C95" w:rsidRPr="00D25210" w:rsidRDefault="009A2C95" w:rsidP="009A2C95">
      <w:pPr>
        <w:spacing w:line="360" w:lineRule="auto"/>
        <w:rPr>
          <w:rFonts w:ascii="Times New Roman" w:hAnsi="Times New Roman" w:cs="Times New Roman"/>
          <w:b/>
          <w:bCs/>
        </w:rPr>
      </w:pPr>
    </w:p>
    <w:p w:rsidR="009A2C95" w:rsidRPr="00D25210" w:rsidRDefault="009A2C95" w:rsidP="009A2C95">
      <w:pPr>
        <w:spacing w:line="360" w:lineRule="auto"/>
        <w:rPr>
          <w:rFonts w:ascii="Times New Roman" w:hAnsi="Times New Roman" w:cs="Times New Roman"/>
          <w:color w:val="000000" w:themeColor="text1"/>
        </w:rPr>
      </w:pPr>
      <w:r w:rsidRPr="00D25210">
        <w:rPr>
          <w:rFonts w:ascii="Times New Roman" w:hAnsi="Times New Roman" w:cs="Times New Roman"/>
          <w:noProof/>
          <w:color w:val="000000" w:themeColor="text1"/>
        </w:rPr>
        <w:drawing>
          <wp:inline distT="0" distB="0" distL="0" distR="0" wp14:anchorId="489810FD" wp14:editId="0CD0A596">
            <wp:extent cx="5228705" cy="253111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32463" cy="2532937"/>
                    </a:xfrm>
                    <a:prstGeom prst="rect">
                      <a:avLst/>
                    </a:prstGeom>
                  </pic:spPr>
                </pic:pic>
              </a:graphicData>
            </a:graphic>
          </wp:inline>
        </w:drawing>
      </w:r>
    </w:p>
    <w:p w:rsidR="009A2C95" w:rsidRPr="00D25210" w:rsidRDefault="009A2C95" w:rsidP="009A2C95">
      <w:pPr>
        <w:pStyle w:val="Heading3"/>
        <w:spacing w:line="360" w:lineRule="auto"/>
        <w:rPr>
          <w:rFonts w:ascii="Times New Roman" w:hAnsi="Times New Roman" w:cs="Times New Roman"/>
          <w:color w:val="000000" w:themeColor="text1"/>
        </w:rPr>
      </w:pPr>
      <w:r w:rsidRPr="00D25210">
        <w:rPr>
          <w:rFonts w:ascii="Times New Roman" w:hAnsi="Times New Roman" w:cs="Times New Roman"/>
          <w:b/>
          <w:bCs/>
          <w:color w:val="000000" w:themeColor="text1"/>
        </w:rPr>
        <w:t xml:space="preserve">Figure S1 </w:t>
      </w:r>
      <w:r w:rsidRPr="00D25210">
        <w:rPr>
          <w:rFonts w:ascii="Times New Roman" w:hAnsi="Times New Roman" w:cs="Times New Roman"/>
          <w:color w:val="000000" w:themeColor="text1"/>
        </w:rPr>
        <w:t xml:space="preserve">| Schematic depicting the workflow used in this study to individually learn soil organic carbon (SOC) from observations and process-based models, based on key predictors including net primary productivity (NPP), mean annual temperature (MAT), and soil texture (TEX), globally and within biomes. The predictability and role of each predictor was then compared among and between observation and model sources. </w:t>
      </w:r>
      <w:r w:rsidRPr="00D25210">
        <w:rPr>
          <w:rFonts w:ascii="Times New Roman" w:hAnsi="Times New Roman" w:cs="Times New Roman"/>
          <w:color w:val="000000" w:themeColor="text1"/>
        </w:rPr>
        <w:br w:type="page"/>
      </w:r>
    </w:p>
    <w:p w:rsidR="009A2C95" w:rsidRPr="00D25210" w:rsidRDefault="009A2C95" w:rsidP="009A2C95">
      <w:pPr>
        <w:spacing w:line="360" w:lineRule="auto"/>
        <w:rPr>
          <w:rFonts w:ascii="Times New Roman" w:hAnsi="Times New Roman" w:cs="Times New Roman"/>
          <w:color w:val="000000" w:themeColor="text1"/>
        </w:rPr>
      </w:pPr>
      <w:r w:rsidRPr="00D25210">
        <w:rPr>
          <w:rFonts w:ascii="Times New Roman" w:hAnsi="Times New Roman" w:cs="Times New Roman"/>
          <w:noProof/>
          <w:color w:val="000000" w:themeColor="text1"/>
        </w:rPr>
        <w:lastRenderedPageBreak/>
        <w:drawing>
          <wp:inline distT="0" distB="0" distL="0" distR="0" wp14:anchorId="3B6D1FA5" wp14:editId="6463C09A">
            <wp:extent cx="4613564" cy="2558162"/>
            <wp:effectExtent l="0" t="0" r="0" b="0"/>
            <wp:docPr id="26"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0F1F203-0A2D-1B4E-A4E1-2AE269CEC3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80F1F203-0A2D-1B4E-A4E1-2AE269CEC369}"/>
                        </a:ext>
                      </a:extLst>
                    </pic:cNvPr>
                    <pic:cNvPicPr>
                      <a:picLocks noChangeAspect="1"/>
                    </pic:cNvPicPr>
                  </pic:nvPicPr>
                  <pic:blipFill>
                    <a:blip r:embed="rId5"/>
                    <a:stretch>
                      <a:fillRect/>
                    </a:stretch>
                  </pic:blipFill>
                  <pic:spPr>
                    <a:xfrm>
                      <a:off x="0" y="0"/>
                      <a:ext cx="4644123" cy="2575107"/>
                    </a:xfrm>
                    <a:prstGeom prst="rect">
                      <a:avLst/>
                    </a:prstGeom>
                  </pic:spPr>
                </pic:pic>
              </a:graphicData>
            </a:graphic>
          </wp:inline>
        </w:drawing>
      </w:r>
    </w:p>
    <w:p w:rsidR="009A2C95" w:rsidRPr="00D25210" w:rsidRDefault="009A2C95" w:rsidP="009A2C95">
      <w:pPr>
        <w:pStyle w:val="Heading3"/>
        <w:spacing w:line="360" w:lineRule="auto"/>
        <w:rPr>
          <w:rFonts w:ascii="Times New Roman" w:hAnsi="Times New Roman" w:cs="Times New Roman"/>
          <w:color w:val="000000" w:themeColor="text1"/>
        </w:rPr>
      </w:pPr>
      <w:r w:rsidRPr="00D25210">
        <w:rPr>
          <w:rFonts w:ascii="Times New Roman" w:hAnsi="Times New Roman" w:cs="Times New Roman"/>
          <w:b/>
          <w:bCs/>
          <w:color w:val="000000" w:themeColor="text1"/>
        </w:rPr>
        <w:t>Figure S2 |</w:t>
      </w:r>
      <w:r w:rsidRPr="00D25210">
        <w:rPr>
          <w:rFonts w:ascii="Times New Roman" w:hAnsi="Times New Roman" w:cs="Times New Roman"/>
          <w:color w:val="000000" w:themeColor="text1"/>
        </w:rPr>
        <w:t xml:space="preserve"> Multivariate linear regression of soil organic carbon (SOC) as a function of soil texture (TEX), mean annual temperature (MAT), and net primary productivity (NPP) in observations (soil profiles and observational</w:t>
      </w:r>
      <w:r>
        <w:rPr>
          <w:rFonts w:ascii="Times New Roman" w:hAnsi="Times New Roman" w:cs="Times New Roman"/>
          <w:color w:val="000000" w:themeColor="text1"/>
        </w:rPr>
        <w:t>ly-derived</w:t>
      </w:r>
      <w:r w:rsidRPr="00D25210">
        <w:rPr>
          <w:rFonts w:ascii="Times New Roman" w:hAnsi="Times New Roman" w:cs="Times New Roman"/>
          <w:color w:val="000000" w:themeColor="text1"/>
        </w:rPr>
        <w:t xml:space="preserve"> data products) versus process-based soil </w:t>
      </w:r>
      <w:r>
        <w:rPr>
          <w:rFonts w:ascii="Times New Roman" w:hAnsi="Times New Roman" w:cs="Times New Roman"/>
          <w:color w:val="000000" w:themeColor="text1"/>
        </w:rPr>
        <w:t xml:space="preserve">biogeochemical </w:t>
      </w:r>
      <w:r w:rsidRPr="00D25210">
        <w:rPr>
          <w:rFonts w:ascii="Times New Roman" w:hAnsi="Times New Roman" w:cs="Times New Roman"/>
          <w:color w:val="000000" w:themeColor="text1"/>
        </w:rPr>
        <w:t xml:space="preserve">models (CASA-CNP, MIMICS, and CORPSE). Standardized beta coefficients,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i</m:t>
            </m:r>
          </m:sub>
        </m:sSub>
        <m:r>
          <w:rPr>
            <w:rFonts w:ascii="Cambria Math" w:hAnsi="Cambria Math" w:cs="Times New Roman"/>
            <w:color w:val="000000" w:themeColor="text1"/>
          </w:rPr>
          <m:t>∈[-1,1]</m:t>
        </m:r>
      </m:oMath>
      <w:r w:rsidRPr="00D25210">
        <w:rPr>
          <w:rFonts w:ascii="Times New Roman" w:eastAsiaTheme="minorEastAsia" w:hAnsi="Times New Roman" w:cs="Times New Roman"/>
          <w:color w:val="000000" w:themeColor="text1"/>
        </w:rPr>
        <w:t xml:space="preserve">, </w:t>
      </w:r>
      <w:r w:rsidRPr="00D25210">
        <w:rPr>
          <w:rFonts w:ascii="Times New Roman" w:hAnsi="Times New Roman" w:cs="Times New Roman"/>
          <w:color w:val="000000" w:themeColor="text1"/>
        </w:rPr>
        <w:t xml:space="preserve">were calculated for each data source as </w:t>
      </w:r>
      <m:oMath>
        <m:r>
          <w:rPr>
            <w:rFonts w:ascii="Cambria Math" w:hAnsi="Cambria Math" w:cs="Times New Roman"/>
            <w:color w:val="000000" w:themeColor="text1"/>
          </w:rPr>
          <m:t>SOC=</m:t>
        </m:r>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0</m:t>
            </m:r>
          </m:sub>
        </m:sSub>
        <m:r>
          <w:rPr>
            <w:rFonts w:ascii="Cambria Math" w:hAnsi="Cambria Math" w:cs="Times New Roman"/>
            <w:color w:val="000000" w:themeColor="text1"/>
          </w:rPr>
          <m:t>+</m:t>
        </m:r>
        <m:nary>
          <m:naryPr>
            <m:chr m:val="∑"/>
            <m:supHide m:val="1"/>
            <m:ctrlPr>
              <w:rPr>
                <w:rFonts w:ascii="Cambria Math" w:hAnsi="Cambria Math" w:cs="Times New Roman"/>
                <w:i/>
                <w:color w:val="000000" w:themeColor="text1"/>
              </w:rPr>
            </m:ctrlPr>
          </m:naryPr>
          <m:sub>
            <m:r>
              <w:rPr>
                <w:rFonts w:ascii="Cambria Math" w:hAnsi="Cambria Math" w:cs="Times New Roman"/>
                <w:color w:val="000000" w:themeColor="text1"/>
              </w:rPr>
              <m:t>i</m:t>
            </m:r>
          </m:sub>
          <m:sup/>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i</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m:t>
                </m:r>
              </m:sub>
            </m:sSub>
          </m:e>
        </m:nary>
      </m:oMath>
      <w:r w:rsidRPr="00D25210">
        <w:rPr>
          <w:rFonts w:ascii="Times New Roman" w:eastAsiaTheme="minorEastAsia" w:hAnsi="Times New Roman" w:cs="Times New Roman"/>
          <w:color w:val="000000" w:themeColor="text1"/>
        </w:rPr>
        <w:t xml:space="preserve">, where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m:t>
            </m:r>
          </m:sub>
        </m:sSub>
      </m:oMath>
      <w:r w:rsidRPr="00D25210">
        <w:rPr>
          <w:rFonts w:ascii="Times New Roman" w:eastAsiaTheme="minorEastAsia" w:hAnsi="Times New Roman" w:cs="Times New Roman"/>
          <w:color w:val="000000" w:themeColor="text1"/>
        </w:rPr>
        <w:t xml:space="preserve"> includes the three independent variables TEX, MAT, and NPP. Beta coefficients (Table S1) were then averaged for the grouped observation and model categories shown here. </w:t>
      </w:r>
      <w:r w:rsidRPr="00D25210">
        <w:rPr>
          <w:rFonts w:ascii="Times New Roman" w:hAnsi="Times New Roman" w:cs="Times New Roman"/>
          <w:b/>
          <w:bCs/>
          <w:color w:val="000000" w:themeColor="text1"/>
        </w:rPr>
        <w:br w:type="page"/>
      </w:r>
    </w:p>
    <w:p w:rsidR="009A2C95" w:rsidRPr="00D25210" w:rsidRDefault="009A2C95" w:rsidP="009A2C95">
      <w:pPr>
        <w:pStyle w:val="Heading3"/>
        <w:spacing w:line="360" w:lineRule="auto"/>
        <w:rPr>
          <w:rFonts w:ascii="Times New Roman" w:hAnsi="Times New Roman" w:cs="Times New Roman"/>
          <w:color w:val="000000" w:themeColor="text1"/>
        </w:rPr>
      </w:pPr>
      <w:r w:rsidRPr="00D25210">
        <w:rPr>
          <w:rFonts w:ascii="Times New Roman" w:hAnsi="Times New Roman" w:cs="Times New Roman"/>
          <w:b/>
          <w:bCs/>
          <w:color w:val="000000" w:themeColor="text1"/>
        </w:rPr>
        <w:lastRenderedPageBreak/>
        <w:t>Table S1 |</w:t>
      </w:r>
      <w:r w:rsidRPr="00D25210">
        <w:rPr>
          <w:rFonts w:ascii="Times New Roman" w:hAnsi="Times New Roman" w:cs="Times New Roman"/>
          <w:color w:val="000000" w:themeColor="text1"/>
        </w:rPr>
        <w:t xml:space="preserve"> Multivariate linear regression of soil organic carbon (SOC) as a function of soil texture (TEX), mean annual temperature (MAT), and net primary productivity (NPP) in observations (soil profiles and observational</w:t>
      </w:r>
      <w:r>
        <w:rPr>
          <w:rFonts w:ascii="Times New Roman" w:hAnsi="Times New Roman" w:cs="Times New Roman"/>
          <w:color w:val="000000" w:themeColor="text1"/>
        </w:rPr>
        <w:t>ly-derived</w:t>
      </w:r>
      <w:r w:rsidRPr="00D25210">
        <w:rPr>
          <w:rFonts w:ascii="Times New Roman" w:hAnsi="Times New Roman" w:cs="Times New Roman"/>
          <w:color w:val="000000" w:themeColor="text1"/>
        </w:rPr>
        <w:t xml:space="preserve"> data products) and process-based soil </w:t>
      </w:r>
      <w:r>
        <w:rPr>
          <w:rFonts w:ascii="Times New Roman" w:hAnsi="Times New Roman" w:cs="Times New Roman"/>
          <w:color w:val="000000" w:themeColor="text1"/>
        </w:rPr>
        <w:t>biogeochemical</w:t>
      </w:r>
      <w:r w:rsidRPr="00D25210">
        <w:rPr>
          <w:rFonts w:ascii="Times New Roman" w:hAnsi="Times New Roman" w:cs="Times New Roman"/>
          <w:color w:val="000000" w:themeColor="text1"/>
        </w:rPr>
        <w:t xml:space="preserve"> models (CASA-CNP, MIMICS, and CORPSE). Standardized beta coefficients,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i</m:t>
            </m:r>
          </m:sub>
        </m:sSub>
        <m:r>
          <w:rPr>
            <w:rFonts w:ascii="Cambria Math" w:hAnsi="Cambria Math" w:cs="Times New Roman"/>
            <w:color w:val="000000" w:themeColor="text1"/>
          </w:rPr>
          <m:t>∈[-1,1]</m:t>
        </m:r>
      </m:oMath>
      <w:r w:rsidRPr="00D25210">
        <w:rPr>
          <w:rFonts w:ascii="Times New Roman" w:eastAsiaTheme="minorEastAsia" w:hAnsi="Times New Roman" w:cs="Times New Roman"/>
          <w:color w:val="000000" w:themeColor="text1"/>
        </w:rPr>
        <w:t xml:space="preserve">, </w:t>
      </w:r>
      <w:r w:rsidRPr="00D25210">
        <w:rPr>
          <w:rFonts w:ascii="Times New Roman" w:hAnsi="Times New Roman" w:cs="Times New Roman"/>
          <w:color w:val="000000" w:themeColor="text1"/>
        </w:rPr>
        <w:t xml:space="preserve">were calculated for each data source as </w:t>
      </w:r>
      <m:oMath>
        <m:r>
          <w:rPr>
            <w:rFonts w:ascii="Cambria Math" w:hAnsi="Cambria Math" w:cs="Times New Roman"/>
            <w:color w:val="000000" w:themeColor="text1"/>
          </w:rPr>
          <m:t>SOC=</m:t>
        </m:r>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0</m:t>
            </m:r>
          </m:sub>
        </m:sSub>
        <m:r>
          <w:rPr>
            <w:rFonts w:ascii="Cambria Math" w:hAnsi="Cambria Math" w:cs="Times New Roman"/>
            <w:color w:val="000000" w:themeColor="text1"/>
          </w:rPr>
          <m:t>+</m:t>
        </m:r>
        <m:nary>
          <m:naryPr>
            <m:chr m:val="∑"/>
            <m:supHide m:val="1"/>
            <m:ctrlPr>
              <w:rPr>
                <w:rFonts w:ascii="Cambria Math" w:hAnsi="Cambria Math" w:cs="Times New Roman"/>
                <w:i/>
                <w:color w:val="000000" w:themeColor="text1"/>
              </w:rPr>
            </m:ctrlPr>
          </m:naryPr>
          <m:sub>
            <m:r>
              <w:rPr>
                <w:rFonts w:ascii="Cambria Math" w:hAnsi="Cambria Math" w:cs="Times New Roman"/>
                <w:color w:val="000000" w:themeColor="text1"/>
              </w:rPr>
              <m:t>i</m:t>
            </m:r>
          </m:sub>
          <m:sup/>
          <m:e>
            <m:sSub>
              <m:sSubPr>
                <m:ctrlPr>
                  <w:rPr>
                    <w:rFonts w:ascii="Cambria Math" w:hAnsi="Cambria Math" w:cs="Times New Roman"/>
                    <w:i/>
                    <w:color w:val="000000" w:themeColor="text1"/>
                  </w:rPr>
                </m:ctrlPr>
              </m:sSubPr>
              <m:e>
                <m:r>
                  <w:rPr>
                    <w:rFonts w:ascii="Cambria Math" w:hAnsi="Cambria Math" w:cs="Times New Roman"/>
                    <w:color w:val="000000" w:themeColor="text1"/>
                  </w:rPr>
                  <m:t>β</m:t>
                </m:r>
              </m:e>
              <m:sub>
                <m:r>
                  <w:rPr>
                    <w:rFonts w:ascii="Cambria Math" w:hAnsi="Cambria Math" w:cs="Times New Roman"/>
                    <w:color w:val="000000" w:themeColor="text1"/>
                  </w:rPr>
                  <m:t>i</m:t>
                </m:r>
              </m:sub>
            </m:sSub>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m:t>
                </m:r>
              </m:sub>
            </m:sSub>
          </m:e>
        </m:nary>
      </m:oMath>
      <w:r w:rsidRPr="00D25210">
        <w:rPr>
          <w:rFonts w:ascii="Times New Roman" w:eastAsiaTheme="minorEastAsia" w:hAnsi="Times New Roman" w:cs="Times New Roman"/>
          <w:color w:val="000000" w:themeColor="text1"/>
        </w:rPr>
        <w:t xml:space="preserve">, where </w:t>
      </w:r>
      <m:oMath>
        <m:sSub>
          <m:sSubPr>
            <m:ctrlPr>
              <w:rPr>
                <w:rFonts w:ascii="Cambria Math" w:hAnsi="Cambria Math" w:cs="Times New Roman"/>
                <w:i/>
                <w:color w:val="000000" w:themeColor="text1"/>
              </w:rPr>
            </m:ctrlPr>
          </m:sSubPr>
          <m:e>
            <m:r>
              <w:rPr>
                <w:rFonts w:ascii="Cambria Math" w:hAnsi="Cambria Math" w:cs="Times New Roman"/>
                <w:color w:val="000000" w:themeColor="text1"/>
              </w:rPr>
              <m:t>x</m:t>
            </m:r>
          </m:e>
          <m:sub>
            <m:r>
              <w:rPr>
                <w:rFonts w:ascii="Cambria Math" w:hAnsi="Cambria Math" w:cs="Times New Roman"/>
                <w:color w:val="000000" w:themeColor="text1"/>
              </w:rPr>
              <m:t>i</m:t>
            </m:r>
          </m:sub>
        </m:sSub>
      </m:oMath>
      <w:r w:rsidRPr="00D25210">
        <w:rPr>
          <w:rFonts w:ascii="Times New Roman" w:eastAsiaTheme="minorEastAsia" w:hAnsi="Times New Roman" w:cs="Times New Roman"/>
          <w:color w:val="000000" w:themeColor="text1"/>
        </w:rPr>
        <w:t xml:space="preserve"> includes the three independent variables TEX, MAT, and NPP. Adjusted R</w:t>
      </w:r>
      <w:r w:rsidRPr="00D25210">
        <w:rPr>
          <w:rFonts w:ascii="Times New Roman" w:eastAsiaTheme="minorEastAsia" w:hAnsi="Times New Roman" w:cs="Times New Roman"/>
          <w:color w:val="000000" w:themeColor="text1"/>
          <w:vertAlign w:val="superscript"/>
        </w:rPr>
        <w:t>2</w:t>
      </w:r>
      <w:r w:rsidRPr="00D25210">
        <w:rPr>
          <w:rFonts w:ascii="Times New Roman" w:eastAsiaTheme="minorEastAsia" w:hAnsi="Times New Roman" w:cs="Times New Roman"/>
          <w:color w:val="000000" w:themeColor="text1"/>
        </w:rPr>
        <w:t xml:space="preserve"> values show regression </w:t>
      </w:r>
      <w:r>
        <w:rPr>
          <w:rFonts w:ascii="Times New Roman" w:eastAsiaTheme="minorEastAsia" w:hAnsi="Times New Roman" w:cs="Times New Roman"/>
          <w:color w:val="000000" w:themeColor="text1"/>
        </w:rPr>
        <w:t xml:space="preserve">model </w:t>
      </w:r>
      <w:r w:rsidRPr="00D25210">
        <w:rPr>
          <w:rFonts w:ascii="Times New Roman" w:eastAsiaTheme="minorEastAsia" w:hAnsi="Times New Roman" w:cs="Times New Roman"/>
          <w:color w:val="000000" w:themeColor="text1"/>
        </w:rPr>
        <w:t xml:space="preserve">performance. </w:t>
      </w:r>
    </w:p>
    <w:tbl>
      <w:tblPr>
        <w:tblStyle w:val="TableGrid"/>
        <w:tblW w:w="7555" w:type="dxa"/>
        <w:tblBorders>
          <w:insideH w:val="none" w:sz="0" w:space="0" w:color="auto"/>
        </w:tblBorders>
        <w:tblLook w:val="04A0" w:firstRow="1" w:lastRow="0" w:firstColumn="1" w:lastColumn="0" w:noHBand="0" w:noVBand="1"/>
      </w:tblPr>
      <w:tblGrid>
        <w:gridCol w:w="1494"/>
        <w:gridCol w:w="1561"/>
        <w:gridCol w:w="1530"/>
        <w:gridCol w:w="1530"/>
        <w:gridCol w:w="1440"/>
      </w:tblGrid>
      <w:tr w:rsidR="009A2C95" w:rsidRPr="00D25210" w:rsidTr="00EA13BA">
        <w:trPr>
          <w:trHeight w:val="431"/>
        </w:trPr>
        <w:tc>
          <w:tcPr>
            <w:tcW w:w="1494" w:type="dxa"/>
            <w:tcBorders>
              <w:top w:val="single" w:sz="4" w:space="0" w:color="auto"/>
              <w:bottom w:val="single" w:sz="4" w:space="0" w:color="auto"/>
            </w:tcBorders>
            <w:shd w:val="clear" w:color="auto" w:fill="BFBFBF" w:themeFill="background1" w:themeFillShade="BF"/>
            <w:vAlign w:val="center"/>
          </w:tcPr>
          <w:p w:rsidR="009A2C95" w:rsidRPr="00D25210" w:rsidRDefault="009A2C95" w:rsidP="00EA13BA">
            <w:pPr>
              <w:rPr>
                <w:rFonts w:ascii="Times New Roman" w:hAnsi="Times New Roman" w:cs="Times New Roman"/>
                <w:color w:val="000000" w:themeColor="text1"/>
                <w:sz w:val="22"/>
                <w:szCs w:val="22"/>
              </w:rPr>
            </w:pPr>
          </w:p>
        </w:tc>
        <w:tc>
          <w:tcPr>
            <w:tcW w:w="1561" w:type="dxa"/>
            <w:tcBorders>
              <w:top w:val="single" w:sz="4" w:space="0" w:color="auto"/>
              <w:bottom w:val="single" w:sz="4" w:space="0" w:color="auto"/>
            </w:tcBorders>
            <w:shd w:val="clear" w:color="auto" w:fill="BFBFBF" w:themeFill="background1" w:themeFillShade="BF"/>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lang w:val="el-GR"/>
              </w:rPr>
              <w:t>β</w:t>
            </w:r>
            <w:r w:rsidRPr="00D25210">
              <w:rPr>
                <w:rFonts w:ascii="Times New Roman" w:hAnsi="Times New Roman" w:cs="Times New Roman"/>
                <w:color w:val="000000" w:themeColor="text1"/>
                <w:sz w:val="22"/>
                <w:szCs w:val="22"/>
                <w:vertAlign w:val="subscript"/>
              </w:rPr>
              <w:t>NPP</w:t>
            </w:r>
          </w:p>
        </w:tc>
        <w:tc>
          <w:tcPr>
            <w:tcW w:w="1530" w:type="dxa"/>
            <w:tcBorders>
              <w:top w:val="single" w:sz="4" w:space="0" w:color="auto"/>
              <w:bottom w:val="single" w:sz="4" w:space="0" w:color="auto"/>
            </w:tcBorders>
            <w:shd w:val="clear" w:color="auto" w:fill="BFBFBF" w:themeFill="background1" w:themeFillShade="BF"/>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lang w:val="el-GR"/>
              </w:rPr>
              <w:t>β</w:t>
            </w:r>
            <w:r w:rsidRPr="00D25210">
              <w:rPr>
                <w:rFonts w:ascii="Times New Roman" w:hAnsi="Times New Roman" w:cs="Times New Roman"/>
                <w:color w:val="000000" w:themeColor="text1"/>
                <w:sz w:val="22"/>
                <w:szCs w:val="22"/>
                <w:vertAlign w:val="subscript"/>
              </w:rPr>
              <w:t>MAT</w:t>
            </w:r>
          </w:p>
        </w:tc>
        <w:tc>
          <w:tcPr>
            <w:tcW w:w="1530" w:type="dxa"/>
            <w:tcBorders>
              <w:top w:val="single" w:sz="4" w:space="0" w:color="auto"/>
              <w:bottom w:val="single" w:sz="4" w:space="0" w:color="auto"/>
            </w:tcBorders>
            <w:shd w:val="clear" w:color="auto" w:fill="BFBFBF" w:themeFill="background1" w:themeFillShade="BF"/>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lang w:val="el-GR"/>
              </w:rPr>
              <w:t>β</w:t>
            </w:r>
            <w:r w:rsidRPr="00D25210">
              <w:rPr>
                <w:rFonts w:ascii="Times New Roman" w:hAnsi="Times New Roman" w:cs="Times New Roman"/>
                <w:color w:val="000000" w:themeColor="text1"/>
                <w:sz w:val="22"/>
                <w:szCs w:val="22"/>
                <w:vertAlign w:val="subscript"/>
              </w:rPr>
              <w:t>TEX</w:t>
            </w:r>
          </w:p>
        </w:tc>
        <w:tc>
          <w:tcPr>
            <w:tcW w:w="1440" w:type="dxa"/>
            <w:tcBorders>
              <w:top w:val="single" w:sz="4" w:space="0" w:color="auto"/>
              <w:bottom w:val="single" w:sz="4" w:space="0" w:color="auto"/>
            </w:tcBorders>
            <w:shd w:val="clear" w:color="auto" w:fill="BFBFBF" w:themeFill="background1" w:themeFillShade="BF"/>
            <w:vAlign w:val="center"/>
          </w:tcPr>
          <w:p w:rsidR="009A2C95" w:rsidRPr="00D25210" w:rsidRDefault="009A2C95" w:rsidP="00EA13BA">
            <w:pPr>
              <w:rPr>
                <w:rFonts w:ascii="Times New Roman" w:hAnsi="Times New Roman" w:cs="Times New Roman"/>
                <w:color w:val="000000" w:themeColor="text1"/>
                <w:sz w:val="22"/>
                <w:szCs w:val="22"/>
                <w:vertAlign w:val="superscript"/>
              </w:rPr>
            </w:pPr>
            <w:r w:rsidRPr="00D25210">
              <w:rPr>
                <w:rFonts w:ascii="Times New Roman" w:hAnsi="Times New Roman" w:cs="Times New Roman"/>
                <w:color w:val="000000" w:themeColor="text1"/>
                <w:sz w:val="22"/>
                <w:szCs w:val="22"/>
              </w:rPr>
              <w:t>Adjusted R</w:t>
            </w:r>
            <w:r w:rsidRPr="00D25210">
              <w:rPr>
                <w:rFonts w:ascii="Times New Roman" w:hAnsi="Times New Roman" w:cs="Times New Roman"/>
                <w:color w:val="000000" w:themeColor="text1"/>
                <w:sz w:val="22"/>
                <w:szCs w:val="22"/>
                <w:vertAlign w:val="superscript"/>
              </w:rPr>
              <w:t>2</w:t>
            </w:r>
          </w:p>
        </w:tc>
      </w:tr>
      <w:tr w:rsidR="009A2C95" w:rsidRPr="00D25210" w:rsidTr="00EA13BA">
        <w:trPr>
          <w:trHeight w:val="401"/>
        </w:trPr>
        <w:tc>
          <w:tcPr>
            <w:tcW w:w="1494" w:type="dxa"/>
            <w:tcBorders>
              <w:top w:val="single" w:sz="4" w:space="0" w:color="auto"/>
            </w:tcBorders>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Soil Profiles</w:t>
            </w:r>
          </w:p>
        </w:tc>
        <w:tc>
          <w:tcPr>
            <w:tcW w:w="1561" w:type="dxa"/>
            <w:tcBorders>
              <w:top w:val="single" w:sz="4" w:space="0" w:color="auto"/>
            </w:tcBorders>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0.164 </w:t>
            </w:r>
            <w:r w:rsidRPr="00D25210">
              <w:rPr>
                <w:rFonts w:ascii="Times New Roman" w:hAnsi="Times New Roman" w:cs="Times New Roman"/>
                <w:color w:val="000000" w:themeColor="text1"/>
                <w:sz w:val="22"/>
                <w:szCs w:val="22"/>
                <w:vertAlign w:val="superscript"/>
              </w:rPr>
              <w:t>(***)</w:t>
            </w:r>
          </w:p>
        </w:tc>
        <w:tc>
          <w:tcPr>
            <w:tcW w:w="1530" w:type="dxa"/>
            <w:tcBorders>
              <w:top w:val="single" w:sz="4" w:space="0" w:color="auto"/>
            </w:tcBorders>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-0.203 </w:t>
            </w:r>
            <w:r w:rsidRPr="00D25210">
              <w:rPr>
                <w:rFonts w:ascii="Times New Roman" w:hAnsi="Times New Roman" w:cs="Times New Roman"/>
                <w:color w:val="000000" w:themeColor="text1"/>
                <w:sz w:val="22"/>
                <w:szCs w:val="22"/>
                <w:vertAlign w:val="superscript"/>
              </w:rPr>
              <w:t>(***)</w:t>
            </w:r>
          </w:p>
        </w:tc>
        <w:tc>
          <w:tcPr>
            <w:tcW w:w="1530" w:type="dxa"/>
            <w:tcBorders>
              <w:top w:val="single" w:sz="4" w:space="0" w:color="auto"/>
            </w:tcBorders>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0.148 </w:t>
            </w:r>
            <w:r w:rsidRPr="00D25210">
              <w:rPr>
                <w:rFonts w:ascii="Times New Roman" w:hAnsi="Times New Roman" w:cs="Times New Roman"/>
                <w:color w:val="000000" w:themeColor="text1"/>
                <w:sz w:val="22"/>
                <w:szCs w:val="22"/>
                <w:vertAlign w:val="superscript"/>
              </w:rPr>
              <w:t>(***)</w:t>
            </w:r>
          </w:p>
        </w:tc>
        <w:tc>
          <w:tcPr>
            <w:tcW w:w="1440" w:type="dxa"/>
            <w:tcBorders>
              <w:top w:val="single" w:sz="4" w:space="0" w:color="auto"/>
            </w:tcBorders>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0.09</w:t>
            </w:r>
          </w:p>
        </w:tc>
      </w:tr>
      <w:tr w:rsidR="009A2C95" w:rsidRPr="00D25210" w:rsidTr="00EA13BA">
        <w:trPr>
          <w:trHeight w:val="387"/>
        </w:trPr>
        <w:tc>
          <w:tcPr>
            <w:tcW w:w="1494"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HWSD</w:t>
            </w:r>
          </w:p>
        </w:tc>
        <w:tc>
          <w:tcPr>
            <w:tcW w:w="1561"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0.319 </w:t>
            </w:r>
            <w:r w:rsidRPr="00D25210">
              <w:rPr>
                <w:rFonts w:ascii="Times New Roman" w:hAnsi="Times New Roman" w:cs="Times New Roman"/>
                <w:color w:val="000000" w:themeColor="text1"/>
                <w:sz w:val="22"/>
                <w:szCs w:val="22"/>
                <w:vertAlign w:val="superscript"/>
              </w:rPr>
              <w:t>(***)</w:t>
            </w:r>
          </w:p>
        </w:tc>
        <w:tc>
          <w:tcPr>
            <w:tcW w:w="1530"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-0.413 </w:t>
            </w:r>
            <w:r w:rsidRPr="00D25210">
              <w:rPr>
                <w:rFonts w:ascii="Times New Roman" w:hAnsi="Times New Roman" w:cs="Times New Roman"/>
                <w:color w:val="000000" w:themeColor="text1"/>
                <w:sz w:val="22"/>
                <w:szCs w:val="22"/>
                <w:vertAlign w:val="superscript"/>
              </w:rPr>
              <w:t>(***)</w:t>
            </w:r>
          </w:p>
        </w:tc>
        <w:tc>
          <w:tcPr>
            <w:tcW w:w="1530"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0.188 </w:t>
            </w:r>
            <w:r w:rsidRPr="00D25210">
              <w:rPr>
                <w:rFonts w:ascii="Times New Roman" w:hAnsi="Times New Roman" w:cs="Times New Roman"/>
                <w:color w:val="000000" w:themeColor="text1"/>
                <w:sz w:val="22"/>
                <w:szCs w:val="22"/>
                <w:vertAlign w:val="superscript"/>
              </w:rPr>
              <w:t>(***)</w:t>
            </w:r>
          </w:p>
        </w:tc>
        <w:tc>
          <w:tcPr>
            <w:tcW w:w="1440"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0.29</w:t>
            </w:r>
          </w:p>
        </w:tc>
      </w:tr>
      <w:tr w:rsidR="009A2C95" w:rsidRPr="00D25210" w:rsidTr="00EA13BA">
        <w:trPr>
          <w:trHeight w:val="401"/>
        </w:trPr>
        <w:tc>
          <w:tcPr>
            <w:tcW w:w="1494"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NCSCD adj. HWSD</w:t>
            </w:r>
          </w:p>
        </w:tc>
        <w:tc>
          <w:tcPr>
            <w:tcW w:w="1561"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0.212 </w:t>
            </w:r>
            <w:r w:rsidRPr="00D25210">
              <w:rPr>
                <w:rFonts w:ascii="Times New Roman" w:hAnsi="Times New Roman" w:cs="Times New Roman"/>
                <w:color w:val="000000" w:themeColor="text1"/>
                <w:sz w:val="22"/>
                <w:szCs w:val="22"/>
                <w:vertAlign w:val="superscript"/>
              </w:rPr>
              <w:t>(***)</w:t>
            </w:r>
          </w:p>
        </w:tc>
        <w:tc>
          <w:tcPr>
            <w:tcW w:w="1530"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-0.568 </w:t>
            </w:r>
            <w:r w:rsidRPr="00D25210">
              <w:rPr>
                <w:rFonts w:ascii="Times New Roman" w:hAnsi="Times New Roman" w:cs="Times New Roman"/>
                <w:color w:val="000000" w:themeColor="text1"/>
                <w:sz w:val="22"/>
                <w:szCs w:val="22"/>
                <w:vertAlign w:val="superscript"/>
              </w:rPr>
              <w:t>(***)</w:t>
            </w:r>
          </w:p>
        </w:tc>
        <w:tc>
          <w:tcPr>
            <w:tcW w:w="1530"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0.145 </w:t>
            </w:r>
            <w:r w:rsidRPr="00D25210">
              <w:rPr>
                <w:rFonts w:ascii="Times New Roman" w:hAnsi="Times New Roman" w:cs="Times New Roman"/>
                <w:color w:val="000000" w:themeColor="text1"/>
                <w:sz w:val="22"/>
                <w:szCs w:val="22"/>
                <w:vertAlign w:val="superscript"/>
              </w:rPr>
              <w:t>(***)</w:t>
            </w:r>
          </w:p>
        </w:tc>
        <w:tc>
          <w:tcPr>
            <w:tcW w:w="1440"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0.28</w:t>
            </w:r>
          </w:p>
        </w:tc>
      </w:tr>
      <w:tr w:rsidR="009A2C95" w:rsidRPr="00D25210" w:rsidTr="00EA13BA">
        <w:trPr>
          <w:trHeight w:val="401"/>
        </w:trPr>
        <w:tc>
          <w:tcPr>
            <w:tcW w:w="1494"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CASA-CNP</w:t>
            </w:r>
          </w:p>
        </w:tc>
        <w:tc>
          <w:tcPr>
            <w:tcW w:w="1561"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0.174 </w:t>
            </w:r>
            <w:r w:rsidRPr="00D25210">
              <w:rPr>
                <w:rFonts w:ascii="Times New Roman" w:hAnsi="Times New Roman" w:cs="Times New Roman"/>
                <w:color w:val="000000" w:themeColor="text1"/>
                <w:sz w:val="22"/>
                <w:szCs w:val="22"/>
                <w:vertAlign w:val="superscript"/>
              </w:rPr>
              <w:t>(***)</w:t>
            </w:r>
          </w:p>
        </w:tc>
        <w:tc>
          <w:tcPr>
            <w:tcW w:w="1530"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-0.669  </w:t>
            </w:r>
            <w:r w:rsidRPr="00D25210">
              <w:rPr>
                <w:rFonts w:ascii="Times New Roman" w:hAnsi="Times New Roman" w:cs="Times New Roman"/>
                <w:color w:val="000000" w:themeColor="text1"/>
                <w:sz w:val="22"/>
                <w:szCs w:val="22"/>
                <w:vertAlign w:val="superscript"/>
              </w:rPr>
              <w:t>(***)</w:t>
            </w:r>
          </w:p>
        </w:tc>
        <w:tc>
          <w:tcPr>
            <w:tcW w:w="1530"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-0.082  </w:t>
            </w:r>
            <w:r w:rsidRPr="00D25210">
              <w:rPr>
                <w:rFonts w:ascii="Times New Roman" w:hAnsi="Times New Roman" w:cs="Times New Roman"/>
                <w:color w:val="000000" w:themeColor="text1"/>
                <w:sz w:val="22"/>
                <w:szCs w:val="22"/>
                <w:vertAlign w:val="superscript"/>
              </w:rPr>
              <w:t>(***)</w:t>
            </w:r>
          </w:p>
        </w:tc>
        <w:tc>
          <w:tcPr>
            <w:tcW w:w="1440"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0.43</w:t>
            </w:r>
          </w:p>
        </w:tc>
      </w:tr>
      <w:tr w:rsidR="009A2C95" w:rsidRPr="00D25210" w:rsidTr="00EA13BA">
        <w:trPr>
          <w:trHeight w:val="401"/>
        </w:trPr>
        <w:tc>
          <w:tcPr>
            <w:tcW w:w="1494"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MIMICS</w:t>
            </w:r>
          </w:p>
        </w:tc>
        <w:tc>
          <w:tcPr>
            <w:tcW w:w="1561"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0.354  </w:t>
            </w:r>
            <w:r w:rsidRPr="00D25210">
              <w:rPr>
                <w:rFonts w:ascii="Times New Roman" w:hAnsi="Times New Roman" w:cs="Times New Roman"/>
                <w:color w:val="000000" w:themeColor="text1"/>
                <w:sz w:val="22"/>
                <w:szCs w:val="22"/>
                <w:vertAlign w:val="superscript"/>
              </w:rPr>
              <w:t>(***)</w:t>
            </w:r>
          </w:p>
        </w:tc>
        <w:tc>
          <w:tcPr>
            <w:tcW w:w="1530"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-0.744  </w:t>
            </w:r>
            <w:r w:rsidRPr="00D25210">
              <w:rPr>
                <w:rFonts w:ascii="Times New Roman" w:hAnsi="Times New Roman" w:cs="Times New Roman"/>
                <w:color w:val="000000" w:themeColor="text1"/>
                <w:sz w:val="22"/>
                <w:szCs w:val="22"/>
                <w:vertAlign w:val="superscript"/>
              </w:rPr>
              <w:t>(***)</w:t>
            </w:r>
          </w:p>
        </w:tc>
        <w:tc>
          <w:tcPr>
            <w:tcW w:w="1530"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-0.035  </w:t>
            </w:r>
            <w:r w:rsidRPr="00D25210">
              <w:rPr>
                <w:rFonts w:ascii="Times New Roman" w:hAnsi="Times New Roman" w:cs="Times New Roman"/>
                <w:color w:val="000000" w:themeColor="text1"/>
                <w:sz w:val="22"/>
                <w:szCs w:val="22"/>
                <w:vertAlign w:val="superscript"/>
              </w:rPr>
              <w:t>(**)</w:t>
            </w:r>
          </w:p>
        </w:tc>
        <w:tc>
          <w:tcPr>
            <w:tcW w:w="1440"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0.57</w:t>
            </w:r>
          </w:p>
        </w:tc>
      </w:tr>
      <w:tr w:rsidR="009A2C95" w:rsidRPr="00D25210" w:rsidTr="00EA13BA">
        <w:trPr>
          <w:trHeight w:val="401"/>
        </w:trPr>
        <w:tc>
          <w:tcPr>
            <w:tcW w:w="1494" w:type="dxa"/>
            <w:tcBorders>
              <w:bottom w:val="single" w:sz="4" w:space="0" w:color="auto"/>
            </w:tcBorders>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CORPSE</w:t>
            </w:r>
          </w:p>
        </w:tc>
        <w:tc>
          <w:tcPr>
            <w:tcW w:w="1561" w:type="dxa"/>
            <w:tcBorders>
              <w:bottom w:val="single" w:sz="4" w:space="0" w:color="auto"/>
            </w:tcBorders>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0.079  </w:t>
            </w:r>
            <w:r w:rsidRPr="00D25210">
              <w:rPr>
                <w:rFonts w:ascii="Times New Roman" w:hAnsi="Times New Roman" w:cs="Times New Roman"/>
                <w:color w:val="000000" w:themeColor="text1"/>
                <w:sz w:val="22"/>
                <w:szCs w:val="22"/>
                <w:vertAlign w:val="superscript"/>
              </w:rPr>
              <w:t>(***)</w:t>
            </w:r>
          </w:p>
        </w:tc>
        <w:tc>
          <w:tcPr>
            <w:tcW w:w="1530" w:type="dxa"/>
            <w:tcBorders>
              <w:bottom w:val="single" w:sz="4" w:space="0" w:color="auto"/>
            </w:tcBorders>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-0.475  </w:t>
            </w:r>
            <w:r w:rsidRPr="00D25210">
              <w:rPr>
                <w:rFonts w:ascii="Times New Roman" w:hAnsi="Times New Roman" w:cs="Times New Roman"/>
                <w:color w:val="000000" w:themeColor="text1"/>
                <w:sz w:val="22"/>
                <w:szCs w:val="22"/>
                <w:vertAlign w:val="superscript"/>
              </w:rPr>
              <w:t>(***)</w:t>
            </w:r>
          </w:p>
        </w:tc>
        <w:tc>
          <w:tcPr>
            <w:tcW w:w="1530" w:type="dxa"/>
            <w:tcBorders>
              <w:bottom w:val="single" w:sz="4" w:space="0" w:color="auto"/>
            </w:tcBorders>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 xml:space="preserve">-0.020  </w:t>
            </w:r>
            <w:r w:rsidRPr="00D25210">
              <w:rPr>
                <w:rFonts w:ascii="Times New Roman" w:hAnsi="Times New Roman" w:cs="Times New Roman"/>
                <w:color w:val="000000" w:themeColor="text1"/>
                <w:sz w:val="22"/>
                <w:szCs w:val="22"/>
                <w:vertAlign w:val="superscript"/>
              </w:rPr>
              <w:t>(NS)</w:t>
            </w:r>
          </w:p>
        </w:tc>
        <w:tc>
          <w:tcPr>
            <w:tcW w:w="1440" w:type="dxa"/>
            <w:tcBorders>
              <w:bottom w:val="single" w:sz="4" w:space="0" w:color="auto"/>
            </w:tcBorders>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0.22</w:t>
            </w:r>
          </w:p>
        </w:tc>
      </w:tr>
      <w:tr w:rsidR="009A2C95" w:rsidRPr="00D25210" w:rsidTr="00EA13BA">
        <w:trPr>
          <w:trHeight w:val="401"/>
        </w:trPr>
        <w:tc>
          <w:tcPr>
            <w:tcW w:w="7555" w:type="dxa"/>
            <w:gridSpan w:val="5"/>
            <w:tcBorders>
              <w:top w:val="single" w:sz="4" w:space="0" w:color="auto"/>
              <w:left w:val="nil"/>
              <w:bottom w:val="nil"/>
              <w:right w:val="nil"/>
            </w:tcBorders>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Significance: *** P &lt; 0.001; ** P &lt;  0.01; * P&lt; 0.05.</w:t>
            </w:r>
          </w:p>
        </w:tc>
      </w:tr>
    </w:tbl>
    <w:p w:rsidR="009A2C95" w:rsidRPr="00D25210" w:rsidRDefault="009A2C95" w:rsidP="009A2C95">
      <w:pPr>
        <w:rPr>
          <w:rFonts w:ascii="Times New Roman" w:hAnsi="Times New Roman" w:cs="Times New Roman"/>
          <w:color w:val="000000" w:themeColor="text1"/>
        </w:rPr>
      </w:pPr>
      <w:r w:rsidRPr="00D25210">
        <w:rPr>
          <w:rFonts w:ascii="Times New Roman" w:hAnsi="Times New Roman" w:cs="Times New Roman"/>
          <w:color w:val="000000" w:themeColor="text1"/>
        </w:rPr>
        <w:br w:type="page"/>
      </w:r>
    </w:p>
    <w:p w:rsidR="009A2C95" w:rsidRPr="00D25210" w:rsidRDefault="009A2C95" w:rsidP="009A2C95">
      <w:pPr>
        <w:spacing w:line="360" w:lineRule="auto"/>
        <w:rPr>
          <w:rFonts w:ascii="Times New Roman" w:hAnsi="Times New Roman" w:cs="Times New Roman"/>
          <w:color w:val="000000" w:themeColor="text1"/>
        </w:rPr>
      </w:pPr>
      <w:r w:rsidRPr="00D25210">
        <w:rPr>
          <w:rFonts w:ascii="Times New Roman" w:hAnsi="Times New Roman" w:cs="Times New Roman"/>
          <w:noProof/>
          <w:color w:val="000000" w:themeColor="text1"/>
        </w:rPr>
        <w:lastRenderedPageBreak/>
        <w:drawing>
          <wp:inline distT="0" distB="0" distL="0" distR="0" wp14:anchorId="61E0AE9B" wp14:editId="03976846">
            <wp:extent cx="5943600" cy="2809875"/>
            <wp:effectExtent l="0" t="0" r="0" b="0"/>
            <wp:docPr id="27" name="Picture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B6DF4C0-E7ED-E945-A360-476BA3CAAF3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AB6DF4C0-E7ED-E945-A360-476BA3CAAF3E}"/>
                        </a:ext>
                      </a:extLst>
                    </pic:cNvPr>
                    <pic:cNvPicPr>
                      <a:picLocks noChangeAspect="1"/>
                    </pic:cNvPicPr>
                  </pic:nvPicPr>
                  <pic:blipFill>
                    <a:blip r:embed="rId6"/>
                    <a:stretch>
                      <a:fillRect/>
                    </a:stretch>
                  </pic:blipFill>
                  <pic:spPr>
                    <a:xfrm>
                      <a:off x="0" y="0"/>
                      <a:ext cx="5943600" cy="2809875"/>
                    </a:xfrm>
                    <a:prstGeom prst="rect">
                      <a:avLst/>
                    </a:prstGeom>
                  </pic:spPr>
                </pic:pic>
              </a:graphicData>
            </a:graphic>
          </wp:inline>
        </w:drawing>
      </w:r>
    </w:p>
    <w:p w:rsidR="009A2C95" w:rsidRDefault="009A2C95" w:rsidP="009A2C95">
      <w:pPr>
        <w:pStyle w:val="Heading3"/>
        <w:spacing w:line="360" w:lineRule="auto"/>
        <w:rPr>
          <w:rFonts w:ascii="Times New Roman" w:hAnsi="Times New Roman" w:cs="Times New Roman"/>
          <w:color w:val="000000" w:themeColor="text1"/>
        </w:rPr>
      </w:pPr>
      <w:r w:rsidRPr="00D25210">
        <w:rPr>
          <w:rFonts w:ascii="Times New Roman" w:hAnsi="Times New Roman" w:cs="Times New Roman"/>
          <w:b/>
          <w:bCs/>
          <w:color w:val="000000" w:themeColor="text1"/>
        </w:rPr>
        <w:t>Figure S3 |</w:t>
      </w:r>
      <w:r w:rsidRPr="00D25210">
        <w:rPr>
          <w:rFonts w:ascii="Times New Roman" w:hAnsi="Times New Roman" w:cs="Times New Roman"/>
          <w:color w:val="000000" w:themeColor="text1"/>
        </w:rPr>
        <w:t xml:space="preserve"> Performance of the Random Forest (RF) algorithms </w:t>
      </w:r>
      <w:r>
        <w:rPr>
          <w:rFonts w:ascii="Times New Roman" w:hAnsi="Times New Roman" w:cs="Times New Roman"/>
          <w:color w:val="000000" w:themeColor="text1"/>
        </w:rPr>
        <w:t xml:space="preserve">in predicting soil organic carbon (SOC) stocks </w:t>
      </w:r>
      <w:r w:rsidRPr="00D25210">
        <w:rPr>
          <w:rFonts w:ascii="Times New Roman" w:hAnsi="Times New Roman" w:cs="Times New Roman"/>
          <w:color w:val="000000" w:themeColor="text1"/>
        </w:rPr>
        <w:t>f</w:t>
      </w:r>
      <w:r>
        <w:rPr>
          <w:rFonts w:ascii="Times New Roman" w:hAnsi="Times New Roman" w:cs="Times New Roman"/>
          <w:color w:val="000000" w:themeColor="text1"/>
        </w:rPr>
        <w:t>rom</w:t>
      </w:r>
      <w:r w:rsidRPr="00D25210">
        <w:rPr>
          <w:rFonts w:ascii="Times New Roman" w:hAnsi="Times New Roman" w:cs="Times New Roman"/>
          <w:color w:val="000000" w:themeColor="text1"/>
        </w:rPr>
        <w:t xml:space="preserve"> each of the data</w:t>
      </w:r>
      <w:r>
        <w:rPr>
          <w:rFonts w:ascii="Times New Roman" w:hAnsi="Times New Roman" w:cs="Times New Roman"/>
          <w:color w:val="000000" w:themeColor="text1"/>
        </w:rPr>
        <w:t xml:space="preserve"> products</w:t>
      </w:r>
      <w:r w:rsidRPr="00D25210">
        <w:rPr>
          <w:rFonts w:ascii="Times New Roman" w:hAnsi="Times New Roman" w:cs="Times New Roman"/>
          <w:color w:val="000000" w:themeColor="text1"/>
        </w:rPr>
        <w:t xml:space="preserve"> and process-based model outputs. Predicted </w:t>
      </w:r>
      <w:r>
        <w:rPr>
          <w:rFonts w:ascii="Times New Roman" w:hAnsi="Times New Roman" w:cs="Times New Roman"/>
          <w:color w:val="000000" w:themeColor="text1"/>
        </w:rPr>
        <w:t xml:space="preserve">(by RF) </w:t>
      </w:r>
      <w:r w:rsidRPr="00D25210">
        <w:rPr>
          <w:rFonts w:ascii="Times New Roman" w:hAnsi="Times New Roman" w:cs="Times New Roman"/>
          <w:color w:val="000000" w:themeColor="text1"/>
        </w:rPr>
        <w:t xml:space="preserve">versus </w:t>
      </w:r>
      <w:r>
        <w:rPr>
          <w:rFonts w:ascii="Times New Roman" w:hAnsi="Times New Roman" w:cs="Times New Roman"/>
          <w:color w:val="000000" w:themeColor="text1"/>
        </w:rPr>
        <w:t>‘</w:t>
      </w:r>
      <w:r w:rsidRPr="00D25210">
        <w:rPr>
          <w:rFonts w:ascii="Times New Roman" w:hAnsi="Times New Roman" w:cs="Times New Roman"/>
          <w:color w:val="000000" w:themeColor="text1"/>
        </w:rPr>
        <w:t>observed</w:t>
      </w:r>
      <w:r>
        <w:rPr>
          <w:rFonts w:ascii="Times New Roman" w:hAnsi="Times New Roman" w:cs="Times New Roman"/>
          <w:color w:val="000000" w:themeColor="text1"/>
        </w:rPr>
        <w:t>’</w:t>
      </w:r>
      <w:r w:rsidRPr="00D252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(from data products or model outputs) </w:t>
      </w:r>
      <w:r w:rsidRPr="00D25210">
        <w:rPr>
          <w:rFonts w:ascii="Times New Roman" w:hAnsi="Times New Roman" w:cs="Times New Roman"/>
          <w:color w:val="000000" w:themeColor="text1"/>
        </w:rPr>
        <w:t xml:space="preserve">SOC, where accurate predictions fall on the 1:1 line. Covariates used included soil texture (TEX), mean annual temperature (MAT), and net primary productivity (NPP). The data were randomly sampled to create independent training and test </w:t>
      </w:r>
      <w:r>
        <w:rPr>
          <w:rFonts w:ascii="Times New Roman" w:hAnsi="Times New Roman" w:cs="Times New Roman"/>
          <w:color w:val="000000" w:themeColor="text1"/>
        </w:rPr>
        <w:t>subsets</w:t>
      </w:r>
      <w:r w:rsidRPr="00D25210">
        <w:rPr>
          <w:rFonts w:ascii="Times New Roman" w:hAnsi="Times New Roman" w:cs="Times New Roman"/>
          <w:color w:val="000000" w:themeColor="text1"/>
        </w:rPr>
        <w:t xml:space="preserve"> (75% and 25% split, respectively). RF performance and R</w:t>
      </w:r>
      <w:r w:rsidRPr="00D25210">
        <w:rPr>
          <w:rFonts w:ascii="Times New Roman" w:hAnsi="Times New Roman" w:cs="Times New Roman"/>
          <w:color w:val="000000" w:themeColor="text1"/>
          <w:vertAlign w:val="superscript"/>
        </w:rPr>
        <w:t>2</w:t>
      </w:r>
      <w:r w:rsidRPr="00D25210">
        <w:rPr>
          <w:rFonts w:ascii="Times New Roman" w:hAnsi="Times New Roman" w:cs="Times New Roman"/>
          <w:color w:val="000000" w:themeColor="text1"/>
        </w:rPr>
        <w:t xml:space="preserve"> values are shown for the independent test </w:t>
      </w:r>
      <w:r>
        <w:rPr>
          <w:rFonts w:ascii="Times New Roman" w:hAnsi="Times New Roman" w:cs="Times New Roman"/>
          <w:color w:val="000000" w:themeColor="text1"/>
        </w:rPr>
        <w:t>subsets</w:t>
      </w:r>
      <w:r w:rsidRPr="00D25210">
        <w:rPr>
          <w:rFonts w:ascii="Times New Roman" w:hAnsi="Times New Roman" w:cs="Times New Roman"/>
          <w:color w:val="000000" w:themeColor="text1"/>
        </w:rPr>
        <w:t>.</w:t>
      </w:r>
      <w:r>
        <w:rPr>
          <w:rFonts w:ascii="Times New Roman" w:hAnsi="Times New Roman" w:cs="Times New Roman"/>
          <w:color w:val="000000" w:themeColor="text1"/>
        </w:rPr>
        <w:br w:type="page"/>
      </w:r>
    </w:p>
    <w:p w:rsidR="009A2C95" w:rsidRPr="00D25210" w:rsidRDefault="009A2C95" w:rsidP="009A2C95">
      <w:pPr>
        <w:spacing w:line="360" w:lineRule="auto"/>
        <w:rPr>
          <w:rFonts w:ascii="Times New Roman" w:hAnsi="Times New Roman" w:cs="Times New Roman"/>
          <w:color w:val="000000" w:themeColor="text1"/>
        </w:rPr>
      </w:pPr>
      <w:r w:rsidRPr="00414247">
        <w:rPr>
          <w:noProof/>
        </w:rPr>
        <w:lastRenderedPageBreak/>
        <w:t xml:space="preserve"> </w:t>
      </w:r>
      <w:r w:rsidRPr="00414247">
        <w:rPr>
          <w:rFonts w:ascii="Times New Roman" w:hAnsi="Times New Roman" w:cs="Times New Roman"/>
          <w:noProof/>
          <w:color w:val="000000" w:themeColor="text1"/>
        </w:rPr>
        <w:drawing>
          <wp:inline distT="0" distB="0" distL="0" distR="0" wp14:anchorId="6287F17C" wp14:editId="14481AC2">
            <wp:extent cx="4838683" cy="4481465"/>
            <wp:effectExtent l="0" t="0" r="63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43698" cy="4486109"/>
                    </a:xfrm>
                    <a:prstGeom prst="rect">
                      <a:avLst/>
                    </a:prstGeom>
                  </pic:spPr>
                </pic:pic>
              </a:graphicData>
            </a:graphic>
          </wp:inline>
        </w:drawing>
      </w:r>
    </w:p>
    <w:p w:rsidR="009A2C95" w:rsidRDefault="009A2C95" w:rsidP="009A2C95">
      <w:pPr>
        <w:pStyle w:val="Heading3"/>
        <w:spacing w:line="360" w:lineRule="auto"/>
        <w:rPr>
          <w:rFonts w:ascii="Times New Roman" w:hAnsi="Times New Roman" w:cs="Times New Roman"/>
          <w:color w:val="000000" w:themeColor="text1"/>
        </w:rPr>
      </w:pPr>
      <w:r w:rsidRPr="00D25210">
        <w:rPr>
          <w:rFonts w:ascii="Times New Roman" w:hAnsi="Times New Roman" w:cs="Times New Roman"/>
          <w:b/>
          <w:bCs/>
          <w:color w:val="000000" w:themeColor="text1"/>
        </w:rPr>
        <w:t>Figure S4 |</w:t>
      </w:r>
      <w:r w:rsidRPr="00D25210">
        <w:rPr>
          <w:rFonts w:ascii="Times New Roman" w:hAnsi="Times New Roman" w:cs="Times New Roman"/>
          <w:color w:val="000000" w:themeColor="text1"/>
        </w:rPr>
        <w:t xml:space="preserve"> Variance explained with Random Forest (RF) in broad forest and herbaceous biome classifications for each of the observational</w:t>
      </w:r>
      <w:r>
        <w:rPr>
          <w:rFonts w:ascii="Times New Roman" w:hAnsi="Times New Roman" w:cs="Times New Roman"/>
          <w:color w:val="000000" w:themeColor="text1"/>
        </w:rPr>
        <w:t>ly-derived</w:t>
      </w:r>
      <w:r w:rsidRPr="00D25210">
        <w:rPr>
          <w:rFonts w:ascii="Times New Roman" w:hAnsi="Times New Roman" w:cs="Times New Roman"/>
          <w:color w:val="000000" w:themeColor="text1"/>
        </w:rPr>
        <w:t xml:space="preserve"> data products and process-based model outputs. Percent variance explained is shown for independent (out-of-sample) test subsets, which were not used to train the RF models (75%-25% train-test split). Covariates used included soil texture (TEX), mean annual temperature (MAT), and net primary productivity (NPP). Results shown are averaged over an ensemble of RFs with bootstrapped sampling, and box plots depict the 95% confidence intervals (error bars) and first and third quartiles (boxes). Dotted vertical line</w:t>
      </w:r>
      <w:r>
        <w:rPr>
          <w:rFonts w:ascii="Times New Roman" w:hAnsi="Times New Roman" w:cs="Times New Roman"/>
          <w:color w:val="000000" w:themeColor="text1"/>
        </w:rPr>
        <w:t>s</w:t>
      </w:r>
      <w:r w:rsidRPr="00D25210">
        <w:rPr>
          <w:rFonts w:ascii="Times New Roman" w:hAnsi="Times New Roman" w:cs="Times New Roman"/>
          <w:color w:val="000000" w:themeColor="text1"/>
        </w:rPr>
        <w:t xml:space="preserve"> depicts the variance explained globally. </w:t>
      </w:r>
      <w:r>
        <w:rPr>
          <w:rFonts w:ascii="Times New Roman" w:hAnsi="Times New Roman" w:cs="Times New Roman"/>
          <w:color w:val="000000" w:themeColor="text1"/>
        </w:rPr>
        <w:br w:type="page"/>
      </w:r>
    </w:p>
    <w:p w:rsidR="009A2C95" w:rsidRPr="00D25210" w:rsidRDefault="009A2C95" w:rsidP="009A2C95">
      <w:pPr>
        <w:spacing w:line="360" w:lineRule="auto"/>
        <w:rPr>
          <w:rFonts w:ascii="Times New Roman" w:hAnsi="Times New Roman" w:cs="Times New Roman"/>
          <w:color w:val="000000" w:themeColor="text1"/>
        </w:rPr>
      </w:pPr>
      <w:r w:rsidRPr="007F5FAB">
        <w:rPr>
          <w:noProof/>
        </w:rPr>
        <w:lastRenderedPageBreak/>
        <w:t xml:space="preserve"> </w:t>
      </w:r>
      <w:r w:rsidRPr="007F5FAB">
        <w:rPr>
          <w:rFonts w:ascii="Times New Roman" w:hAnsi="Times New Roman" w:cs="Times New Roman"/>
          <w:noProof/>
          <w:color w:val="000000" w:themeColor="text1"/>
        </w:rPr>
        <w:drawing>
          <wp:inline distT="0" distB="0" distL="0" distR="0" wp14:anchorId="2D374FDB" wp14:editId="3DFF540F">
            <wp:extent cx="5160475" cy="5205643"/>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168077" cy="5213312"/>
                    </a:xfrm>
                    <a:prstGeom prst="rect">
                      <a:avLst/>
                    </a:prstGeom>
                  </pic:spPr>
                </pic:pic>
              </a:graphicData>
            </a:graphic>
          </wp:inline>
        </w:drawing>
      </w:r>
    </w:p>
    <w:p w:rsidR="009A2C95" w:rsidRDefault="009A2C95" w:rsidP="009A2C95">
      <w:pPr>
        <w:pStyle w:val="Heading3"/>
        <w:spacing w:line="360" w:lineRule="auto"/>
        <w:rPr>
          <w:rFonts w:ascii="Times New Roman" w:hAnsi="Times New Roman" w:cs="Times New Roman"/>
          <w:color w:val="000000" w:themeColor="text1"/>
        </w:rPr>
      </w:pPr>
      <w:r w:rsidRPr="00D25210">
        <w:rPr>
          <w:rFonts w:ascii="Times New Roman" w:hAnsi="Times New Roman" w:cs="Times New Roman"/>
          <w:b/>
          <w:bCs/>
          <w:color w:val="000000" w:themeColor="text1"/>
        </w:rPr>
        <w:t>Figure S5 |</w:t>
      </w:r>
      <w:r w:rsidRPr="00D25210">
        <w:rPr>
          <w:rFonts w:ascii="Times New Roman" w:hAnsi="Times New Roman" w:cs="Times New Roman"/>
          <w:color w:val="000000" w:themeColor="text1"/>
        </w:rPr>
        <w:t xml:space="preserve"> Variance explained with Random Forest (RF) in individual biomes for each of the observational</w:t>
      </w:r>
      <w:r>
        <w:rPr>
          <w:rFonts w:ascii="Times New Roman" w:hAnsi="Times New Roman" w:cs="Times New Roman"/>
          <w:color w:val="000000" w:themeColor="text1"/>
        </w:rPr>
        <w:t>ly-derived</w:t>
      </w:r>
      <w:r w:rsidRPr="00D25210">
        <w:rPr>
          <w:rFonts w:ascii="Times New Roman" w:hAnsi="Times New Roman" w:cs="Times New Roman"/>
          <w:color w:val="000000" w:themeColor="text1"/>
        </w:rPr>
        <w:t xml:space="preserve"> data products and process-based model outputs. Percent variance explained is shown for independent (out-of-sample) test subsets, which were not used to train the RF models (75%-25% train-test split). Covariates used included soil texture (TEX), mean annual temperature (MAT), and net primary productivity (NPP). Deciduous needleleaf and evergreen broadleaf forests have the lowest predictability across all observation/model sources, where the RF for evergreen broadleaf in HWSD failed completely. Results shown are averaged over an ensemble of RFs with bootstrapped sampling, and box plots depict the 95% confidence intervals (error bars) and first and third quartiles (boxes). Dotted vertical line</w:t>
      </w:r>
      <w:r>
        <w:rPr>
          <w:rFonts w:ascii="Times New Roman" w:hAnsi="Times New Roman" w:cs="Times New Roman"/>
          <w:color w:val="000000" w:themeColor="text1"/>
        </w:rPr>
        <w:t>s</w:t>
      </w:r>
      <w:r w:rsidRPr="00D25210">
        <w:rPr>
          <w:rFonts w:ascii="Times New Roman" w:hAnsi="Times New Roman" w:cs="Times New Roman"/>
          <w:color w:val="000000" w:themeColor="text1"/>
        </w:rPr>
        <w:t xml:space="preserve"> depicts the variance explained globally. </w:t>
      </w:r>
      <w:r>
        <w:rPr>
          <w:rFonts w:ascii="Times New Roman" w:hAnsi="Times New Roman" w:cs="Times New Roman"/>
          <w:color w:val="000000" w:themeColor="text1"/>
        </w:rPr>
        <w:br w:type="page"/>
      </w:r>
    </w:p>
    <w:p w:rsidR="009A2C95" w:rsidRDefault="009A2C95" w:rsidP="009A2C95">
      <w:pPr>
        <w:pStyle w:val="Heading3"/>
        <w:spacing w:line="360" w:lineRule="auto"/>
        <w:rPr>
          <w:rFonts w:ascii="Times New Roman" w:hAnsi="Times New Roman" w:cs="Times New Roman"/>
          <w:color w:val="000000" w:themeColor="text1"/>
        </w:rPr>
      </w:pPr>
      <w:r w:rsidRPr="00D30928">
        <w:rPr>
          <w:rFonts w:ascii="Times New Roman" w:hAnsi="Times New Roman" w:cs="Times New Roman"/>
          <w:noProof/>
          <w:color w:val="000000" w:themeColor="text1"/>
        </w:rPr>
        <w:lastRenderedPageBreak/>
        <w:drawing>
          <wp:inline distT="0" distB="0" distL="0" distR="0" wp14:anchorId="07489294" wp14:editId="062BE40D">
            <wp:extent cx="5943600" cy="51562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5156200"/>
                    </a:xfrm>
                    <a:prstGeom prst="rect">
                      <a:avLst/>
                    </a:prstGeom>
                  </pic:spPr>
                </pic:pic>
              </a:graphicData>
            </a:graphic>
          </wp:inline>
        </w:drawing>
      </w:r>
    </w:p>
    <w:p w:rsidR="009A2C95" w:rsidRPr="00D25210" w:rsidRDefault="009A2C95" w:rsidP="009A2C95">
      <w:pPr>
        <w:pStyle w:val="Heading3"/>
        <w:spacing w:line="360" w:lineRule="auto"/>
        <w:rPr>
          <w:rFonts w:ascii="Times New Roman" w:hAnsi="Times New Roman" w:cs="Times New Roman"/>
          <w:color w:val="000000" w:themeColor="text1"/>
        </w:rPr>
      </w:pPr>
      <w:r w:rsidRPr="00E2654E">
        <w:rPr>
          <w:rFonts w:ascii="Times New Roman" w:hAnsi="Times New Roman" w:cs="Times New Roman"/>
          <w:b/>
          <w:bCs/>
          <w:color w:val="000000" w:themeColor="text1"/>
        </w:rPr>
        <w:t>Figure S</w:t>
      </w:r>
      <w:r>
        <w:rPr>
          <w:rFonts w:ascii="Times New Roman" w:hAnsi="Times New Roman" w:cs="Times New Roman"/>
          <w:b/>
          <w:bCs/>
          <w:color w:val="000000" w:themeColor="text1"/>
        </w:rPr>
        <w:t>6</w:t>
      </w:r>
      <w:r>
        <w:rPr>
          <w:rFonts w:ascii="Times New Roman" w:hAnsi="Times New Roman" w:cs="Times New Roman"/>
          <w:color w:val="000000" w:themeColor="text1"/>
        </w:rPr>
        <w:t xml:space="preserve"> | </w:t>
      </w:r>
      <w:r w:rsidRPr="00D25210">
        <w:rPr>
          <w:rFonts w:ascii="Times New Roman" w:hAnsi="Times New Roman" w:cs="Times New Roman"/>
          <w:color w:val="000000" w:themeColor="text1"/>
        </w:rPr>
        <w:t xml:space="preserve">Variable importance for soil organic carbon </w:t>
      </w:r>
      <w:r>
        <w:rPr>
          <w:rFonts w:ascii="Times New Roman" w:hAnsi="Times New Roman" w:cs="Times New Roman"/>
          <w:color w:val="000000" w:themeColor="text1"/>
        </w:rPr>
        <w:t xml:space="preserve">(SOC) </w:t>
      </w:r>
      <w:r w:rsidRPr="00D25210">
        <w:rPr>
          <w:rFonts w:ascii="Times New Roman" w:hAnsi="Times New Roman" w:cs="Times New Roman"/>
          <w:color w:val="000000" w:themeColor="text1"/>
        </w:rPr>
        <w:t>stocks in forest and herbaceous biomes</w:t>
      </w:r>
      <w:r>
        <w:rPr>
          <w:rFonts w:ascii="Times New Roman" w:hAnsi="Times New Roman" w:cs="Times New Roman"/>
          <w:color w:val="000000" w:themeColor="text1"/>
        </w:rPr>
        <w:t>: (a) in high-latitude, permafrost regions only (i.e., with nonzero NCSCD) and (b) excluding permafrost regions globally.</w:t>
      </w:r>
      <w:r w:rsidRPr="00D252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In each global subset, </w:t>
      </w:r>
      <w:r w:rsidRPr="00D25210">
        <w:rPr>
          <w:rFonts w:ascii="Times New Roman" w:hAnsi="Times New Roman" w:cs="Times New Roman"/>
          <w:color w:val="000000" w:themeColor="text1"/>
        </w:rPr>
        <w:t xml:space="preserve">Random Forests (RFs) learned </w:t>
      </w:r>
      <w:r>
        <w:rPr>
          <w:rFonts w:ascii="Times New Roman" w:hAnsi="Times New Roman" w:cs="Times New Roman"/>
          <w:color w:val="000000" w:themeColor="text1"/>
        </w:rPr>
        <w:t xml:space="preserve">the SOC from </w:t>
      </w:r>
      <w:r w:rsidRPr="00D25210">
        <w:rPr>
          <w:rFonts w:ascii="Times New Roman" w:hAnsi="Times New Roman" w:cs="Times New Roman"/>
          <w:color w:val="000000" w:themeColor="text1"/>
        </w:rPr>
        <w:t>observations and biogeochemical models with net primary productivity (NPP), mean annual temperature (MAT), and soil texture (TEX).</w:t>
      </w:r>
      <w:r w:rsidRPr="00D25210">
        <w:rPr>
          <w:rFonts w:ascii="Times New Roman" w:hAnsi="Times New Roman" w:cs="Times New Roman"/>
          <w:b/>
          <w:bCs/>
          <w:color w:val="000000" w:themeColor="text1"/>
        </w:rPr>
        <w:t xml:space="preserve"> </w:t>
      </w:r>
      <w:r w:rsidRPr="00D25210">
        <w:rPr>
          <w:rFonts w:ascii="Times New Roman" w:hAnsi="Times New Roman" w:cs="Times New Roman"/>
          <w:color w:val="000000" w:themeColor="text1"/>
        </w:rPr>
        <w:t>Forests included deciduous/evergreen broadleaf/needleleaf and mixed forests, and herbaceous biomes included grasslands and savannas. Results shown are averaged over an ensemble of RFs with bootstrapped sampling, and box plots depict the 95% confidence intervals (error bars) and first and third quartiles (boxes). Variable importance equal to 1 indicates the highest importance.</w:t>
      </w:r>
      <w:r w:rsidRPr="00D25210">
        <w:rPr>
          <w:rFonts w:ascii="Times New Roman" w:hAnsi="Times New Roman" w:cs="Times New Roman"/>
          <w:color w:val="000000" w:themeColor="text1"/>
        </w:rPr>
        <w:br w:type="page"/>
      </w:r>
    </w:p>
    <w:p w:rsidR="009A2C95" w:rsidRDefault="009A2C95" w:rsidP="009A2C95">
      <w:pPr>
        <w:rPr>
          <w:rFonts w:ascii="Times New Roman" w:hAnsi="Times New Roman" w:cs="Times New Roman"/>
          <w:b/>
          <w:bCs/>
          <w:color w:val="000000" w:themeColor="text1"/>
        </w:rPr>
      </w:pPr>
      <w:r w:rsidRPr="007F4903">
        <w:rPr>
          <w:rFonts w:ascii="Times New Roman" w:hAnsi="Times New Roman" w:cs="Times New Roman"/>
          <w:b/>
          <w:bCs/>
          <w:noProof/>
          <w:color w:val="000000" w:themeColor="text1"/>
        </w:rPr>
        <w:lastRenderedPageBreak/>
        <w:drawing>
          <wp:inline distT="0" distB="0" distL="0" distR="0" wp14:anchorId="5CD8879C" wp14:editId="79D7510C">
            <wp:extent cx="5169529" cy="6129417"/>
            <wp:effectExtent l="0" t="0" r="0"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14181" cy="6182361"/>
                    </a:xfrm>
                    <a:prstGeom prst="rect">
                      <a:avLst/>
                    </a:prstGeom>
                  </pic:spPr>
                </pic:pic>
              </a:graphicData>
            </a:graphic>
          </wp:inline>
        </w:drawing>
      </w:r>
    </w:p>
    <w:p w:rsidR="009A2C95" w:rsidRDefault="009A2C95" w:rsidP="009A2C95">
      <w:pPr>
        <w:spacing w:line="360" w:lineRule="auto"/>
        <w:rPr>
          <w:rFonts w:ascii="Times New Roman" w:hAnsi="Times New Roman" w:cs="Times New Roman"/>
          <w:color w:val="000000" w:themeColor="text1"/>
        </w:rPr>
      </w:pPr>
      <w:r w:rsidRPr="00D25210">
        <w:rPr>
          <w:rFonts w:ascii="Times New Roman" w:hAnsi="Times New Roman" w:cs="Times New Roman"/>
          <w:b/>
          <w:bCs/>
          <w:color w:val="000000" w:themeColor="text1"/>
        </w:rPr>
        <w:t xml:space="preserve">Figure </w:t>
      </w:r>
      <w:r>
        <w:rPr>
          <w:rFonts w:ascii="Times New Roman" w:hAnsi="Times New Roman" w:cs="Times New Roman"/>
          <w:b/>
          <w:bCs/>
          <w:color w:val="000000" w:themeColor="text1"/>
        </w:rPr>
        <w:t>S7</w:t>
      </w:r>
      <w:r w:rsidRPr="00D25210">
        <w:rPr>
          <w:rFonts w:ascii="Times New Roman" w:hAnsi="Times New Roman" w:cs="Times New Roman"/>
          <w:b/>
          <w:bCs/>
          <w:color w:val="000000" w:themeColor="text1"/>
        </w:rPr>
        <w:t xml:space="preserve"> |</w:t>
      </w:r>
      <w:r w:rsidRPr="00D25210">
        <w:rPr>
          <w:rFonts w:ascii="Times New Roman" w:hAnsi="Times New Roman" w:cs="Times New Roman"/>
          <w:color w:val="000000" w:themeColor="text1"/>
        </w:rPr>
        <w:t xml:space="preserve"> Variable importance for soil organic carbon </w:t>
      </w:r>
      <w:r>
        <w:rPr>
          <w:rFonts w:ascii="Times New Roman" w:hAnsi="Times New Roman" w:cs="Times New Roman"/>
          <w:color w:val="000000" w:themeColor="text1"/>
        </w:rPr>
        <w:t xml:space="preserve">(SOC) </w:t>
      </w:r>
      <w:r w:rsidRPr="00D25210">
        <w:rPr>
          <w:rFonts w:ascii="Times New Roman" w:hAnsi="Times New Roman" w:cs="Times New Roman"/>
          <w:color w:val="000000" w:themeColor="text1"/>
        </w:rPr>
        <w:t xml:space="preserve">stocks in individual biomes, using Random Forests (RFs) that learned </w:t>
      </w:r>
      <w:r>
        <w:rPr>
          <w:rFonts w:ascii="Times New Roman" w:hAnsi="Times New Roman" w:cs="Times New Roman"/>
          <w:color w:val="000000" w:themeColor="text1"/>
        </w:rPr>
        <w:t xml:space="preserve">the SOC from </w:t>
      </w:r>
      <w:r w:rsidRPr="00D25210">
        <w:rPr>
          <w:rFonts w:ascii="Times New Roman" w:hAnsi="Times New Roman" w:cs="Times New Roman"/>
          <w:color w:val="000000" w:themeColor="text1"/>
        </w:rPr>
        <w:t>observations and biogeochemical models with net primary productivity (NPP), mean annual temperature (MAT), and soil texture (TEX).</w:t>
      </w:r>
      <w:r w:rsidRPr="00D25210">
        <w:rPr>
          <w:rFonts w:ascii="Times New Roman" w:hAnsi="Times New Roman" w:cs="Times New Roman"/>
          <w:b/>
          <w:bCs/>
          <w:color w:val="000000" w:themeColor="text1"/>
        </w:rPr>
        <w:t xml:space="preserve"> </w:t>
      </w:r>
      <w:r w:rsidRPr="00D25210">
        <w:rPr>
          <w:rFonts w:ascii="Times New Roman" w:hAnsi="Times New Roman" w:cs="Times New Roman"/>
          <w:color w:val="000000" w:themeColor="text1"/>
        </w:rPr>
        <w:t>Evergreen needleleaf, deciduous</w:t>
      </w:r>
      <w:r>
        <w:rPr>
          <w:rFonts w:ascii="Times New Roman" w:hAnsi="Times New Roman" w:cs="Times New Roman"/>
          <w:color w:val="000000" w:themeColor="text1"/>
        </w:rPr>
        <w:t xml:space="preserve"> </w:t>
      </w:r>
      <w:r w:rsidRPr="00D25210">
        <w:rPr>
          <w:rFonts w:ascii="Times New Roman" w:hAnsi="Times New Roman" w:cs="Times New Roman"/>
          <w:color w:val="000000" w:themeColor="text1"/>
        </w:rPr>
        <w:t>broadleaf, and mixed forests constitute forest biomes, and savannas and grasslands constitute herbaceous biomes</w:t>
      </w:r>
      <w:r>
        <w:rPr>
          <w:rFonts w:ascii="Times New Roman" w:hAnsi="Times New Roman" w:cs="Times New Roman"/>
          <w:color w:val="000000" w:themeColor="text1"/>
        </w:rPr>
        <w:t>, as in Fig. 3</w:t>
      </w:r>
      <w:r w:rsidRPr="00D25210">
        <w:rPr>
          <w:rFonts w:ascii="Times New Roman" w:hAnsi="Times New Roman" w:cs="Times New Roman"/>
          <w:color w:val="000000" w:themeColor="text1"/>
        </w:rPr>
        <w:t>. Results shown are averaged over an ensemble of RFs with bootstrapped sampling, and box plots depict the 95% confidence intervals (error bars) and first and third quartiles (boxes). Variable importance equal to 1 indicates the highest importance.</w:t>
      </w:r>
    </w:p>
    <w:p w:rsidR="009A2C95" w:rsidRDefault="009A2C95" w:rsidP="009A2C95">
      <w:pPr>
        <w:rPr>
          <w:rFonts w:ascii="Times New Roman" w:hAnsi="Times New Roman" w:cs="Times New Roman"/>
          <w:color w:val="000000" w:themeColor="text1"/>
        </w:rPr>
      </w:pPr>
      <w:r w:rsidRPr="00CB2A54">
        <w:rPr>
          <w:rFonts w:ascii="Times New Roman" w:hAnsi="Times New Roman" w:cs="Times New Roman"/>
          <w:noProof/>
          <w:color w:val="000000" w:themeColor="text1"/>
        </w:rPr>
        <w:lastRenderedPageBreak/>
        <w:drawing>
          <wp:inline distT="0" distB="0" distL="0" distR="0" wp14:anchorId="544D3058" wp14:editId="30448AE5">
            <wp:extent cx="5168900" cy="3632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68900" cy="3632200"/>
                    </a:xfrm>
                    <a:prstGeom prst="rect">
                      <a:avLst/>
                    </a:prstGeom>
                  </pic:spPr>
                </pic:pic>
              </a:graphicData>
            </a:graphic>
          </wp:inline>
        </w:drawing>
      </w:r>
    </w:p>
    <w:p w:rsidR="009A2C95" w:rsidRDefault="009A2C95" w:rsidP="009A2C95">
      <w:pPr>
        <w:spacing w:line="360" w:lineRule="auto"/>
        <w:rPr>
          <w:rFonts w:ascii="Times New Roman" w:hAnsi="Times New Roman" w:cs="Times New Roman"/>
          <w:color w:val="000000" w:themeColor="text1"/>
        </w:rPr>
      </w:pPr>
      <w:r w:rsidRPr="00E77765">
        <w:rPr>
          <w:rFonts w:ascii="Times New Roman" w:hAnsi="Times New Roman" w:cs="Times New Roman"/>
          <w:b/>
          <w:bCs/>
          <w:color w:val="000000" w:themeColor="text1"/>
        </w:rPr>
        <w:t>Figure S</w:t>
      </w:r>
      <w:r>
        <w:rPr>
          <w:rFonts w:ascii="Times New Roman" w:hAnsi="Times New Roman" w:cs="Times New Roman"/>
          <w:b/>
          <w:bCs/>
          <w:color w:val="000000" w:themeColor="text1"/>
        </w:rPr>
        <w:t>8</w:t>
      </w:r>
      <w:r w:rsidRPr="00E77765">
        <w:rPr>
          <w:rFonts w:ascii="Times New Roman" w:hAnsi="Times New Roman" w:cs="Times New Roman"/>
          <w:b/>
          <w:bCs/>
          <w:color w:val="000000" w:themeColor="text1"/>
        </w:rPr>
        <w:t>:</w:t>
      </w:r>
      <w:r>
        <w:rPr>
          <w:rFonts w:ascii="Times New Roman" w:hAnsi="Times New Roman" w:cs="Times New Roman"/>
          <w:color w:val="000000" w:themeColor="text1"/>
        </w:rPr>
        <w:t xml:space="preserve"> </w:t>
      </w:r>
      <w:r w:rsidRPr="00D25210">
        <w:rPr>
          <w:rFonts w:ascii="Times New Roman" w:hAnsi="Times New Roman" w:cs="Times New Roman"/>
          <w:color w:val="000000" w:themeColor="text1"/>
        </w:rPr>
        <w:t xml:space="preserve">Variable importance for soil organic carbon (SOC) stocks globally, using Random Forests (RFs) that learned the SOC from observations and biogeochemical models with soil </w:t>
      </w:r>
      <w:r>
        <w:rPr>
          <w:rFonts w:ascii="Times New Roman" w:hAnsi="Times New Roman" w:cs="Times New Roman"/>
          <w:color w:val="000000" w:themeColor="text1"/>
        </w:rPr>
        <w:t>clay content</w:t>
      </w:r>
      <w:r w:rsidRPr="00D25210">
        <w:rPr>
          <w:rFonts w:ascii="Times New Roman" w:hAnsi="Times New Roman" w:cs="Times New Roman"/>
          <w:color w:val="000000" w:themeColor="text1"/>
        </w:rPr>
        <w:t xml:space="preserve"> (</w:t>
      </w:r>
      <w:r>
        <w:rPr>
          <w:rFonts w:ascii="Times New Roman" w:hAnsi="Times New Roman" w:cs="Times New Roman"/>
          <w:color w:val="000000" w:themeColor="text1"/>
        </w:rPr>
        <w:t>CLAY</w:t>
      </w:r>
      <w:r w:rsidRPr="00D2521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D25210">
        <w:rPr>
          <w:rFonts w:ascii="Times New Roman" w:hAnsi="Times New Roman" w:cs="Times New Roman"/>
          <w:color w:val="000000" w:themeColor="text1"/>
        </w:rPr>
        <w:t xml:space="preserve">net primary productivity (NPP), </w:t>
      </w:r>
      <w:r>
        <w:rPr>
          <w:rFonts w:ascii="Times New Roman" w:hAnsi="Times New Roman" w:cs="Times New Roman"/>
          <w:color w:val="000000" w:themeColor="text1"/>
        </w:rPr>
        <w:t xml:space="preserve">and </w:t>
      </w:r>
      <w:r w:rsidRPr="00D25210">
        <w:rPr>
          <w:rFonts w:ascii="Times New Roman" w:hAnsi="Times New Roman" w:cs="Times New Roman"/>
          <w:color w:val="000000" w:themeColor="text1"/>
        </w:rPr>
        <w:t>mean annual temperature (MAT).</w:t>
      </w:r>
      <w:r>
        <w:rPr>
          <w:rFonts w:ascii="Times New Roman" w:hAnsi="Times New Roman" w:cs="Times New Roman"/>
          <w:color w:val="000000" w:themeColor="text1"/>
        </w:rPr>
        <w:t xml:space="preserve"> The RF variance explained for SOC from the soil profiles, HWSD, CASA-CNP, MIMICS, and CORPSE was 23%, 48%, 65%, 80%, and 51%, respectively. </w:t>
      </w:r>
      <w:r w:rsidRPr="00D25210">
        <w:rPr>
          <w:rFonts w:ascii="Times New Roman" w:hAnsi="Times New Roman" w:cs="Times New Roman"/>
          <w:color w:val="000000" w:themeColor="text1"/>
        </w:rPr>
        <w:t>Results shown are averaged over an ensemble of RFs with bootstrapped sampling, and box plots depict the 95% confidence intervals (error bars) and first and third quartiles (boxes). Variable importance</w:t>
      </w:r>
      <w:r>
        <w:rPr>
          <w:rFonts w:ascii="Times New Roman" w:hAnsi="Times New Roman" w:cs="Times New Roman"/>
          <w:color w:val="000000" w:themeColor="text1"/>
        </w:rPr>
        <w:t xml:space="preserve"> equal to </w:t>
      </w:r>
      <w:r w:rsidRPr="00D25210">
        <w:rPr>
          <w:rFonts w:ascii="Times New Roman" w:hAnsi="Times New Roman" w:cs="Times New Roman"/>
          <w:color w:val="000000" w:themeColor="text1"/>
        </w:rPr>
        <w:t>1 indicates the highest importance.</w:t>
      </w:r>
      <w:r>
        <w:rPr>
          <w:rFonts w:ascii="Times New Roman" w:hAnsi="Times New Roman" w:cs="Times New Roman"/>
          <w:color w:val="000000" w:themeColor="text1"/>
        </w:rPr>
        <w:t xml:space="preserve"> </w:t>
      </w:r>
      <w:r>
        <w:rPr>
          <w:rFonts w:ascii="Times New Roman" w:hAnsi="Times New Roman" w:cs="Times New Roman"/>
          <w:color w:val="000000" w:themeColor="text1"/>
        </w:rPr>
        <w:br w:type="page"/>
      </w:r>
    </w:p>
    <w:p w:rsidR="009A2C95" w:rsidRPr="00D25210" w:rsidRDefault="009A2C95" w:rsidP="009A2C95">
      <w:pPr>
        <w:pStyle w:val="Heading3"/>
        <w:spacing w:line="360" w:lineRule="auto"/>
        <w:rPr>
          <w:rFonts w:ascii="Times New Roman" w:hAnsi="Times New Roman" w:cs="Times New Roman"/>
          <w:color w:val="000000" w:themeColor="text1"/>
        </w:rPr>
      </w:pPr>
      <w:r w:rsidRPr="00D25210">
        <w:rPr>
          <w:rFonts w:ascii="Times New Roman" w:hAnsi="Times New Roman" w:cs="Times New Roman"/>
          <w:b/>
          <w:bCs/>
          <w:color w:val="000000" w:themeColor="text1"/>
        </w:rPr>
        <w:lastRenderedPageBreak/>
        <w:t xml:space="preserve">Table S2 | </w:t>
      </w:r>
      <w:r w:rsidRPr="00D25210">
        <w:rPr>
          <w:rFonts w:ascii="Times New Roman" w:hAnsi="Times New Roman" w:cs="Times New Roman"/>
          <w:color w:val="000000" w:themeColor="text1"/>
        </w:rPr>
        <w:t xml:space="preserve">Predictability of soil organic carbon stocks from observations (soil profiles, HWSD, NCSCD adj. HWSD) and process-based models (CASA-CNP, MIMICS, CORPSE). Random Forest </w:t>
      </w:r>
      <w:r>
        <w:rPr>
          <w:rFonts w:ascii="Times New Roman" w:hAnsi="Times New Roman" w:cs="Times New Roman"/>
          <w:color w:val="000000" w:themeColor="text1"/>
        </w:rPr>
        <w:t xml:space="preserve">(RF) </w:t>
      </w:r>
      <w:r w:rsidRPr="00D25210">
        <w:rPr>
          <w:rFonts w:ascii="Times New Roman" w:hAnsi="Times New Roman" w:cs="Times New Roman"/>
          <w:color w:val="000000" w:themeColor="text1"/>
        </w:rPr>
        <w:t>models for each observation/model source of soil organic carbon as a function of mean annual temperature, net primary production, soil texture, and with or without mean annual precipitation (MAP).</w:t>
      </w:r>
    </w:p>
    <w:tbl>
      <w:tblPr>
        <w:tblStyle w:val="TableGrid"/>
        <w:tblW w:w="9329" w:type="dxa"/>
        <w:tblBorders>
          <w:insideH w:val="none" w:sz="0" w:space="0" w:color="auto"/>
        </w:tblBorders>
        <w:tblLook w:val="04A0" w:firstRow="1" w:lastRow="0" w:firstColumn="1" w:lastColumn="0" w:noHBand="0" w:noVBand="1"/>
      </w:tblPr>
      <w:tblGrid>
        <w:gridCol w:w="2106"/>
        <w:gridCol w:w="2029"/>
        <w:gridCol w:w="1800"/>
        <w:gridCol w:w="2043"/>
        <w:gridCol w:w="1351"/>
      </w:tblGrid>
      <w:tr w:rsidR="009A2C95" w:rsidRPr="00D25210" w:rsidTr="00EA13BA">
        <w:trPr>
          <w:trHeight w:val="604"/>
        </w:trPr>
        <w:tc>
          <w:tcPr>
            <w:tcW w:w="2106" w:type="dxa"/>
            <w:tcBorders>
              <w:top w:val="single" w:sz="4" w:space="0" w:color="auto"/>
              <w:bottom w:val="single" w:sz="4" w:space="0" w:color="auto"/>
            </w:tcBorders>
            <w:shd w:val="clear" w:color="auto" w:fill="BFBFBF" w:themeFill="background1" w:themeFillShade="BF"/>
            <w:vAlign w:val="center"/>
          </w:tcPr>
          <w:p w:rsidR="009A2C95" w:rsidRPr="00D25210" w:rsidRDefault="009A2C95" w:rsidP="00EA13BA">
            <w:pPr>
              <w:rPr>
                <w:rFonts w:ascii="Times New Roman" w:hAnsi="Times New Roman" w:cs="Times New Roman"/>
                <w:color w:val="000000" w:themeColor="text1"/>
                <w:sz w:val="22"/>
                <w:szCs w:val="22"/>
              </w:rPr>
            </w:pPr>
          </w:p>
        </w:tc>
        <w:tc>
          <w:tcPr>
            <w:tcW w:w="2029" w:type="dxa"/>
            <w:tcBorders>
              <w:top w:val="single" w:sz="4" w:space="0" w:color="auto"/>
              <w:bottom w:val="single" w:sz="4" w:space="0" w:color="auto"/>
            </w:tcBorders>
            <w:shd w:val="clear" w:color="auto" w:fill="BFBFBF" w:themeFill="background1" w:themeFillShade="BF"/>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Type</w:t>
            </w:r>
          </w:p>
        </w:tc>
        <w:tc>
          <w:tcPr>
            <w:tcW w:w="1800" w:type="dxa"/>
            <w:tcBorders>
              <w:top w:val="single" w:sz="4" w:space="0" w:color="auto"/>
              <w:bottom w:val="single" w:sz="4" w:space="0" w:color="auto"/>
            </w:tcBorders>
            <w:shd w:val="clear" w:color="auto" w:fill="BFBFBF" w:themeFill="background1" w:themeFillShade="BF"/>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Percent variance explained by RF</w:t>
            </w:r>
            <w:r w:rsidRPr="00D25210">
              <w:rPr>
                <w:rFonts w:ascii="Times New Roman" w:hAnsi="Times New Roman" w:cs="Times New Roman"/>
                <w:color w:val="000000" w:themeColor="text1"/>
                <w:sz w:val="21"/>
                <w:szCs w:val="21"/>
                <w:vertAlign w:val="superscript"/>
              </w:rPr>
              <w:t>‡</w:t>
            </w:r>
            <w:r w:rsidRPr="00D25210">
              <w:rPr>
                <w:rFonts w:ascii="Times New Roman" w:hAnsi="Times New Roman" w:cs="Times New Roman"/>
                <w:color w:val="000000" w:themeColor="text1"/>
                <w:sz w:val="22"/>
                <w:szCs w:val="22"/>
              </w:rPr>
              <w:t xml:space="preserve">  without MAP</w:t>
            </w:r>
          </w:p>
        </w:tc>
        <w:tc>
          <w:tcPr>
            <w:tcW w:w="2043" w:type="dxa"/>
            <w:tcBorders>
              <w:top w:val="single" w:sz="4" w:space="0" w:color="auto"/>
              <w:bottom w:val="single" w:sz="4" w:space="0" w:color="auto"/>
            </w:tcBorders>
            <w:shd w:val="clear" w:color="auto" w:fill="BFBFBF" w:themeFill="background1" w:themeFillShade="BF"/>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Percent variance explained by RF</w:t>
            </w:r>
            <w:r w:rsidRPr="00D25210">
              <w:rPr>
                <w:rFonts w:ascii="Times New Roman" w:hAnsi="Times New Roman" w:cs="Times New Roman"/>
                <w:color w:val="000000" w:themeColor="text1"/>
                <w:sz w:val="21"/>
                <w:szCs w:val="21"/>
                <w:vertAlign w:val="superscript"/>
              </w:rPr>
              <w:t>‡</w:t>
            </w:r>
            <w:r w:rsidRPr="00D25210">
              <w:rPr>
                <w:rFonts w:ascii="Times New Roman" w:hAnsi="Times New Roman" w:cs="Times New Roman"/>
                <w:color w:val="000000" w:themeColor="text1"/>
                <w:sz w:val="22"/>
                <w:szCs w:val="22"/>
              </w:rPr>
              <w:t xml:space="preserve"> with MAP included</w:t>
            </w:r>
          </w:p>
        </w:tc>
        <w:tc>
          <w:tcPr>
            <w:tcW w:w="1351" w:type="dxa"/>
            <w:tcBorders>
              <w:top w:val="single" w:sz="4" w:space="0" w:color="auto"/>
              <w:bottom w:val="single" w:sz="4" w:space="0" w:color="auto"/>
            </w:tcBorders>
            <w:shd w:val="clear" w:color="auto" w:fill="BFBFBF" w:themeFill="background1" w:themeFillShade="BF"/>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Difference with MAP</w:t>
            </w:r>
          </w:p>
        </w:tc>
      </w:tr>
      <w:tr w:rsidR="009A2C95" w:rsidRPr="00D25210" w:rsidTr="00EA13BA">
        <w:trPr>
          <w:trHeight w:val="377"/>
        </w:trPr>
        <w:tc>
          <w:tcPr>
            <w:tcW w:w="2106" w:type="dxa"/>
            <w:tcBorders>
              <w:top w:val="single" w:sz="4" w:space="0" w:color="auto"/>
            </w:tcBorders>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Soil Profiles</w:t>
            </w:r>
          </w:p>
        </w:tc>
        <w:tc>
          <w:tcPr>
            <w:tcW w:w="2029" w:type="dxa"/>
            <w:tcBorders>
              <w:top w:val="single" w:sz="4" w:space="0" w:color="auto"/>
            </w:tcBorders>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Observation</w:t>
            </w:r>
          </w:p>
        </w:tc>
        <w:tc>
          <w:tcPr>
            <w:tcW w:w="1800" w:type="dxa"/>
            <w:tcBorders>
              <w:top w:val="single" w:sz="4" w:space="0" w:color="auto"/>
            </w:tcBorders>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2</w:t>
            </w:r>
            <w:r>
              <w:rPr>
                <w:rFonts w:ascii="Times New Roman" w:hAnsi="Times New Roman" w:cs="Times New Roman"/>
                <w:color w:val="000000" w:themeColor="text1"/>
                <w:sz w:val="22"/>
                <w:szCs w:val="22"/>
              </w:rPr>
              <w:t>6</w:t>
            </w:r>
            <w:r w:rsidRPr="00D25210">
              <w:rPr>
                <w:rFonts w:ascii="Times New Roman" w:hAnsi="Times New Roman" w:cs="Times New Roman"/>
                <w:color w:val="000000" w:themeColor="text1"/>
                <w:sz w:val="22"/>
                <w:szCs w:val="22"/>
              </w:rPr>
              <w:t>%</w:t>
            </w:r>
          </w:p>
        </w:tc>
        <w:tc>
          <w:tcPr>
            <w:tcW w:w="2043" w:type="dxa"/>
            <w:tcBorders>
              <w:top w:val="single" w:sz="4" w:space="0" w:color="auto"/>
            </w:tcBorders>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31%</w:t>
            </w:r>
          </w:p>
        </w:tc>
        <w:tc>
          <w:tcPr>
            <w:tcW w:w="1351" w:type="dxa"/>
            <w:tcBorders>
              <w:top w:val="single" w:sz="4" w:space="0" w:color="auto"/>
            </w:tcBorders>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w:t>
            </w:r>
            <w:r w:rsidRPr="00D25210">
              <w:rPr>
                <w:rFonts w:ascii="Times New Roman" w:hAnsi="Times New Roman" w:cs="Times New Roman"/>
                <w:color w:val="000000" w:themeColor="text1"/>
                <w:sz w:val="22"/>
                <w:szCs w:val="22"/>
              </w:rPr>
              <w:t>%</w:t>
            </w:r>
          </w:p>
        </w:tc>
      </w:tr>
      <w:tr w:rsidR="009A2C95" w:rsidRPr="00D25210" w:rsidTr="00EA13BA">
        <w:trPr>
          <w:trHeight w:val="351"/>
        </w:trPr>
        <w:tc>
          <w:tcPr>
            <w:tcW w:w="2106"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HWSD</w:t>
            </w:r>
          </w:p>
        </w:tc>
        <w:tc>
          <w:tcPr>
            <w:tcW w:w="2029"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Observation-derived</w:t>
            </w:r>
          </w:p>
        </w:tc>
        <w:tc>
          <w:tcPr>
            <w:tcW w:w="1800"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5</w:t>
            </w:r>
            <w:r>
              <w:rPr>
                <w:rFonts w:ascii="Times New Roman" w:hAnsi="Times New Roman" w:cs="Times New Roman"/>
                <w:color w:val="000000" w:themeColor="text1"/>
                <w:sz w:val="22"/>
                <w:szCs w:val="22"/>
              </w:rPr>
              <w:t>8</w:t>
            </w:r>
            <w:r w:rsidRPr="00D25210">
              <w:rPr>
                <w:rFonts w:ascii="Times New Roman" w:hAnsi="Times New Roman" w:cs="Times New Roman"/>
                <w:color w:val="000000" w:themeColor="text1"/>
                <w:sz w:val="22"/>
                <w:szCs w:val="22"/>
              </w:rPr>
              <w:t>%</w:t>
            </w:r>
          </w:p>
        </w:tc>
        <w:tc>
          <w:tcPr>
            <w:tcW w:w="2043"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5</w:t>
            </w:r>
            <w:r>
              <w:rPr>
                <w:rFonts w:ascii="Times New Roman" w:hAnsi="Times New Roman" w:cs="Times New Roman"/>
                <w:color w:val="000000" w:themeColor="text1"/>
                <w:sz w:val="22"/>
                <w:szCs w:val="22"/>
              </w:rPr>
              <w:t>9</w:t>
            </w:r>
            <w:r w:rsidRPr="00D25210">
              <w:rPr>
                <w:rFonts w:ascii="Times New Roman" w:hAnsi="Times New Roman" w:cs="Times New Roman"/>
                <w:color w:val="000000" w:themeColor="text1"/>
                <w:sz w:val="22"/>
                <w:szCs w:val="22"/>
              </w:rPr>
              <w:t>%</w:t>
            </w:r>
          </w:p>
        </w:tc>
        <w:tc>
          <w:tcPr>
            <w:tcW w:w="1351"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w:t>
            </w:r>
            <w:r w:rsidRPr="00D25210">
              <w:rPr>
                <w:rFonts w:ascii="Times New Roman" w:hAnsi="Times New Roman" w:cs="Times New Roman"/>
                <w:color w:val="000000" w:themeColor="text1"/>
                <w:sz w:val="22"/>
                <w:szCs w:val="22"/>
              </w:rPr>
              <w:t>%</w:t>
            </w:r>
          </w:p>
        </w:tc>
      </w:tr>
      <w:tr w:rsidR="009A2C95" w:rsidRPr="00D25210" w:rsidTr="00EA13BA">
        <w:trPr>
          <w:trHeight w:val="385"/>
        </w:trPr>
        <w:tc>
          <w:tcPr>
            <w:tcW w:w="2106"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NCSCD adj. HWSD</w:t>
            </w:r>
          </w:p>
        </w:tc>
        <w:tc>
          <w:tcPr>
            <w:tcW w:w="2029"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Observation-derived</w:t>
            </w:r>
          </w:p>
        </w:tc>
        <w:tc>
          <w:tcPr>
            <w:tcW w:w="1800"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5</w:t>
            </w:r>
            <w:r>
              <w:rPr>
                <w:rFonts w:ascii="Times New Roman" w:hAnsi="Times New Roman" w:cs="Times New Roman"/>
                <w:color w:val="000000" w:themeColor="text1"/>
                <w:sz w:val="22"/>
                <w:szCs w:val="22"/>
              </w:rPr>
              <w:t>3</w:t>
            </w:r>
            <w:r w:rsidRPr="00D25210">
              <w:rPr>
                <w:rFonts w:ascii="Times New Roman" w:hAnsi="Times New Roman" w:cs="Times New Roman"/>
                <w:color w:val="000000" w:themeColor="text1"/>
                <w:sz w:val="22"/>
                <w:szCs w:val="22"/>
              </w:rPr>
              <w:t>%</w:t>
            </w:r>
          </w:p>
        </w:tc>
        <w:tc>
          <w:tcPr>
            <w:tcW w:w="2043"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55%</w:t>
            </w:r>
          </w:p>
        </w:tc>
        <w:tc>
          <w:tcPr>
            <w:tcW w:w="1351" w:type="dxa"/>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w:t>
            </w:r>
            <w:r w:rsidRPr="00D25210">
              <w:rPr>
                <w:rFonts w:ascii="Times New Roman" w:hAnsi="Times New Roman" w:cs="Times New Roman"/>
                <w:color w:val="000000" w:themeColor="text1"/>
                <w:sz w:val="22"/>
                <w:szCs w:val="22"/>
              </w:rPr>
              <w:t>%</w:t>
            </w:r>
          </w:p>
        </w:tc>
      </w:tr>
      <w:tr w:rsidR="009A2C95" w:rsidRPr="00D25210" w:rsidTr="00EA13BA">
        <w:trPr>
          <w:trHeight w:val="385"/>
        </w:trPr>
        <w:tc>
          <w:tcPr>
            <w:tcW w:w="2106"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CASA-CNP</w:t>
            </w:r>
          </w:p>
        </w:tc>
        <w:tc>
          <w:tcPr>
            <w:tcW w:w="2029"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Model</w:t>
            </w:r>
          </w:p>
        </w:tc>
        <w:tc>
          <w:tcPr>
            <w:tcW w:w="1800"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6</w:t>
            </w:r>
            <w:r>
              <w:rPr>
                <w:rFonts w:ascii="Times New Roman" w:hAnsi="Times New Roman" w:cs="Times New Roman"/>
                <w:color w:val="000000" w:themeColor="text1"/>
                <w:sz w:val="22"/>
                <w:szCs w:val="22"/>
              </w:rPr>
              <w:t>3</w:t>
            </w:r>
            <w:r w:rsidRPr="00D25210">
              <w:rPr>
                <w:rFonts w:ascii="Times New Roman" w:hAnsi="Times New Roman" w:cs="Times New Roman"/>
                <w:color w:val="000000" w:themeColor="text1"/>
                <w:sz w:val="22"/>
                <w:szCs w:val="22"/>
              </w:rPr>
              <w:t>%</w:t>
            </w:r>
          </w:p>
        </w:tc>
        <w:tc>
          <w:tcPr>
            <w:tcW w:w="2043"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68%</w:t>
            </w:r>
          </w:p>
        </w:tc>
        <w:tc>
          <w:tcPr>
            <w:tcW w:w="1351"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5</w:t>
            </w:r>
            <w:r w:rsidRPr="00D25210">
              <w:rPr>
                <w:rFonts w:ascii="Times New Roman" w:hAnsi="Times New Roman" w:cs="Times New Roman"/>
                <w:color w:val="000000" w:themeColor="text1"/>
                <w:sz w:val="22"/>
                <w:szCs w:val="22"/>
              </w:rPr>
              <w:t>%</w:t>
            </w:r>
          </w:p>
        </w:tc>
      </w:tr>
      <w:tr w:rsidR="009A2C95" w:rsidRPr="00D25210" w:rsidTr="00EA13BA">
        <w:trPr>
          <w:trHeight w:val="385"/>
        </w:trPr>
        <w:tc>
          <w:tcPr>
            <w:tcW w:w="2106"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MIMICS</w:t>
            </w:r>
          </w:p>
        </w:tc>
        <w:tc>
          <w:tcPr>
            <w:tcW w:w="2029"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Model</w:t>
            </w:r>
          </w:p>
        </w:tc>
        <w:tc>
          <w:tcPr>
            <w:tcW w:w="1800"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81%</w:t>
            </w:r>
          </w:p>
        </w:tc>
        <w:tc>
          <w:tcPr>
            <w:tcW w:w="2043"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82%</w:t>
            </w:r>
          </w:p>
        </w:tc>
        <w:tc>
          <w:tcPr>
            <w:tcW w:w="1351" w:type="dxa"/>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1%</w:t>
            </w:r>
          </w:p>
        </w:tc>
      </w:tr>
      <w:tr w:rsidR="009A2C95" w:rsidRPr="00E51878" w:rsidTr="00EA13BA">
        <w:trPr>
          <w:trHeight w:val="385"/>
        </w:trPr>
        <w:tc>
          <w:tcPr>
            <w:tcW w:w="2106" w:type="dxa"/>
            <w:tcBorders>
              <w:bottom w:val="single" w:sz="4" w:space="0" w:color="auto"/>
            </w:tcBorders>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CORPSE</w:t>
            </w:r>
          </w:p>
        </w:tc>
        <w:tc>
          <w:tcPr>
            <w:tcW w:w="2029" w:type="dxa"/>
            <w:tcBorders>
              <w:bottom w:val="single" w:sz="4" w:space="0" w:color="auto"/>
            </w:tcBorders>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Model</w:t>
            </w:r>
          </w:p>
        </w:tc>
        <w:tc>
          <w:tcPr>
            <w:tcW w:w="1800" w:type="dxa"/>
            <w:tcBorders>
              <w:bottom w:val="single" w:sz="4" w:space="0" w:color="auto"/>
            </w:tcBorders>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5</w:t>
            </w:r>
            <w:r>
              <w:rPr>
                <w:rFonts w:ascii="Times New Roman" w:hAnsi="Times New Roman" w:cs="Times New Roman"/>
                <w:color w:val="000000" w:themeColor="text1"/>
                <w:sz w:val="22"/>
                <w:szCs w:val="22"/>
              </w:rPr>
              <w:t>3</w:t>
            </w:r>
            <w:r w:rsidRPr="00D25210">
              <w:rPr>
                <w:rFonts w:ascii="Times New Roman" w:hAnsi="Times New Roman" w:cs="Times New Roman"/>
                <w:color w:val="000000" w:themeColor="text1"/>
                <w:sz w:val="22"/>
                <w:szCs w:val="22"/>
              </w:rPr>
              <w:t>%</w:t>
            </w:r>
          </w:p>
        </w:tc>
        <w:tc>
          <w:tcPr>
            <w:tcW w:w="2043" w:type="dxa"/>
            <w:tcBorders>
              <w:bottom w:val="single" w:sz="4" w:space="0" w:color="auto"/>
            </w:tcBorders>
            <w:shd w:val="clear" w:color="auto" w:fill="F2F2F2" w:themeFill="background1" w:themeFillShade="F2"/>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2"/>
                <w:szCs w:val="22"/>
              </w:rPr>
              <w:t>55%</w:t>
            </w:r>
          </w:p>
        </w:tc>
        <w:tc>
          <w:tcPr>
            <w:tcW w:w="1351" w:type="dxa"/>
            <w:tcBorders>
              <w:bottom w:val="single" w:sz="4" w:space="0" w:color="auto"/>
            </w:tcBorders>
            <w:shd w:val="clear" w:color="auto" w:fill="F2F2F2" w:themeFill="background1" w:themeFillShade="F2"/>
            <w:vAlign w:val="center"/>
          </w:tcPr>
          <w:p w:rsidR="009A2C95" w:rsidRPr="00E51878" w:rsidRDefault="009A2C95" w:rsidP="00EA13BA">
            <w:pP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2</w:t>
            </w:r>
            <w:r w:rsidRPr="00D25210">
              <w:rPr>
                <w:rFonts w:ascii="Times New Roman" w:hAnsi="Times New Roman" w:cs="Times New Roman"/>
                <w:color w:val="000000" w:themeColor="text1"/>
                <w:sz w:val="22"/>
                <w:szCs w:val="22"/>
              </w:rPr>
              <w:t>%</w:t>
            </w:r>
          </w:p>
        </w:tc>
      </w:tr>
      <w:tr w:rsidR="009A2C95" w:rsidRPr="00E51878" w:rsidTr="00EA13BA">
        <w:trPr>
          <w:trHeight w:val="385"/>
        </w:trPr>
        <w:tc>
          <w:tcPr>
            <w:tcW w:w="9329" w:type="dxa"/>
            <w:gridSpan w:val="5"/>
            <w:tcBorders>
              <w:top w:val="single" w:sz="4" w:space="0" w:color="auto"/>
              <w:left w:val="nil"/>
              <w:bottom w:val="nil"/>
              <w:right w:val="nil"/>
            </w:tcBorders>
            <w:shd w:val="clear" w:color="auto" w:fill="FFFFFF" w:themeFill="background1"/>
            <w:vAlign w:val="center"/>
          </w:tcPr>
          <w:p w:rsidR="009A2C95" w:rsidRPr="00D25210" w:rsidRDefault="009A2C95" w:rsidP="00EA13BA">
            <w:pPr>
              <w:rPr>
                <w:rFonts w:ascii="Times New Roman" w:hAnsi="Times New Roman" w:cs="Times New Roman"/>
                <w:color w:val="000000" w:themeColor="text1"/>
                <w:sz w:val="22"/>
                <w:szCs w:val="22"/>
              </w:rPr>
            </w:pPr>
            <w:r w:rsidRPr="00D25210">
              <w:rPr>
                <w:rFonts w:ascii="Times New Roman" w:hAnsi="Times New Roman" w:cs="Times New Roman"/>
                <w:color w:val="000000" w:themeColor="text1"/>
                <w:sz w:val="21"/>
                <w:szCs w:val="21"/>
                <w:vertAlign w:val="superscript"/>
              </w:rPr>
              <w:t>‡</w:t>
            </w:r>
            <w:r w:rsidRPr="00D25210">
              <w:rPr>
                <w:rFonts w:ascii="Times New Roman" w:hAnsi="Times New Roman" w:cs="Times New Roman"/>
                <w:color w:val="000000" w:themeColor="text1"/>
                <w:sz w:val="22"/>
                <w:szCs w:val="22"/>
              </w:rPr>
              <w:t xml:space="preserve"> Out-of-sample percent variance explained averaged over an ensemble of Random Forest (RF) models with bootstrapped sampling</w:t>
            </w:r>
            <w:r>
              <w:rPr>
                <w:rFonts w:ascii="Times New Roman" w:hAnsi="Times New Roman" w:cs="Times New Roman"/>
                <w:color w:val="000000" w:themeColor="text1"/>
                <w:sz w:val="22"/>
                <w:szCs w:val="22"/>
              </w:rPr>
              <w:t xml:space="preserve"> </w:t>
            </w:r>
            <w:r w:rsidRPr="00D25210">
              <w:rPr>
                <w:rFonts w:ascii="Times New Roman" w:hAnsi="Times New Roman" w:cs="Times New Roman"/>
                <w:color w:val="000000" w:themeColor="text1"/>
                <w:sz w:val="22"/>
                <w:szCs w:val="22"/>
              </w:rPr>
              <w:t>for each observation/model source of soil organic carbon.</w:t>
            </w:r>
          </w:p>
        </w:tc>
      </w:tr>
    </w:tbl>
    <w:p w:rsidR="009A2C95" w:rsidRPr="00E51878" w:rsidRDefault="009A2C95" w:rsidP="009A2C95">
      <w:pPr>
        <w:rPr>
          <w:rFonts w:ascii="Times New Roman" w:hAnsi="Times New Roman" w:cs="Times New Roman"/>
          <w:color w:val="000000" w:themeColor="text1"/>
        </w:rPr>
      </w:pPr>
    </w:p>
    <w:p w:rsidR="00DD6E7D" w:rsidRDefault="00DD6E7D"/>
    <w:sectPr w:rsidR="00DD6E7D" w:rsidSect="009A2C95">
      <w:footerReference w:type="even" r:id="rId12"/>
      <w:footerReference w:type="default" r:id="rId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995839103"/>
      <w:docPartObj>
        <w:docPartGallery w:val="Page Numbers (Bottom of Page)"/>
        <w:docPartUnique/>
      </w:docPartObj>
    </w:sdtPr>
    <w:sdtEndPr>
      <w:rPr>
        <w:rStyle w:val="PageNumber"/>
      </w:rPr>
    </w:sdtEndPr>
    <w:sdtContent>
      <w:p w:rsidR="001F62F4" w:rsidRDefault="009A2C95" w:rsidP="00FE0AE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1F62F4" w:rsidRDefault="009A2C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502599214"/>
      <w:docPartObj>
        <w:docPartGallery w:val="Page Numbers (Bottom of Page)"/>
        <w:docPartUnique/>
      </w:docPartObj>
    </w:sdtPr>
    <w:sdtEndPr>
      <w:rPr>
        <w:rStyle w:val="PageNumber"/>
        <w:rFonts w:ascii="Times New Roman" w:hAnsi="Times New Roman" w:cs="Times New Roman"/>
      </w:rPr>
    </w:sdtEndPr>
    <w:sdtContent>
      <w:p w:rsidR="001F62F4" w:rsidRDefault="009A2C95" w:rsidP="00FE0AE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1F62F4" w:rsidRDefault="009A2C95">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95"/>
    <w:rsid w:val="000011F4"/>
    <w:rsid w:val="00002B9A"/>
    <w:rsid w:val="00111D08"/>
    <w:rsid w:val="001A5B2A"/>
    <w:rsid w:val="001C43BD"/>
    <w:rsid w:val="00211F02"/>
    <w:rsid w:val="002122D6"/>
    <w:rsid w:val="002D1867"/>
    <w:rsid w:val="00331743"/>
    <w:rsid w:val="003D141F"/>
    <w:rsid w:val="004B3CD8"/>
    <w:rsid w:val="00670518"/>
    <w:rsid w:val="0071297E"/>
    <w:rsid w:val="007163E9"/>
    <w:rsid w:val="007557A5"/>
    <w:rsid w:val="007A32A5"/>
    <w:rsid w:val="007C7202"/>
    <w:rsid w:val="007D1274"/>
    <w:rsid w:val="007D3B5C"/>
    <w:rsid w:val="007F6A63"/>
    <w:rsid w:val="007F7EBF"/>
    <w:rsid w:val="00834347"/>
    <w:rsid w:val="00834647"/>
    <w:rsid w:val="009A2C95"/>
    <w:rsid w:val="009B19DA"/>
    <w:rsid w:val="009D6F24"/>
    <w:rsid w:val="00A6660F"/>
    <w:rsid w:val="00A81D31"/>
    <w:rsid w:val="00B60893"/>
    <w:rsid w:val="00BF43FA"/>
    <w:rsid w:val="00C3221B"/>
    <w:rsid w:val="00C93D0F"/>
    <w:rsid w:val="00CC5AA4"/>
    <w:rsid w:val="00CD310A"/>
    <w:rsid w:val="00CE5D41"/>
    <w:rsid w:val="00DD6E7D"/>
    <w:rsid w:val="00E1050D"/>
    <w:rsid w:val="00ED306A"/>
    <w:rsid w:val="00F16026"/>
    <w:rsid w:val="00F47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5DA540-70FD-4389-9554-AD56CEBD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A2C95"/>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A2C95"/>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C9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A2C95"/>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9A2C95"/>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A2C95"/>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uiPriority w:val="99"/>
    <w:rsid w:val="009A2C95"/>
    <w:rPr>
      <w:sz w:val="24"/>
      <w:szCs w:val="24"/>
    </w:rPr>
  </w:style>
  <w:style w:type="character" w:styleId="PageNumber">
    <w:name w:val="page number"/>
    <w:basedOn w:val="DefaultParagraphFont"/>
    <w:uiPriority w:val="99"/>
    <w:semiHidden/>
    <w:unhideWhenUsed/>
    <w:rsid w:val="009A2C95"/>
  </w:style>
  <w:style w:type="character" w:styleId="LineNumber">
    <w:name w:val="line number"/>
    <w:basedOn w:val="DefaultParagraphFont"/>
    <w:uiPriority w:val="99"/>
    <w:semiHidden/>
    <w:unhideWhenUsed/>
    <w:rsid w:val="009A2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5" Type="http://schemas.openxmlformats.org/officeDocument/2006/relationships/theme" Target="theme/theme1.xml"/><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1087</Words>
  <Characters>6199</Characters>
  <Application>Microsoft Office Word</Application>
  <DocSecurity>0</DocSecurity>
  <Lines>51</Lines>
  <Paragraphs>14</Paragraphs>
  <ScaleCrop>false</ScaleCrop>
  <Company/>
  <LinksUpToDate>false</LinksUpToDate>
  <CharactersWithSpaces>7272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Sangeetha R.</dc:creator>
  <cp:keywords/>
  <dc:description/>
  <cp:lastModifiedBy>Sangeetha R.</cp:lastModifiedBy>
  <cp:revision>1</cp:revision>
  <dcterms:created xsi:type="dcterms:W3CDTF">2021-06-07T14:36:00Z</dcterms:created>
  <dcterms:modified xsi:type="dcterms:W3CDTF">2021-06-07T14:38:00Z</dcterms:modified>
</cp:coreProperties>
</file>