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E5EC83" w14:textId="118A69B7" w:rsidR="00492CAD" w:rsidRPr="00492CAD" w:rsidRDefault="00627D4A" w:rsidP="001B107F">
      <w:pPr>
        <w:pStyle w:val="EndNoteBibliography"/>
        <w:spacing w:after="0"/>
        <w:rPr>
          <w:bCs/>
          <w:i/>
          <w:iCs/>
        </w:rPr>
      </w:pPr>
      <w:bookmarkStart w:id="0" w:name="_GoBack"/>
      <w:r w:rsidRPr="00492CAD">
        <w:rPr>
          <w:bCs/>
          <w:i/>
          <w:iCs/>
        </w:rPr>
        <w:t>Supplementary Information</w:t>
      </w:r>
      <w:r w:rsidR="00492CAD" w:rsidRPr="00492CAD">
        <w:rPr>
          <w:bCs/>
          <w:i/>
          <w:iCs/>
        </w:rPr>
        <w:t xml:space="preserve"> for the paper</w:t>
      </w:r>
    </w:p>
    <w:p w14:paraId="414E2E28" w14:textId="77777777" w:rsidR="00492CAD" w:rsidRDefault="00492CAD" w:rsidP="001B107F">
      <w:pPr>
        <w:pStyle w:val="EndNoteBibliography"/>
        <w:spacing w:after="0"/>
        <w:rPr>
          <w:b/>
        </w:rPr>
      </w:pPr>
    </w:p>
    <w:p w14:paraId="0D7506A8" w14:textId="1AD0399F" w:rsidR="00492CAD" w:rsidRPr="00492CAD" w:rsidRDefault="00492CAD" w:rsidP="001B107F">
      <w:pPr>
        <w:pStyle w:val="EndNoteBibliography"/>
        <w:spacing w:after="0"/>
        <w:rPr>
          <w:b/>
        </w:rPr>
      </w:pPr>
      <w:r w:rsidRPr="00492CAD">
        <w:rPr>
          <w:b/>
          <w:lang w:val="en-GB"/>
        </w:rPr>
        <w:t xml:space="preserve">Soil nitrous oxide and methane fluxes from a land-use change transition of </w:t>
      </w:r>
      <w:r w:rsidR="001A5B92">
        <w:rPr>
          <w:b/>
          <w:lang w:val="en-GB"/>
        </w:rPr>
        <w:t>primary</w:t>
      </w:r>
      <w:r w:rsidRPr="00492CAD">
        <w:rPr>
          <w:b/>
          <w:lang w:val="en-GB"/>
        </w:rPr>
        <w:t xml:space="preserve"> forest to oil palm in an Indonesian peatland </w:t>
      </w:r>
    </w:p>
    <w:p w14:paraId="4D683AC8" w14:textId="5D8D14CD" w:rsidR="00627D4A" w:rsidRDefault="00627D4A" w:rsidP="001B107F">
      <w:pPr>
        <w:pStyle w:val="EndNoteBibliography"/>
        <w:spacing w:after="0"/>
        <w:ind w:left="720" w:hanging="720"/>
        <w:rPr>
          <w:b/>
        </w:rPr>
      </w:pPr>
    </w:p>
    <w:p w14:paraId="2454C551" w14:textId="55A8D566" w:rsidR="00492CAD" w:rsidRPr="00492CAD" w:rsidRDefault="00492CAD" w:rsidP="001B107F">
      <w:pPr>
        <w:pStyle w:val="EndNoteBibliography"/>
        <w:spacing w:after="0"/>
        <w:rPr>
          <w:bCs/>
        </w:rPr>
      </w:pPr>
      <w:r w:rsidRPr="00492CAD">
        <w:rPr>
          <w:bCs/>
        </w:rPr>
        <w:t>Erin Swails</w:t>
      </w:r>
      <w:r>
        <w:rPr>
          <w:bCs/>
        </w:rPr>
        <w:t>, Julia Drewer, Jodie Hartill, Louis-Pierre Comeau, Louis V. Verchot, Kristell A. Hergoualc’h</w:t>
      </w:r>
    </w:p>
    <w:p w14:paraId="32A3EFD0" w14:textId="77777777" w:rsidR="00627D4A" w:rsidRDefault="00627D4A" w:rsidP="001B107F">
      <w:pPr>
        <w:pStyle w:val="EndNoteBibliography"/>
        <w:spacing w:after="0"/>
        <w:ind w:hanging="11"/>
        <w:rPr>
          <w:b/>
        </w:rPr>
      </w:pPr>
    </w:p>
    <w:p w14:paraId="5633BA48" w14:textId="500482A7" w:rsidR="00627D4A" w:rsidRPr="00EF3466" w:rsidRDefault="00EF3466" w:rsidP="001B107F">
      <w:pPr>
        <w:pStyle w:val="ListParagraph"/>
        <w:spacing w:after="0" w:line="240" w:lineRule="auto"/>
        <w:ind w:left="0"/>
        <w:rPr>
          <w:b/>
          <w:bCs/>
        </w:rPr>
      </w:pPr>
      <w:r>
        <w:rPr>
          <w:b/>
          <w:bCs/>
        </w:rPr>
        <w:t xml:space="preserve">S1. </w:t>
      </w:r>
      <w:r w:rsidR="00627D4A" w:rsidRPr="00EF3466">
        <w:rPr>
          <w:b/>
          <w:bCs/>
        </w:rPr>
        <w:t xml:space="preserve">Diel variation in fluxes </w:t>
      </w:r>
    </w:p>
    <w:p w14:paraId="197E2D15" w14:textId="77777777" w:rsidR="00627D4A" w:rsidRDefault="00627D4A" w:rsidP="001B107F">
      <w:pPr>
        <w:spacing w:after="0" w:line="240" w:lineRule="auto"/>
        <w:ind w:hanging="11"/>
      </w:pPr>
    </w:p>
    <w:p w14:paraId="189438B3" w14:textId="356B91EB" w:rsidR="00627D4A" w:rsidRDefault="00EF3466" w:rsidP="001B107F">
      <w:pPr>
        <w:spacing w:after="0" w:line="240" w:lineRule="auto"/>
        <w:ind w:hanging="11"/>
        <w:rPr>
          <w:bCs/>
        </w:rPr>
      </w:pPr>
      <w:r>
        <w:rPr>
          <w:bCs/>
        </w:rPr>
        <w:t>S</w:t>
      </w:r>
      <w:r w:rsidR="00627D4A" w:rsidRPr="00554D37">
        <w:rPr>
          <w:bCs/>
        </w:rPr>
        <w:t>1.1. Materials and methods</w:t>
      </w:r>
    </w:p>
    <w:p w14:paraId="094FFC1A" w14:textId="7C00F12D" w:rsidR="00627D4A" w:rsidRDefault="00627D4A" w:rsidP="001B107F">
      <w:pPr>
        <w:spacing w:after="0" w:line="240" w:lineRule="auto"/>
        <w:rPr>
          <w:bCs/>
        </w:rPr>
      </w:pPr>
      <w:r w:rsidRPr="00821819">
        <w:rPr>
          <w:bCs/>
        </w:rPr>
        <w:t>Three di</w:t>
      </w:r>
      <w:r>
        <w:rPr>
          <w:bCs/>
        </w:rPr>
        <w:t>e</w:t>
      </w:r>
      <w:r w:rsidRPr="00821819">
        <w:rPr>
          <w:bCs/>
        </w:rPr>
        <w:t xml:space="preserve">l </w:t>
      </w:r>
      <w:r w:rsidR="00E0146F">
        <w:rPr>
          <w:bCs/>
        </w:rPr>
        <w:t xml:space="preserve">variation </w:t>
      </w:r>
      <w:r w:rsidRPr="00821819">
        <w:rPr>
          <w:bCs/>
        </w:rPr>
        <w:t xml:space="preserve">studies </w:t>
      </w:r>
      <w:r w:rsidR="00E0146F">
        <w:rPr>
          <w:bCs/>
        </w:rPr>
        <w:t xml:space="preserve">of gas fluxes </w:t>
      </w:r>
      <w:r w:rsidRPr="00821819">
        <w:rPr>
          <w:bCs/>
        </w:rPr>
        <w:t>were un</w:t>
      </w:r>
      <w:r>
        <w:rPr>
          <w:bCs/>
        </w:rPr>
        <w:t xml:space="preserve">dertaken; one in the </w:t>
      </w:r>
      <w:r w:rsidR="00A56800">
        <w:rPr>
          <w:bCs/>
        </w:rPr>
        <w:t xml:space="preserve">degraded </w:t>
      </w:r>
      <w:r w:rsidR="001236BC">
        <w:rPr>
          <w:bCs/>
        </w:rPr>
        <w:t xml:space="preserve">drained forest </w:t>
      </w:r>
      <w:r w:rsidR="00A56800">
        <w:rPr>
          <w:bCs/>
        </w:rPr>
        <w:t xml:space="preserve">site </w:t>
      </w:r>
      <w:r w:rsidR="001236BC">
        <w:rPr>
          <w:bCs/>
        </w:rPr>
        <w:t>(</w:t>
      </w:r>
      <w:r>
        <w:rPr>
          <w:bCs/>
        </w:rPr>
        <w:t>DF</w:t>
      </w:r>
      <w:r w:rsidR="001236BC">
        <w:rPr>
          <w:bCs/>
        </w:rPr>
        <w:t>)</w:t>
      </w:r>
      <w:r>
        <w:rPr>
          <w:bCs/>
        </w:rPr>
        <w:t xml:space="preserve"> </w:t>
      </w:r>
      <w:r w:rsidR="00583A20">
        <w:rPr>
          <w:bCs/>
        </w:rPr>
        <w:t>(18-</w:t>
      </w:r>
      <w:r w:rsidR="00583A20" w:rsidRPr="00821819">
        <w:rPr>
          <w:bCs/>
        </w:rPr>
        <w:t>19</w:t>
      </w:r>
      <w:r w:rsidR="00583A20" w:rsidRPr="00821819">
        <w:rPr>
          <w:bCs/>
          <w:vertAlign w:val="superscript"/>
        </w:rPr>
        <w:t>th</w:t>
      </w:r>
      <w:r w:rsidR="00583A20">
        <w:rPr>
          <w:bCs/>
        </w:rPr>
        <w:t xml:space="preserve"> of April 2012) </w:t>
      </w:r>
      <w:r>
        <w:rPr>
          <w:bCs/>
        </w:rPr>
        <w:t xml:space="preserve">and two in the </w:t>
      </w:r>
      <w:r w:rsidR="001236BC">
        <w:rPr>
          <w:bCs/>
        </w:rPr>
        <w:t xml:space="preserve">oil palm plantation </w:t>
      </w:r>
      <w:r w:rsidR="00A56800">
        <w:rPr>
          <w:bCs/>
        </w:rPr>
        <w:t xml:space="preserve">site </w:t>
      </w:r>
      <w:r w:rsidR="001236BC">
        <w:rPr>
          <w:bCs/>
        </w:rPr>
        <w:t>(</w:t>
      </w:r>
      <w:r w:rsidRPr="00821819">
        <w:rPr>
          <w:bCs/>
        </w:rPr>
        <w:t>OP</w:t>
      </w:r>
      <w:r w:rsidR="001236BC">
        <w:rPr>
          <w:bCs/>
        </w:rPr>
        <w:t>)</w:t>
      </w:r>
      <w:r w:rsidRPr="00821819">
        <w:rPr>
          <w:bCs/>
        </w:rPr>
        <w:t xml:space="preserve"> </w:t>
      </w:r>
      <w:r w:rsidR="00583A20">
        <w:rPr>
          <w:bCs/>
        </w:rPr>
        <w:t>(20-</w:t>
      </w:r>
      <w:r w:rsidR="00583A20" w:rsidRPr="00821819">
        <w:rPr>
          <w:bCs/>
        </w:rPr>
        <w:t>21</w:t>
      </w:r>
      <w:r w:rsidR="00583A20">
        <w:rPr>
          <w:bCs/>
        </w:rPr>
        <w:t>st</w:t>
      </w:r>
      <w:r w:rsidR="00583A20" w:rsidRPr="00821819">
        <w:rPr>
          <w:bCs/>
        </w:rPr>
        <w:t xml:space="preserve"> April 2012,</w:t>
      </w:r>
      <w:r w:rsidR="00583A20">
        <w:rPr>
          <w:bCs/>
        </w:rPr>
        <w:t xml:space="preserve"> 4-</w:t>
      </w:r>
      <w:r w:rsidR="00583A20" w:rsidRPr="00821819">
        <w:rPr>
          <w:bCs/>
        </w:rPr>
        <w:t>5</w:t>
      </w:r>
      <w:r w:rsidR="00583A20">
        <w:rPr>
          <w:bCs/>
        </w:rPr>
        <w:t>th</w:t>
      </w:r>
      <w:r w:rsidR="00583A20" w:rsidRPr="00821819">
        <w:rPr>
          <w:bCs/>
        </w:rPr>
        <w:t xml:space="preserve"> February 2013</w:t>
      </w:r>
      <w:r w:rsidR="00583A20" w:rsidRPr="00583A20">
        <w:rPr>
          <w:bCs/>
        </w:rPr>
        <w:t xml:space="preserve"> </w:t>
      </w:r>
      <w:r w:rsidR="00583A20">
        <w:rPr>
          <w:bCs/>
        </w:rPr>
        <w:t>on days 2 and 3 following the second fertili</w:t>
      </w:r>
      <w:r w:rsidR="000A5A29">
        <w:rPr>
          <w:bCs/>
        </w:rPr>
        <w:t>z</w:t>
      </w:r>
      <w:r w:rsidR="00583A20" w:rsidRPr="00821819">
        <w:rPr>
          <w:bCs/>
        </w:rPr>
        <w:t>er appli</w:t>
      </w:r>
      <w:r w:rsidR="00583A20">
        <w:rPr>
          <w:bCs/>
        </w:rPr>
        <w:t>cation)</w:t>
      </w:r>
      <w:r w:rsidRPr="00821819">
        <w:rPr>
          <w:bCs/>
        </w:rPr>
        <w:t xml:space="preserve">. </w:t>
      </w:r>
      <w:r w:rsidR="001B107F">
        <w:rPr>
          <w:bCs/>
        </w:rPr>
        <w:t xml:space="preserve">Flux measurements were conducted every 2 hours over a </w:t>
      </w:r>
      <w:r w:rsidR="001236BC">
        <w:rPr>
          <w:bCs/>
        </w:rPr>
        <w:t>24</w:t>
      </w:r>
      <w:r w:rsidR="001B107F">
        <w:rPr>
          <w:bCs/>
        </w:rPr>
        <w:t>-hour period starting at 09:00 on the first day of the experiment</w:t>
      </w:r>
      <w:r w:rsidR="001236BC">
        <w:rPr>
          <w:bCs/>
        </w:rPr>
        <w:t>s</w:t>
      </w:r>
      <w:r w:rsidR="001B107F">
        <w:rPr>
          <w:bCs/>
        </w:rPr>
        <w:t>. In the DF measurements were collected from 4 randomly selected chambers, and in the OP from 3 chambers in the FZ and 3 in the NFZ. The same chambers were measured during the two experiments in the OP.</w:t>
      </w:r>
      <w:r>
        <w:rPr>
          <w:bCs/>
        </w:rPr>
        <w:t xml:space="preserve"> Water table </w:t>
      </w:r>
      <w:r w:rsidR="00544BAA">
        <w:rPr>
          <w:bCs/>
        </w:rPr>
        <w:t>depth</w:t>
      </w:r>
      <w:r>
        <w:rPr>
          <w:bCs/>
        </w:rPr>
        <w:t xml:space="preserve">, soil </w:t>
      </w:r>
      <w:r w:rsidRPr="00821819">
        <w:rPr>
          <w:bCs/>
        </w:rPr>
        <w:t>temperature, air temperature and air pres</w:t>
      </w:r>
      <w:r>
        <w:rPr>
          <w:bCs/>
        </w:rPr>
        <w:t>sure were recorded concurrently with flux measurements.</w:t>
      </w:r>
      <w:r w:rsidR="00F77F74">
        <w:rPr>
          <w:bCs/>
        </w:rPr>
        <w:t xml:space="preserve"> </w:t>
      </w:r>
    </w:p>
    <w:p w14:paraId="5C873973" w14:textId="77777777" w:rsidR="00627D4A" w:rsidRPr="00554D37" w:rsidRDefault="00627D4A" w:rsidP="001B107F">
      <w:pPr>
        <w:spacing w:after="0" w:line="240" w:lineRule="auto"/>
        <w:rPr>
          <w:bCs/>
        </w:rPr>
      </w:pPr>
    </w:p>
    <w:p w14:paraId="4AB3DFF8" w14:textId="63E8A50A" w:rsidR="00627D4A" w:rsidRDefault="00EF3466" w:rsidP="001B107F">
      <w:pPr>
        <w:spacing w:after="0" w:line="240" w:lineRule="auto"/>
      </w:pPr>
      <w:r>
        <w:t xml:space="preserve">S1.2 </w:t>
      </w:r>
      <w:r w:rsidR="00627D4A">
        <w:t>Results</w:t>
      </w:r>
    </w:p>
    <w:p w14:paraId="6D51F9E1" w14:textId="1A1E0133" w:rsidR="00220539" w:rsidRPr="00220539" w:rsidRDefault="00627D4A" w:rsidP="00220539">
      <w:pPr>
        <w:spacing w:after="0" w:line="240" w:lineRule="auto"/>
        <w:sectPr w:rsidR="00220539" w:rsidRPr="00220539" w:rsidSect="0014140D">
          <w:type w:val="continuous"/>
          <w:pgSz w:w="11906" w:h="16838"/>
          <w:pgMar w:top="1440" w:right="1440" w:bottom="1440" w:left="1440" w:header="708" w:footer="708" w:gutter="0"/>
          <w:cols w:space="708"/>
          <w:docGrid w:linePitch="360"/>
        </w:sectPr>
      </w:pPr>
      <w:r>
        <w:t xml:space="preserve">No </w:t>
      </w:r>
      <w:r w:rsidRPr="00821819">
        <w:rPr>
          <w:bCs/>
        </w:rPr>
        <w:t>di</w:t>
      </w:r>
      <w:r>
        <w:rPr>
          <w:bCs/>
        </w:rPr>
        <w:t>e</w:t>
      </w:r>
      <w:r w:rsidRPr="00821819">
        <w:rPr>
          <w:bCs/>
        </w:rPr>
        <w:t xml:space="preserve">l </w:t>
      </w:r>
      <w:r>
        <w:t xml:space="preserve">trends were </w:t>
      </w:r>
      <w:r w:rsidR="00313DE0">
        <w:t>obvious</w:t>
      </w:r>
      <w:r>
        <w:t xml:space="preserve"> in N</w:t>
      </w:r>
      <w:r w:rsidRPr="00821819">
        <w:rPr>
          <w:vertAlign w:val="subscript"/>
        </w:rPr>
        <w:t>2</w:t>
      </w:r>
      <w:r>
        <w:t>O or CH</w:t>
      </w:r>
      <w:r w:rsidRPr="00821819">
        <w:rPr>
          <w:vertAlign w:val="subscript"/>
        </w:rPr>
        <w:t>4</w:t>
      </w:r>
      <w:r>
        <w:t xml:space="preserve"> </w:t>
      </w:r>
      <w:r w:rsidR="00391ADE">
        <w:t xml:space="preserve">fluxes </w:t>
      </w:r>
      <w:r>
        <w:t>during the experiments</w:t>
      </w:r>
      <w:r w:rsidRPr="006526C3">
        <w:t xml:space="preserve"> </w:t>
      </w:r>
      <w:r>
        <w:t>in the DF or OP sites</w:t>
      </w:r>
      <w:r w:rsidR="00A64416">
        <w:t>, and di</w:t>
      </w:r>
      <w:r w:rsidR="005F3D37">
        <w:t>el</w:t>
      </w:r>
      <w:r w:rsidR="00A64416">
        <w:t xml:space="preserve"> fluctuations apparent in air temperature were more muted for soil temperature (Figure S1)</w:t>
      </w:r>
      <w:r>
        <w:t>.</w:t>
      </w:r>
      <w:r w:rsidR="00F77F74">
        <w:t xml:space="preserve"> </w:t>
      </w:r>
      <w:r w:rsidR="00A64416" w:rsidRPr="00492CAD">
        <w:t xml:space="preserve">Temporal </w:t>
      </w:r>
      <w:r w:rsidR="00E0146F">
        <w:t>variation</w:t>
      </w:r>
      <w:r w:rsidR="00E0146F" w:rsidRPr="00492CAD">
        <w:t xml:space="preserve"> </w:t>
      </w:r>
      <w:r w:rsidR="00F9563B" w:rsidRPr="00492CAD">
        <w:t xml:space="preserve">in fluxes observed throughout the 24-hour period </w:t>
      </w:r>
      <w:r w:rsidR="0093190F" w:rsidRPr="00492CAD">
        <w:t xml:space="preserve">were the same order of magnitude of spatial </w:t>
      </w:r>
      <w:r w:rsidR="00E0146F">
        <w:t xml:space="preserve">variation </w:t>
      </w:r>
      <w:r w:rsidR="0093190F" w:rsidRPr="00492CAD">
        <w:t>between the individual chambers at the site (Table S1).</w:t>
      </w:r>
    </w:p>
    <w:p w14:paraId="562AEAA0" w14:textId="77777777" w:rsidR="00627D4A" w:rsidRDefault="00627D4A" w:rsidP="00220539">
      <w:pPr>
        <w:pStyle w:val="EndNoteBibliography"/>
        <w:spacing w:after="0"/>
        <w:rPr>
          <w:b/>
        </w:rPr>
      </w:pPr>
    </w:p>
    <w:p w14:paraId="0D4370DD" w14:textId="1442E02F" w:rsidR="005D50E8" w:rsidRDefault="001236BC" w:rsidP="001B107F">
      <w:pPr>
        <w:spacing w:after="0" w:line="240" w:lineRule="auto"/>
      </w:pPr>
      <w:r>
        <w:rPr>
          <w:noProof/>
          <w:lang w:val="en-US"/>
        </w:rPr>
        <w:drawing>
          <wp:inline distT="0" distB="0" distL="0" distR="0" wp14:anchorId="2B6373C8" wp14:editId="68F20394">
            <wp:extent cx="8826182" cy="3369226"/>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50680" cy="3378578"/>
                    </a:xfrm>
                    <a:prstGeom prst="rect">
                      <a:avLst/>
                    </a:prstGeom>
                    <a:noFill/>
                  </pic:spPr>
                </pic:pic>
              </a:graphicData>
            </a:graphic>
          </wp:inline>
        </w:drawing>
      </w:r>
      <w:r w:rsidR="00627D4A" w:rsidRPr="00821819">
        <w:rPr>
          <w:b/>
        </w:rPr>
        <w:t>Figure S1</w:t>
      </w:r>
      <w:r w:rsidR="00313DE0">
        <w:rPr>
          <w:b/>
        </w:rPr>
        <w:t>.</w:t>
      </w:r>
      <w:r w:rsidR="00627D4A">
        <w:t xml:space="preserve"> Bi-hourly </w:t>
      </w:r>
      <w:r w:rsidR="00627D4A" w:rsidRPr="00821819">
        <w:t xml:space="preserve">mean </w:t>
      </w:r>
      <w:r>
        <w:t>air and soil temperatures (a, b, c)</w:t>
      </w:r>
      <w:r w:rsidRPr="00821819">
        <w:t xml:space="preserve"> </w:t>
      </w:r>
      <w:r>
        <w:t xml:space="preserve">and </w:t>
      </w:r>
      <w:r w:rsidR="00627D4A" w:rsidRPr="00821819">
        <w:t>N</w:t>
      </w:r>
      <w:r w:rsidR="00627D4A" w:rsidRPr="00821819">
        <w:rPr>
          <w:vertAlign w:val="subscript"/>
        </w:rPr>
        <w:t>2</w:t>
      </w:r>
      <w:r w:rsidR="00627D4A" w:rsidRPr="00821819">
        <w:t xml:space="preserve">O </w:t>
      </w:r>
      <w:r>
        <w:t xml:space="preserve">(d, e, f) </w:t>
      </w:r>
      <w:r w:rsidR="000702C1">
        <w:t xml:space="preserve">and </w:t>
      </w:r>
      <w:r w:rsidR="00627D4A" w:rsidRPr="00821819">
        <w:t>CH</w:t>
      </w:r>
      <w:r w:rsidR="00627D4A" w:rsidRPr="0032320D">
        <w:rPr>
          <w:vertAlign w:val="subscript"/>
        </w:rPr>
        <w:t>4</w:t>
      </w:r>
      <w:r w:rsidR="00627D4A" w:rsidRPr="00821819">
        <w:t xml:space="preserve"> </w:t>
      </w:r>
      <w:r>
        <w:t xml:space="preserve">(g, ha, </w:t>
      </w:r>
      <w:proofErr w:type="spellStart"/>
      <w:r>
        <w:t>i</w:t>
      </w:r>
      <w:proofErr w:type="spellEnd"/>
      <w:r>
        <w:t xml:space="preserve">) </w:t>
      </w:r>
      <w:r w:rsidR="00055D4F">
        <w:t xml:space="preserve">fluxes </w:t>
      </w:r>
      <w:r w:rsidR="00627D4A">
        <w:t>measured during a 24</w:t>
      </w:r>
      <w:r w:rsidR="000702C1">
        <w:t>-</w:t>
      </w:r>
      <w:r w:rsidR="00627D4A">
        <w:t>hour period at the</w:t>
      </w:r>
      <w:r w:rsidR="00A56800">
        <w:t xml:space="preserve"> degraded forest</w:t>
      </w:r>
      <w:r w:rsidR="00512627">
        <w:t xml:space="preserve"> </w:t>
      </w:r>
      <w:r w:rsidR="00A56800">
        <w:t>(</w:t>
      </w:r>
      <w:r w:rsidR="00627D4A">
        <w:t>DF</w:t>
      </w:r>
      <w:r w:rsidR="00A56800">
        <w:t>)</w:t>
      </w:r>
      <w:r w:rsidR="00627D4A">
        <w:t xml:space="preserve"> </w:t>
      </w:r>
      <w:r>
        <w:t>(a, d, g)</w:t>
      </w:r>
      <w:r w:rsidR="00627D4A">
        <w:t xml:space="preserve"> </w:t>
      </w:r>
      <w:r w:rsidR="00627D4A">
        <w:rPr>
          <w:bCs/>
        </w:rPr>
        <w:t xml:space="preserve">and at the </w:t>
      </w:r>
      <w:r w:rsidR="00A56800">
        <w:rPr>
          <w:bCs/>
        </w:rPr>
        <w:t>oil palm plantation</w:t>
      </w:r>
      <w:r w:rsidR="00512627">
        <w:rPr>
          <w:bCs/>
        </w:rPr>
        <w:t xml:space="preserve"> </w:t>
      </w:r>
      <w:r w:rsidR="00A56800">
        <w:rPr>
          <w:bCs/>
        </w:rPr>
        <w:t>(</w:t>
      </w:r>
      <w:r w:rsidR="00627D4A">
        <w:rPr>
          <w:bCs/>
        </w:rPr>
        <w:t>OP</w:t>
      </w:r>
      <w:r w:rsidR="00A56800">
        <w:rPr>
          <w:bCs/>
        </w:rPr>
        <w:t>)</w:t>
      </w:r>
      <w:r w:rsidR="00501271">
        <w:rPr>
          <w:bCs/>
        </w:rPr>
        <w:t xml:space="preserve"> sites</w:t>
      </w:r>
      <w:r w:rsidR="00627D4A">
        <w:rPr>
          <w:bCs/>
        </w:rPr>
        <w:t xml:space="preserve"> </w:t>
      </w:r>
      <w:r w:rsidR="00E107F7">
        <w:rPr>
          <w:bCs/>
        </w:rPr>
        <w:t xml:space="preserve">in </w:t>
      </w:r>
      <w:r w:rsidR="00627D4A" w:rsidRPr="00821819">
        <w:rPr>
          <w:bCs/>
        </w:rPr>
        <w:t>2012</w:t>
      </w:r>
      <w:r w:rsidR="00E107F7">
        <w:rPr>
          <w:bCs/>
        </w:rPr>
        <w:t xml:space="preserve"> </w:t>
      </w:r>
      <w:r>
        <w:rPr>
          <w:bCs/>
        </w:rPr>
        <w:t xml:space="preserve">(b, e, h) </w:t>
      </w:r>
      <w:r w:rsidR="00E107F7">
        <w:rPr>
          <w:bCs/>
        </w:rPr>
        <w:t xml:space="preserve">and </w:t>
      </w:r>
      <w:r w:rsidR="00627D4A" w:rsidRPr="00821819">
        <w:rPr>
          <w:bCs/>
        </w:rPr>
        <w:t>2013</w:t>
      </w:r>
      <w:r w:rsidR="00E107F7">
        <w:rPr>
          <w:bCs/>
        </w:rPr>
        <w:t xml:space="preserve"> </w:t>
      </w:r>
      <w:r>
        <w:rPr>
          <w:bCs/>
        </w:rPr>
        <w:t>(c, f, i)</w:t>
      </w:r>
      <w:r w:rsidR="00627D4A">
        <w:rPr>
          <w:bCs/>
        </w:rPr>
        <w:t>.</w:t>
      </w:r>
      <w:r w:rsidR="00627D4A" w:rsidRPr="001632C3">
        <w:t xml:space="preserve"> </w:t>
      </w:r>
      <w:r w:rsidR="00055D4F">
        <w:t xml:space="preserve">Daily rainfall (bars) is shown on the right axis in (d, e, f). </w:t>
      </w:r>
      <w:r w:rsidR="00FF7D23">
        <w:t>Temperatures and f</w:t>
      </w:r>
      <w:r w:rsidR="00FF7D23" w:rsidRPr="006053FC">
        <w:t>luxes are presented per microtopography in the OP (FZ =</w:t>
      </w:r>
      <w:r w:rsidR="00FF7D23">
        <w:t xml:space="preserve"> </w:t>
      </w:r>
      <w:r w:rsidR="00FF7D23" w:rsidRPr="006053FC">
        <w:t>Fertilized Zone, NFZ =</w:t>
      </w:r>
      <w:r w:rsidR="00FF7D23">
        <w:t xml:space="preserve"> </w:t>
      </w:r>
      <w:r w:rsidR="00FF7D23" w:rsidRPr="006053FC">
        <w:t xml:space="preserve">Non-Fertilized Zone). The soil </w:t>
      </w:r>
      <w:r w:rsidR="00FF7D23">
        <w:t xml:space="preserve">microtopography </w:t>
      </w:r>
      <w:r w:rsidR="00FF7D23" w:rsidRPr="006053FC">
        <w:t>in the DF was homogeneous.</w:t>
      </w:r>
      <w:r w:rsidR="00FF7D23">
        <w:t xml:space="preserve"> </w:t>
      </w:r>
      <w:r w:rsidR="00627D4A">
        <w:t xml:space="preserve">Error bars </w:t>
      </w:r>
      <w:r w:rsidR="005F3D37">
        <w:t xml:space="preserve">are </w:t>
      </w:r>
      <w:r w:rsidR="000702C1">
        <w:t>standard errors</w:t>
      </w:r>
      <w:r w:rsidR="00627D4A">
        <w:t xml:space="preserve"> of the mean</w:t>
      </w:r>
      <w:r w:rsidR="000702C1">
        <w:t>s</w:t>
      </w:r>
      <w:r w:rsidR="00A56800">
        <w:t xml:space="preserve"> (DF, n = 4; FZ, n = 3; NFZ, n = 3)</w:t>
      </w:r>
      <w:r w:rsidR="00627D4A">
        <w:t>.</w:t>
      </w:r>
      <w:r w:rsidR="00FF7D23">
        <w:t xml:space="preserve"> There was no rainfall during the measurement period in 2012 in the OP.</w:t>
      </w:r>
    </w:p>
    <w:p w14:paraId="13F8DAFD" w14:textId="77777777" w:rsidR="00BE74CB" w:rsidRDefault="00BE74CB" w:rsidP="001B107F">
      <w:pPr>
        <w:spacing w:after="0" w:line="240" w:lineRule="auto"/>
      </w:pPr>
    </w:p>
    <w:p w14:paraId="616531FD" w14:textId="77777777" w:rsidR="00220539" w:rsidRDefault="00220539" w:rsidP="001B107F">
      <w:pPr>
        <w:spacing w:after="0" w:line="240" w:lineRule="auto"/>
        <w:rPr>
          <w:b/>
        </w:rPr>
        <w:sectPr w:rsidR="00220539" w:rsidSect="0014140D">
          <w:type w:val="continuous"/>
          <w:pgSz w:w="16838" w:h="11906" w:orient="landscape"/>
          <w:pgMar w:top="1440" w:right="1440" w:bottom="1440" w:left="1440" w:header="708" w:footer="708" w:gutter="0"/>
          <w:cols w:space="708"/>
          <w:docGrid w:linePitch="360"/>
        </w:sectPr>
      </w:pPr>
    </w:p>
    <w:p w14:paraId="68C31884" w14:textId="0CB4005E" w:rsidR="005D50E8" w:rsidRPr="00BE74CB" w:rsidRDefault="005D50E8" w:rsidP="001B107F">
      <w:pPr>
        <w:spacing w:after="0" w:line="240" w:lineRule="auto"/>
        <w:rPr>
          <w:rFonts w:eastAsiaTheme="minorEastAsia"/>
        </w:rPr>
      </w:pPr>
      <w:r>
        <w:rPr>
          <w:b/>
        </w:rPr>
        <w:lastRenderedPageBreak/>
        <w:t xml:space="preserve">Table S1. </w:t>
      </w:r>
      <w:r w:rsidR="00045990">
        <w:rPr>
          <w:bCs/>
        </w:rPr>
        <w:t>Temporal</w:t>
      </w:r>
      <w:r w:rsidR="00BE74CB" w:rsidRPr="00BE74CB">
        <w:rPr>
          <w:bCs/>
        </w:rPr>
        <w:t xml:space="preserve"> and </w:t>
      </w:r>
      <w:r w:rsidR="00045990">
        <w:rPr>
          <w:bCs/>
        </w:rPr>
        <w:t>spatial</w:t>
      </w:r>
      <w:r w:rsidR="00BE74CB" w:rsidRPr="00BE74CB">
        <w:rPr>
          <w:bCs/>
        </w:rPr>
        <w:t xml:space="preserve"> coefficients of variation </w:t>
      </w:r>
      <w:r w:rsidR="00F9563B">
        <w:rPr>
          <w:bCs/>
        </w:rPr>
        <w:t xml:space="preserve">(CV) </w:t>
      </w:r>
      <w:r w:rsidR="00BE74CB" w:rsidRPr="00BE74CB">
        <w:rPr>
          <w:bCs/>
        </w:rPr>
        <w:t>of bi-hourly N</w:t>
      </w:r>
      <w:r w:rsidR="00BE74CB" w:rsidRPr="00BE74CB">
        <w:rPr>
          <w:bCs/>
          <w:vertAlign w:val="subscript"/>
        </w:rPr>
        <w:t>2</w:t>
      </w:r>
      <w:r w:rsidR="00BE74CB" w:rsidRPr="00BE74CB">
        <w:rPr>
          <w:bCs/>
        </w:rPr>
        <w:t>O and CH</w:t>
      </w:r>
      <w:r w:rsidR="00BE74CB" w:rsidRPr="00BE74CB">
        <w:rPr>
          <w:bCs/>
          <w:vertAlign w:val="subscript"/>
        </w:rPr>
        <w:t>4</w:t>
      </w:r>
      <w:r w:rsidR="00BE74CB" w:rsidRPr="00BE74CB">
        <w:rPr>
          <w:bCs/>
        </w:rPr>
        <w:t xml:space="preserve"> fluxes during the diel studies in </w:t>
      </w:r>
      <w:r w:rsidR="009847DB">
        <w:rPr>
          <w:bCs/>
        </w:rPr>
        <w:t xml:space="preserve">the </w:t>
      </w:r>
      <w:r w:rsidR="00BE74CB" w:rsidRPr="00BE74CB">
        <w:rPr>
          <w:bCs/>
        </w:rPr>
        <w:t>degraded forest</w:t>
      </w:r>
      <w:r w:rsidR="009847DB">
        <w:rPr>
          <w:bCs/>
        </w:rPr>
        <w:t xml:space="preserve"> </w:t>
      </w:r>
      <w:r w:rsidR="00BE74CB" w:rsidRPr="00BE74CB">
        <w:rPr>
          <w:bCs/>
        </w:rPr>
        <w:t>(DF) and oil palm plantation</w:t>
      </w:r>
      <w:r w:rsidR="009847DB">
        <w:rPr>
          <w:bCs/>
        </w:rPr>
        <w:t xml:space="preserve"> </w:t>
      </w:r>
      <w:r w:rsidR="00BE74CB" w:rsidRPr="00BE74CB">
        <w:rPr>
          <w:bCs/>
        </w:rPr>
        <w:t xml:space="preserve">(OP) </w:t>
      </w:r>
      <w:r w:rsidR="00512627">
        <w:rPr>
          <w:bCs/>
        </w:rPr>
        <w:t xml:space="preserve">sites </w:t>
      </w:r>
      <w:r w:rsidR="00BE74CB" w:rsidRPr="00BE74CB">
        <w:rPr>
          <w:bCs/>
        </w:rPr>
        <w:t xml:space="preserve">including microtopography in </w:t>
      </w:r>
      <w:r w:rsidR="005F3D37">
        <w:rPr>
          <w:bCs/>
        </w:rPr>
        <w:t xml:space="preserve">the </w:t>
      </w:r>
      <w:r w:rsidR="00BE74CB" w:rsidRPr="00BE74CB">
        <w:rPr>
          <w:bCs/>
        </w:rPr>
        <w:t>OP (FZ, fertilized zone; NFZ, non-fertilized zone) as spatial effect.</w:t>
      </w:r>
      <w:r w:rsidR="00BE74CB">
        <w:rPr>
          <w:bCs/>
        </w:rPr>
        <w:t xml:space="preserve"> The soil microtopography in DF was homogeneous.</w:t>
      </w:r>
    </w:p>
    <w:tbl>
      <w:tblPr>
        <w:tblW w:w="7797" w:type="dxa"/>
        <w:tblLook w:val="04A0" w:firstRow="1" w:lastRow="0" w:firstColumn="1" w:lastColumn="0" w:noHBand="0" w:noVBand="1"/>
      </w:tblPr>
      <w:tblGrid>
        <w:gridCol w:w="630"/>
        <w:gridCol w:w="1153"/>
        <w:gridCol w:w="1761"/>
        <w:gridCol w:w="1134"/>
        <w:gridCol w:w="992"/>
        <w:gridCol w:w="1134"/>
        <w:gridCol w:w="993"/>
      </w:tblGrid>
      <w:tr w:rsidR="003A5333" w:rsidRPr="001345FE" w14:paraId="5957A6BD" w14:textId="54E1060B" w:rsidTr="00184BD9">
        <w:trPr>
          <w:trHeight w:val="290"/>
        </w:trPr>
        <w:tc>
          <w:tcPr>
            <w:tcW w:w="630" w:type="dxa"/>
            <w:tcBorders>
              <w:top w:val="single" w:sz="4" w:space="0" w:color="auto"/>
              <w:left w:val="nil"/>
              <w:right w:val="nil"/>
            </w:tcBorders>
            <w:shd w:val="clear" w:color="auto" w:fill="auto"/>
            <w:noWrap/>
            <w:vAlign w:val="bottom"/>
          </w:tcPr>
          <w:p w14:paraId="6F54F6B4" w14:textId="77777777" w:rsidR="003A5333" w:rsidRDefault="003A5333" w:rsidP="001B107F">
            <w:pPr>
              <w:spacing w:after="0" w:line="240" w:lineRule="auto"/>
              <w:rPr>
                <w:rFonts w:ascii="Calibri" w:eastAsia="Times New Roman" w:hAnsi="Calibri" w:cs="Calibri"/>
                <w:b/>
                <w:bCs/>
                <w:color w:val="000000"/>
                <w:lang w:eastAsia="en-GB"/>
              </w:rPr>
            </w:pPr>
          </w:p>
        </w:tc>
        <w:tc>
          <w:tcPr>
            <w:tcW w:w="1153" w:type="dxa"/>
            <w:tcBorders>
              <w:top w:val="single" w:sz="4" w:space="0" w:color="auto"/>
              <w:left w:val="nil"/>
              <w:right w:val="nil"/>
            </w:tcBorders>
          </w:tcPr>
          <w:p w14:paraId="6188F570" w14:textId="77777777" w:rsidR="003A5333" w:rsidRDefault="003A5333" w:rsidP="001B107F">
            <w:pPr>
              <w:spacing w:after="0" w:line="240" w:lineRule="auto"/>
              <w:rPr>
                <w:rFonts w:ascii="Calibri" w:eastAsia="Times New Roman" w:hAnsi="Calibri" w:cs="Calibri"/>
                <w:b/>
                <w:bCs/>
                <w:color w:val="000000"/>
                <w:lang w:eastAsia="en-GB"/>
              </w:rPr>
            </w:pPr>
          </w:p>
        </w:tc>
        <w:tc>
          <w:tcPr>
            <w:tcW w:w="1761" w:type="dxa"/>
            <w:tcBorders>
              <w:top w:val="single" w:sz="4" w:space="0" w:color="auto"/>
              <w:left w:val="nil"/>
              <w:right w:val="nil"/>
            </w:tcBorders>
            <w:vAlign w:val="bottom"/>
          </w:tcPr>
          <w:p w14:paraId="2989441D" w14:textId="3E1C5F83" w:rsidR="003A5333" w:rsidRDefault="003A5333" w:rsidP="001B107F">
            <w:pPr>
              <w:spacing w:after="0" w:line="240" w:lineRule="auto"/>
              <w:rPr>
                <w:rFonts w:ascii="Calibri" w:eastAsia="Times New Roman" w:hAnsi="Calibri" w:cs="Calibri"/>
                <w:b/>
                <w:bCs/>
                <w:color w:val="000000"/>
                <w:lang w:eastAsia="en-GB"/>
              </w:rPr>
            </w:pPr>
          </w:p>
        </w:tc>
        <w:tc>
          <w:tcPr>
            <w:tcW w:w="2126" w:type="dxa"/>
            <w:gridSpan w:val="2"/>
            <w:tcBorders>
              <w:top w:val="single" w:sz="4" w:space="0" w:color="auto"/>
              <w:left w:val="nil"/>
              <w:bottom w:val="single" w:sz="4" w:space="0" w:color="auto"/>
              <w:right w:val="nil"/>
            </w:tcBorders>
            <w:shd w:val="clear" w:color="auto" w:fill="auto"/>
            <w:noWrap/>
            <w:vAlign w:val="bottom"/>
          </w:tcPr>
          <w:p w14:paraId="2B3CDF84" w14:textId="4D40DA96" w:rsidR="003A5333" w:rsidRPr="00453F85" w:rsidRDefault="003A5333" w:rsidP="002A276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N</w:t>
            </w:r>
            <w:r w:rsidRPr="00045990">
              <w:rPr>
                <w:rFonts w:ascii="Calibri" w:eastAsia="Times New Roman" w:hAnsi="Calibri" w:cs="Calibri"/>
                <w:b/>
                <w:bCs/>
                <w:color w:val="000000"/>
                <w:vertAlign w:val="subscript"/>
                <w:lang w:eastAsia="en-GB"/>
              </w:rPr>
              <w:t>2</w:t>
            </w:r>
            <w:r>
              <w:rPr>
                <w:rFonts w:ascii="Calibri" w:eastAsia="Times New Roman" w:hAnsi="Calibri" w:cs="Calibri"/>
                <w:b/>
                <w:bCs/>
                <w:color w:val="000000"/>
                <w:lang w:eastAsia="en-GB"/>
              </w:rPr>
              <w:t>O</w:t>
            </w:r>
          </w:p>
        </w:tc>
        <w:tc>
          <w:tcPr>
            <w:tcW w:w="2127" w:type="dxa"/>
            <w:gridSpan w:val="2"/>
            <w:tcBorders>
              <w:top w:val="single" w:sz="4" w:space="0" w:color="auto"/>
              <w:left w:val="nil"/>
              <w:bottom w:val="single" w:sz="4" w:space="0" w:color="auto"/>
              <w:right w:val="nil"/>
            </w:tcBorders>
          </w:tcPr>
          <w:p w14:paraId="57B1B720" w14:textId="2A997B83" w:rsidR="003A5333" w:rsidRPr="00453F85" w:rsidRDefault="003A5333" w:rsidP="002A2765">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CH</w:t>
            </w:r>
            <w:r w:rsidRPr="00045990">
              <w:rPr>
                <w:rFonts w:ascii="Calibri" w:eastAsia="Times New Roman" w:hAnsi="Calibri" w:cs="Calibri"/>
                <w:b/>
                <w:bCs/>
                <w:color w:val="000000"/>
                <w:vertAlign w:val="subscript"/>
                <w:lang w:eastAsia="en-GB"/>
              </w:rPr>
              <w:t>4</w:t>
            </w:r>
          </w:p>
        </w:tc>
      </w:tr>
      <w:tr w:rsidR="00045990" w:rsidRPr="001345FE" w14:paraId="50C811DF" w14:textId="57CB2C60" w:rsidTr="002A2765">
        <w:trPr>
          <w:trHeight w:val="290"/>
        </w:trPr>
        <w:tc>
          <w:tcPr>
            <w:tcW w:w="630" w:type="dxa"/>
            <w:tcBorders>
              <w:left w:val="nil"/>
              <w:bottom w:val="single" w:sz="4" w:space="0" w:color="auto"/>
              <w:right w:val="nil"/>
            </w:tcBorders>
            <w:shd w:val="clear" w:color="auto" w:fill="auto"/>
            <w:noWrap/>
            <w:vAlign w:val="bottom"/>
            <w:hideMark/>
          </w:tcPr>
          <w:p w14:paraId="1F905D33" w14:textId="1E3E2531" w:rsidR="00045990" w:rsidRPr="00453F85" w:rsidRDefault="00045990" w:rsidP="001B107F">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LU</w:t>
            </w:r>
          </w:p>
        </w:tc>
        <w:tc>
          <w:tcPr>
            <w:tcW w:w="1153" w:type="dxa"/>
            <w:tcBorders>
              <w:left w:val="nil"/>
              <w:bottom w:val="single" w:sz="4" w:space="0" w:color="auto"/>
              <w:right w:val="nil"/>
            </w:tcBorders>
            <w:vAlign w:val="bottom"/>
          </w:tcPr>
          <w:p w14:paraId="574BE45C" w14:textId="17F9477B" w:rsidR="00045990" w:rsidRDefault="00045990" w:rsidP="001B107F">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Diel study</w:t>
            </w:r>
          </w:p>
        </w:tc>
        <w:tc>
          <w:tcPr>
            <w:tcW w:w="1761" w:type="dxa"/>
            <w:tcBorders>
              <w:left w:val="nil"/>
              <w:bottom w:val="single" w:sz="4" w:space="0" w:color="auto"/>
              <w:right w:val="nil"/>
            </w:tcBorders>
            <w:vAlign w:val="bottom"/>
          </w:tcPr>
          <w:p w14:paraId="7F863E24" w14:textId="5E3CA326" w:rsidR="00045990" w:rsidRPr="00453F85" w:rsidRDefault="00045990" w:rsidP="001B107F">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Spatial position</w:t>
            </w:r>
          </w:p>
        </w:tc>
        <w:tc>
          <w:tcPr>
            <w:tcW w:w="1134" w:type="dxa"/>
            <w:tcBorders>
              <w:top w:val="single" w:sz="4" w:space="0" w:color="auto"/>
              <w:left w:val="nil"/>
              <w:bottom w:val="single" w:sz="4" w:space="0" w:color="auto"/>
              <w:right w:val="nil"/>
            </w:tcBorders>
            <w:shd w:val="clear" w:color="auto" w:fill="auto"/>
            <w:noWrap/>
            <w:vAlign w:val="bottom"/>
            <w:hideMark/>
          </w:tcPr>
          <w:p w14:paraId="00542E92" w14:textId="58E18C0D" w:rsidR="00045990" w:rsidRPr="00453F85" w:rsidRDefault="00F9563B" w:rsidP="001B107F">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 xml:space="preserve">CV </w:t>
            </w:r>
            <w:r w:rsidRPr="00391ADE">
              <w:rPr>
                <w:rFonts w:ascii="Calibri" w:eastAsia="Times New Roman" w:hAnsi="Calibri" w:cs="Calibri"/>
                <w:b/>
                <w:bCs/>
                <w:color w:val="000000"/>
                <w:vertAlign w:val="subscript"/>
                <w:lang w:eastAsia="en-GB"/>
              </w:rPr>
              <w:t>temporal</w:t>
            </w:r>
            <w:r>
              <w:rPr>
                <w:rFonts w:ascii="Calibri" w:eastAsia="Times New Roman" w:hAnsi="Calibri" w:cs="Calibri"/>
                <w:b/>
                <w:bCs/>
                <w:color w:val="000000"/>
                <w:lang w:eastAsia="en-GB"/>
              </w:rPr>
              <w:t xml:space="preserve"> </w:t>
            </w:r>
          </w:p>
        </w:tc>
        <w:tc>
          <w:tcPr>
            <w:tcW w:w="992" w:type="dxa"/>
            <w:tcBorders>
              <w:top w:val="single" w:sz="4" w:space="0" w:color="auto"/>
              <w:left w:val="nil"/>
              <w:bottom w:val="single" w:sz="4" w:space="0" w:color="auto"/>
              <w:right w:val="nil"/>
            </w:tcBorders>
            <w:shd w:val="clear" w:color="auto" w:fill="auto"/>
            <w:noWrap/>
            <w:vAlign w:val="bottom"/>
            <w:hideMark/>
          </w:tcPr>
          <w:p w14:paraId="388B3DA1" w14:textId="2F1B6C46" w:rsidR="00045990" w:rsidRPr="00453F85" w:rsidRDefault="00F9563B" w:rsidP="001B107F">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 xml:space="preserve">CV </w:t>
            </w:r>
            <w:r>
              <w:rPr>
                <w:rFonts w:ascii="Calibri" w:eastAsia="Times New Roman" w:hAnsi="Calibri" w:cs="Calibri"/>
                <w:b/>
                <w:bCs/>
                <w:color w:val="000000"/>
                <w:vertAlign w:val="subscript"/>
                <w:lang w:eastAsia="en-GB"/>
              </w:rPr>
              <w:t>s</w:t>
            </w:r>
            <w:r w:rsidR="00FC6ADD" w:rsidRPr="00391ADE">
              <w:rPr>
                <w:rFonts w:ascii="Calibri" w:eastAsia="Times New Roman" w:hAnsi="Calibri" w:cs="Calibri"/>
                <w:b/>
                <w:bCs/>
                <w:color w:val="000000"/>
                <w:vertAlign w:val="subscript"/>
                <w:lang w:eastAsia="en-GB"/>
              </w:rPr>
              <w:t>pati</w:t>
            </w:r>
            <w:r w:rsidR="00045990" w:rsidRPr="00391ADE">
              <w:rPr>
                <w:rFonts w:ascii="Calibri" w:eastAsia="Times New Roman" w:hAnsi="Calibri" w:cs="Calibri"/>
                <w:b/>
                <w:bCs/>
                <w:color w:val="000000"/>
                <w:vertAlign w:val="subscript"/>
                <w:lang w:eastAsia="en-GB"/>
              </w:rPr>
              <w:t xml:space="preserve">al </w:t>
            </w:r>
            <w:r w:rsidR="00045990">
              <w:rPr>
                <w:rFonts w:ascii="Calibri" w:eastAsia="Times New Roman" w:hAnsi="Calibri" w:cs="Calibri"/>
                <w:b/>
                <w:bCs/>
                <w:color w:val="000000"/>
                <w:lang w:eastAsia="en-GB"/>
              </w:rPr>
              <w:t xml:space="preserve"> </w:t>
            </w:r>
          </w:p>
        </w:tc>
        <w:tc>
          <w:tcPr>
            <w:tcW w:w="1134" w:type="dxa"/>
            <w:tcBorders>
              <w:top w:val="single" w:sz="4" w:space="0" w:color="auto"/>
              <w:left w:val="nil"/>
              <w:bottom w:val="single" w:sz="4" w:space="0" w:color="auto"/>
              <w:right w:val="nil"/>
            </w:tcBorders>
            <w:vAlign w:val="bottom"/>
          </w:tcPr>
          <w:p w14:paraId="65DD8663" w14:textId="3F790390" w:rsidR="00045990" w:rsidRDefault="00F9563B" w:rsidP="001B107F">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 xml:space="preserve">CV </w:t>
            </w:r>
            <w:r w:rsidRPr="00C42286">
              <w:rPr>
                <w:rFonts w:ascii="Calibri" w:eastAsia="Times New Roman" w:hAnsi="Calibri" w:cs="Calibri"/>
                <w:b/>
                <w:bCs/>
                <w:color w:val="000000"/>
                <w:vertAlign w:val="subscript"/>
                <w:lang w:eastAsia="en-GB"/>
              </w:rPr>
              <w:t>temporal</w:t>
            </w:r>
            <w:r w:rsidR="00045990">
              <w:rPr>
                <w:rFonts w:ascii="Calibri" w:eastAsia="Times New Roman" w:hAnsi="Calibri" w:cs="Calibri"/>
                <w:b/>
                <w:bCs/>
                <w:color w:val="000000"/>
                <w:lang w:eastAsia="en-GB"/>
              </w:rPr>
              <w:t xml:space="preserve"> </w:t>
            </w:r>
          </w:p>
        </w:tc>
        <w:tc>
          <w:tcPr>
            <w:tcW w:w="993" w:type="dxa"/>
            <w:tcBorders>
              <w:top w:val="single" w:sz="4" w:space="0" w:color="auto"/>
              <w:left w:val="nil"/>
              <w:bottom w:val="single" w:sz="4" w:space="0" w:color="auto"/>
              <w:right w:val="nil"/>
            </w:tcBorders>
            <w:vAlign w:val="bottom"/>
          </w:tcPr>
          <w:p w14:paraId="28725257" w14:textId="215049C5" w:rsidR="00045990" w:rsidRDefault="00F9563B" w:rsidP="001B107F">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 xml:space="preserve">CV </w:t>
            </w:r>
            <w:r>
              <w:rPr>
                <w:rFonts w:ascii="Calibri" w:eastAsia="Times New Roman" w:hAnsi="Calibri" w:cs="Calibri"/>
                <w:b/>
                <w:bCs/>
                <w:color w:val="000000"/>
                <w:vertAlign w:val="subscript"/>
                <w:lang w:eastAsia="en-GB"/>
              </w:rPr>
              <w:t>s</w:t>
            </w:r>
            <w:r w:rsidRPr="00C42286">
              <w:rPr>
                <w:rFonts w:ascii="Calibri" w:eastAsia="Times New Roman" w:hAnsi="Calibri" w:cs="Calibri"/>
                <w:b/>
                <w:bCs/>
                <w:color w:val="000000"/>
                <w:vertAlign w:val="subscript"/>
                <w:lang w:eastAsia="en-GB"/>
              </w:rPr>
              <w:t xml:space="preserve">patial </w:t>
            </w:r>
            <w:r>
              <w:rPr>
                <w:rFonts w:ascii="Calibri" w:eastAsia="Times New Roman" w:hAnsi="Calibri" w:cs="Calibri"/>
                <w:b/>
                <w:bCs/>
                <w:color w:val="000000"/>
                <w:lang w:eastAsia="en-GB"/>
              </w:rPr>
              <w:t xml:space="preserve"> </w:t>
            </w:r>
          </w:p>
        </w:tc>
      </w:tr>
      <w:tr w:rsidR="00045990" w:rsidRPr="001345FE" w14:paraId="7F48143A" w14:textId="44CDA9EC" w:rsidTr="002A2765">
        <w:trPr>
          <w:trHeight w:val="290"/>
        </w:trPr>
        <w:tc>
          <w:tcPr>
            <w:tcW w:w="630" w:type="dxa"/>
            <w:tcBorders>
              <w:top w:val="single" w:sz="4" w:space="0" w:color="auto"/>
              <w:left w:val="nil"/>
              <w:bottom w:val="nil"/>
              <w:right w:val="nil"/>
            </w:tcBorders>
            <w:shd w:val="clear" w:color="auto" w:fill="auto"/>
            <w:noWrap/>
            <w:vAlign w:val="bottom"/>
            <w:hideMark/>
          </w:tcPr>
          <w:p w14:paraId="26626BB5" w14:textId="6F871A71" w:rsidR="00045990" w:rsidRPr="001345FE" w:rsidRDefault="00045990"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D</w:t>
            </w:r>
            <w:r w:rsidRPr="001345FE">
              <w:rPr>
                <w:rFonts w:ascii="Calibri" w:eastAsia="Times New Roman" w:hAnsi="Calibri" w:cs="Calibri"/>
                <w:color w:val="000000"/>
                <w:lang w:eastAsia="en-GB"/>
              </w:rPr>
              <w:t>F</w:t>
            </w:r>
          </w:p>
        </w:tc>
        <w:tc>
          <w:tcPr>
            <w:tcW w:w="1153" w:type="dxa"/>
            <w:tcBorders>
              <w:top w:val="single" w:sz="4" w:space="0" w:color="auto"/>
              <w:left w:val="nil"/>
              <w:bottom w:val="nil"/>
              <w:right w:val="nil"/>
            </w:tcBorders>
            <w:vAlign w:val="bottom"/>
          </w:tcPr>
          <w:p w14:paraId="18E5543A" w14:textId="51380356" w:rsidR="00045990" w:rsidRDefault="00045990"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1761" w:type="dxa"/>
            <w:tcBorders>
              <w:top w:val="single" w:sz="4" w:space="0" w:color="auto"/>
              <w:left w:val="nil"/>
              <w:bottom w:val="nil"/>
              <w:right w:val="nil"/>
            </w:tcBorders>
          </w:tcPr>
          <w:p w14:paraId="2A91F3AA" w14:textId="15848B6B" w:rsidR="00045990" w:rsidRPr="001345FE" w:rsidRDefault="00045990"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Site-scale</w:t>
            </w:r>
          </w:p>
        </w:tc>
        <w:tc>
          <w:tcPr>
            <w:tcW w:w="1134" w:type="dxa"/>
            <w:tcBorders>
              <w:top w:val="single" w:sz="4" w:space="0" w:color="auto"/>
              <w:left w:val="nil"/>
              <w:bottom w:val="nil"/>
              <w:right w:val="nil"/>
            </w:tcBorders>
            <w:shd w:val="clear" w:color="auto" w:fill="auto"/>
            <w:noWrap/>
            <w:vAlign w:val="bottom"/>
            <w:hideMark/>
          </w:tcPr>
          <w:p w14:paraId="28CAD479" w14:textId="46B4763F"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54%</w:t>
            </w:r>
          </w:p>
        </w:tc>
        <w:tc>
          <w:tcPr>
            <w:tcW w:w="992" w:type="dxa"/>
            <w:tcBorders>
              <w:top w:val="single" w:sz="4" w:space="0" w:color="auto"/>
              <w:left w:val="nil"/>
              <w:bottom w:val="nil"/>
              <w:right w:val="nil"/>
            </w:tcBorders>
            <w:shd w:val="clear" w:color="auto" w:fill="auto"/>
            <w:noWrap/>
            <w:vAlign w:val="bottom"/>
            <w:hideMark/>
          </w:tcPr>
          <w:p w14:paraId="0845F802" w14:textId="5CC1DB26"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34%</w:t>
            </w:r>
          </w:p>
        </w:tc>
        <w:tc>
          <w:tcPr>
            <w:tcW w:w="1134" w:type="dxa"/>
            <w:tcBorders>
              <w:top w:val="single" w:sz="4" w:space="0" w:color="auto"/>
              <w:left w:val="nil"/>
              <w:bottom w:val="nil"/>
              <w:right w:val="nil"/>
            </w:tcBorders>
          </w:tcPr>
          <w:p w14:paraId="11BFD19F" w14:textId="2C583CF2"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147%</w:t>
            </w:r>
          </w:p>
        </w:tc>
        <w:tc>
          <w:tcPr>
            <w:tcW w:w="993" w:type="dxa"/>
            <w:tcBorders>
              <w:top w:val="single" w:sz="4" w:space="0" w:color="auto"/>
              <w:left w:val="nil"/>
              <w:bottom w:val="nil"/>
              <w:right w:val="nil"/>
            </w:tcBorders>
          </w:tcPr>
          <w:p w14:paraId="20FCA62B" w14:textId="1BC55FC7"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93%</w:t>
            </w:r>
          </w:p>
        </w:tc>
      </w:tr>
      <w:tr w:rsidR="00045990" w:rsidRPr="001345FE" w14:paraId="1B66D07D" w14:textId="177F7486" w:rsidTr="002A2765">
        <w:trPr>
          <w:trHeight w:val="290"/>
        </w:trPr>
        <w:tc>
          <w:tcPr>
            <w:tcW w:w="630" w:type="dxa"/>
            <w:tcBorders>
              <w:top w:val="nil"/>
              <w:left w:val="nil"/>
              <w:right w:val="nil"/>
            </w:tcBorders>
            <w:shd w:val="clear" w:color="auto" w:fill="auto"/>
            <w:noWrap/>
            <w:vAlign w:val="bottom"/>
            <w:hideMark/>
          </w:tcPr>
          <w:p w14:paraId="0B3CFB6C" w14:textId="3BD4F83C" w:rsidR="00045990" w:rsidRPr="001345FE" w:rsidRDefault="00045990"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OP</w:t>
            </w:r>
          </w:p>
        </w:tc>
        <w:tc>
          <w:tcPr>
            <w:tcW w:w="1153" w:type="dxa"/>
            <w:tcBorders>
              <w:top w:val="nil"/>
              <w:left w:val="nil"/>
              <w:right w:val="nil"/>
            </w:tcBorders>
            <w:vAlign w:val="bottom"/>
          </w:tcPr>
          <w:p w14:paraId="26592E74" w14:textId="6CE4E949" w:rsidR="00045990" w:rsidRDefault="00045990"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1761" w:type="dxa"/>
            <w:tcBorders>
              <w:top w:val="nil"/>
              <w:left w:val="nil"/>
              <w:right w:val="nil"/>
            </w:tcBorders>
          </w:tcPr>
          <w:p w14:paraId="1D840941" w14:textId="30DCEC12" w:rsidR="00045990" w:rsidRPr="001345FE" w:rsidRDefault="00045990"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FZ</w:t>
            </w:r>
          </w:p>
        </w:tc>
        <w:tc>
          <w:tcPr>
            <w:tcW w:w="1134" w:type="dxa"/>
            <w:tcBorders>
              <w:top w:val="nil"/>
              <w:left w:val="nil"/>
              <w:right w:val="nil"/>
            </w:tcBorders>
            <w:shd w:val="clear" w:color="auto" w:fill="auto"/>
            <w:noWrap/>
            <w:vAlign w:val="bottom"/>
            <w:hideMark/>
          </w:tcPr>
          <w:p w14:paraId="3D860592" w14:textId="16F08CDA"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45%</w:t>
            </w:r>
          </w:p>
        </w:tc>
        <w:tc>
          <w:tcPr>
            <w:tcW w:w="992" w:type="dxa"/>
            <w:tcBorders>
              <w:top w:val="nil"/>
              <w:left w:val="nil"/>
              <w:right w:val="nil"/>
            </w:tcBorders>
            <w:shd w:val="clear" w:color="auto" w:fill="auto"/>
            <w:noWrap/>
            <w:vAlign w:val="bottom"/>
            <w:hideMark/>
          </w:tcPr>
          <w:p w14:paraId="599099BD" w14:textId="3A7A22E5"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81%</w:t>
            </w:r>
          </w:p>
        </w:tc>
        <w:tc>
          <w:tcPr>
            <w:tcW w:w="1134" w:type="dxa"/>
            <w:tcBorders>
              <w:top w:val="nil"/>
              <w:left w:val="nil"/>
              <w:right w:val="nil"/>
            </w:tcBorders>
          </w:tcPr>
          <w:p w14:paraId="61D0FCDC" w14:textId="4EBF5646"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67%</w:t>
            </w:r>
          </w:p>
        </w:tc>
        <w:tc>
          <w:tcPr>
            <w:tcW w:w="993" w:type="dxa"/>
            <w:tcBorders>
              <w:top w:val="nil"/>
              <w:left w:val="nil"/>
              <w:right w:val="nil"/>
            </w:tcBorders>
          </w:tcPr>
          <w:p w14:paraId="0FA5F54D" w14:textId="4E76D69D"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74%</w:t>
            </w:r>
          </w:p>
        </w:tc>
      </w:tr>
      <w:tr w:rsidR="00045990" w:rsidRPr="001345FE" w14:paraId="41E88F7B" w14:textId="6CC03C6C" w:rsidTr="002A2765">
        <w:trPr>
          <w:trHeight w:val="290"/>
        </w:trPr>
        <w:tc>
          <w:tcPr>
            <w:tcW w:w="630" w:type="dxa"/>
            <w:tcBorders>
              <w:top w:val="nil"/>
              <w:left w:val="nil"/>
              <w:bottom w:val="nil"/>
              <w:right w:val="nil"/>
            </w:tcBorders>
            <w:shd w:val="clear" w:color="auto" w:fill="auto"/>
            <w:noWrap/>
            <w:vAlign w:val="bottom"/>
          </w:tcPr>
          <w:p w14:paraId="20FEA6C4" w14:textId="1199D859" w:rsidR="00045990" w:rsidRDefault="00045990"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OP</w:t>
            </w:r>
          </w:p>
        </w:tc>
        <w:tc>
          <w:tcPr>
            <w:tcW w:w="1153" w:type="dxa"/>
            <w:tcBorders>
              <w:top w:val="nil"/>
              <w:left w:val="nil"/>
              <w:bottom w:val="nil"/>
              <w:right w:val="nil"/>
            </w:tcBorders>
            <w:vAlign w:val="bottom"/>
          </w:tcPr>
          <w:p w14:paraId="3691DFDE" w14:textId="24D676B4" w:rsidR="00045990" w:rsidRDefault="00045990"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1761" w:type="dxa"/>
            <w:tcBorders>
              <w:top w:val="nil"/>
              <w:left w:val="nil"/>
              <w:bottom w:val="nil"/>
              <w:right w:val="nil"/>
            </w:tcBorders>
          </w:tcPr>
          <w:p w14:paraId="64507578" w14:textId="4657EFA8" w:rsidR="00045990" w:rsidRPr="001345FE" w:rsidRDefault="00045990"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NFZ</w:t>
            </w:r>
          </w:p>
        </w:tc>
        <w:tc>
          <w:tcPr>
            <w:tcW w:w="1134" w:type="dxa"/>
            <w:tcBorders>
              <w:top w:val="nil"/>
              <w:left w:val="nil"/>
              <w:bottom w:val="nil"/>
              <w:right w:val="nil"/>
            </w:tcBorders>
            <w:shd w:val="clear" w:color="auto" w:fill="auto"/>
            <w:noWrap/>
            <w:vAlign w:val="bottom"/>
          </w:tcPr>
          <w:p w14:paraId="7DB770FE" w14:textId="7613243E"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65%</w:t>
            </w:r>
          </w:p>
        </w:tc>
        <w:tc>
          <w:tcPr>
            <w:tcW w:w="992" w:type="dxa"/>
            <w:tcBorders>
              <w:top w:val="nil"/>
              <w:left w:val="nil"/>
              <w:bottom w:val="nil"/>
              <w:right w:val="nil"/>
            </w:tcBorders>
            <w:shd w:val="clear" w:color="auto" w:fill="auto"/>
            <w:noWrap/>
            <w:vAlign w:val="bottom"/>
          </w:tcPr>
          <w:p w14:paraId="0176B41E" w14:textId="4A06CC7B"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122%</w:t>
            </w:r>
          </w:p>
        </w:tc>
        <w:tc>
          <w:tcPr>
            <w:tcW w:w="1134" w:type="dxa"/>
            <w:tcBorders>
              <w:top w:val="nil"/>
              <w:left w:val="nil"/>
              <w:bottom w:val="nil"/>
              <w:right w:val="nil"/>
            </w:tcBorders>
          </w:tcPr>
          <w:p w14:paraId="68495636" w14:textId="76C69995"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233%</w:t>
            </w:r>
          </w:p>
        </w:tc>
        <w:tc>
          <w:tcPr>
            <w:tcW w:w="993" w:type="dxa"/>
            <w:tcBorders>
              <w:top w:val="nil"/>
              <w:left w:val="nil"/>
              <w:bottom w:val="nil"/>
              <w:right w:val="nil"/>
            </w:tcBorders>
          </w:tcPr>
          <w:p w14:paraId="25DAF6F1" w14:textId="19210527"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236%</w:t>
            </w:r>
          </w:p>
        </w:tc>
      </w:tr>
      <w:tr w:rsidR="00045990" w:rsidRPr="001345FE" w14:paraId="26E318A4" w14:textId="5C405131" w:rsidTr="002A2765">
        <w:trPr>
          <w:trHeight w:val="290"/>
        </w:trPr>
        <w:tc>
          <w:tcPr>
            <w:tcW w:w="630" w:type="dxa"/>
            <w:tcBorders>
              <w:top w:val="nil"/>
              <w:left w:val="nil"/>
              <w:bottom w:val="nil"/>
              <w:right w:val="nil"/>
            </w:tcBorders>
            <w:shd w:val="clear" w:color="auto" w:fill="auto"/>
            <w:noWrap/>
            <w:vAlign w:val="bottom"/>
          </w:tcPr>
          <w:p w14:paraId="00781266" w14:textId="5EAB0986" w:rsidR="00045990" w:rsidRDefault="00045990"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OP</w:t>
            </w:r>
          </w:p>
        </w:tc>
        <w:tc>
          <w:tcPr>
            <w:tcW w:w="1153" w:type="dxa"/>
            <w:tcBorders>
              <w:top w:val="nil"/>
              <w:left w:val="nil"/>
              <w:bottom w:val="nil"/>
              <w:right w:val="nil"/>
            </w:tcBorders>
            <w:vAlign w:val="bottom"/>
          </w:tcPr>
          <w:p w14:paraId="196680FD" w14:textId="59CB2377" w:rsidR="00045990" w:rsidRDefault="00045990"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1761" w:type="dxa"/>
            <w:tcBorders>
              <w:top w:val="nil"/>
              <w:left w:val="nil"/>
              <w:bottom w:val="nil"/>
              <w:right w:val="nil"/>
            </w:tcBorders>
          </w:tcPr>
          <w:p w14:paraId="0C6F2AA7" w14:textId="506415FE" w:rsidR="00045990" w:rsidRDefault="00045990"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FZ</w:t>
            </w:r>
          </w:p>
        </w:tc>
        <w:tc>
          <w:tcPr>
            <w:tcW w:w="1134" w:type="dxa"/>
            <w:tcBorders>
              <w:top w:val="nil"/>
              <w:left w:val="nil"/>
              <w:bottom w:val="nil"/>
              <w:right w:val="nil"/>
            </w:tcBorders>
            <w:shd w:val="clear" w:color="auto" w:fill="auto"/>
            <w:noWrap/>
            <w:vAlign w:val="bottom"/>
          </w:tcPr>
          <w:p w14:paraId="1FC40540" w14:textId="092CF986"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27%</w:t>
            </w:r>
          </w:p>
        </w:tc>
        <w:tc>
          <w:tcPr>
            <w:tcW w:w="992" w:type="dxa"/>
            <w:tcBorders>
              <w:top w:val="nil"/>
              <w:left w:val="nil"/>
              <w:bottom w:val="nil"/>
              <w:right w:val="nil"/>
            </w:tcBorders>
            <w:shd w:val="clear" w:color="auto" w:fill="auto"/>
            <w:noWrap/>
            <w:vAlign w:val="bottom"/>
          </w:tcPr>
          <w:p w14:paraId="3E0A2967" w14:textId="58C73C17"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88%</w:t>
            </w:r>
          </w:p>
        </w:tc>
        <w:tc>
          <w:tcPr>
            <w:tcW w:w="1134" w:type="dxa"/>
            <w:tcBorders>
              <w:top w:val="nil"/>
              <w:left w:val="nil"/>
              <w:bottom w:val="nil"/>
              <w:right w:val="nil"/>
            </w:tcBorders>
          </w:tcPr>
          <w:p w14:paraId="3DF9E885" w14:textId="269CAE19"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85%</w:t>
            </w:r>
          </w:p>
        </w:tc>
        <w:tc>
          <w:tcPr>
            <w:tcW w:w="993" w:type="dxa"/>
            <w:tcBorders>
              <w:top w:val="nil"/>
              <w:left w:val="nil"/>
              <w:bottom w:val="nil"/>
              <w:right w:val="nil"/>
            </w:tcBorders>
          </w:tcPr>
          <w:p w14:paraId="2A77B63E" w14:textId="365BC9EC"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90%</w:t>
            </w:r>
          </w:p>
        </w:tc>
      </w:tr>
      <w:tr w:rsidR="00045990" w:rsidRPr="001345FE" w14:paraId="30BCB0E0" w14:textId="4D974283" w:rsidTr="002A2765">
        <w:trPr>
          <w:trHeight w:val="290"/>
        </w:trPr>
        <w:tc>
          <w:tcPr>
            <w:tcW w:w="630" w:type="dxa"/>
            <w:tcBorders>
              <w:top w:val="nil"/>
              <w:left w:val="nil"/>
              <w:bottom w:val="single" w:sz="4" w:space="0" w:color="auto"/>
              <w:right w:val="nil"/>
            </w:tcBorders>
            <w:shd w:val="clear" w:color="auto" w:fill="auto"/>
            <w:noWrap/>
            <w:vAlign w:val="bottom"/>
          </w:tcPr>
          <w:p w14:paraId="0203972A" w14:textId="090192F2" w:rsidR="00045990" w:rsidRDefault="00045990"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OP</w:t>
            </w:r>
          </w:p>
        </w:tc>
        <w:tc>
          <w:tcPr>
            <w:tcW w:w="1153" w:type="dxa"/>
            <w:tcBorders>
              <w:top w:val="nil"/>
              <w:left w:val="nil"/>
              <w:bottom w:val="single" w:sz="4" w:space="0" w:color="auto"/>
              <w:right w:val="nil"/>
            </w:tcBorders>
            <w:vAlign w:val="bottom"/>
          </w:tcPr>
          <w:p w14:paraId="5ECACB92" w14:textId="611C61B9" w:rsidR="00045990" w:rsidRDefault="00045990"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1761" w:type="dxa"/>
            <w:tcBorders>
              <w:top w:val="nil"/>
              <w:left w:val="nil"/>
              <w:bottom w:val="single" w:sz="4" w:space="0" w:color="auto"/>
              <w:right w:val="nil"/>
            </w:tcBorders>
          </w:tcPr>
          <w:p w14:paraId="24F08B6A" w14:textId="7E36ED57" w:rsidR="00045990" w:rsidRDefault="00045990"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NFZ</w:t>
            </w:r>
          </w:p>
        </w:tc>
        <w:tc>
          <w:tcPr>
            <w:tcW w:w="1134" w:type="dxa"/>
            <w:tcBorders>
              <w:top w:val="nil"/>
              <w:left w:val="nil"/>
              <w:bottom w:val="single" w:sz="4" w:space="0" w:color="auto"/>
              <w:right w:val="nil"/>
            </w:tcBorders>
            <w:shd w:val="clear" w:color="auto" w:fill="auto"/>
            <w:noWrap/>
            <w:vAlign w:val="bottom"/>
          </w:tcPr>
          <w:p w14:paraId="3B213727" w14:textId="38DE4B86"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34%</w:t>
            </w:r>
          </w:p>
        </w:tc>
        <w:tc>
          <w:tcPr>
            <w:tcW w:w="992" w:type="dxa"/>
            <w:tcBorders>
              <w:top w:val="nil"/>
              <w:left w:val="nil"/>
              <w:bottom w:val="single" w:sz="4" w:space="0" w:color="auto"/>
              <w:right w:val="nil"/>
            </w:tcBorders>
            <w:shd w:val="clear" w:color="auto" w:fill="auto"/>
            <w:noWrap/>
            <w:vAlign w:val="bottom"/>
          </w:tcPr>
          <w:p w14:paraId="044D9E40" w14:textId="500B222D"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85%</w:t>
            </w:r>
          </w:p>
        </w:tc>
        <w:tc>
          <w:tcPr>
            <w:tcW w:w="1134" w:type="dxa"/>
            <w:tcBorders>
              <w:top w:val="nil"/>
              <w:left w:val="nil"/>
              <w:bottom w:val="single" w:sz="4" w:space="0" w:color="auto"/>
              <w:right w:val="nil"/>
            </w:tcBorders>
          </w:tcPr>
          <w:p w14:paraId="15DCD830" w14:textId="3F676B15"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642%</w:t>
            </w:r>
          </w:p>
        </w:tc>
        <w:tc>
          <w:tcPr>
            <w:tcW w:w="993" w:type="dxa"/>
            <w:tcBorders>
              <w:top w:val="nil"/>
              <w:left w:val="nil"/>
              <w:bottom w:val="single" w:sz="4" w:space="0" w:color="auto"/>
              <w:right w:val="nil"/>
            </w:tcBorders>
          </w:tcPr>
          <w:p w14:paraId="3EDF7B33" w14:textId="3CEF1880" w:rsidR="00045990" w:rsidRPr="001345FE" w:rsidRDefault="00BF0EF3" w:rsidP="001B107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239%</w:t>
            </w:r>
          </w:p>
        </w:tc>
      </w:tr>
    </w:tbl>
    <w:p w14:paraId="235C37A1" w14:textId="128B4611" w:rsidR="00627D4A" w:rsidRPr="002A2765" w:rsidRDefault="00391ADE" w:rsidP="001B107F">
      <w:pPr>
        <w:spacing w:after="0"/>
        <w:rPr>
          <w:bCs/>
          <w:sz w:val="20"/>
          <w:szCs w:val="20"/>
        </w:rPr>
      </w:pPr>
      <w:r w:rsidRPr="002A2765">
        <w:rPr>
          <w:bCs/>
          <w:sz w:val="20"/>
          <w:szCs w:val="20"/>
        </w:rPr>
        <w:t xml:space="preserve">CV </w:t>
      </w:r>
      <w:r w:rsidRPr="002A2765">
        <w:rPr>
          <w:bCs/>
          <w:sz w:val="20"/>
          <w:szCs w:val="20"/>
          <w:vertAlign w:val="subscript"/>
        </w:rPr>
        <w:t>temporal</w:t>
      </w:r>
      <w:r w:rsidRPr="002A2765">
        <w:rPr>
          <w:bCs/>
          <w:sz w:val="20"/>
          <w:szCs w:val="20"/>
        </w:rPr>
        <w:t xml:space="preserve"> was calculated based on the mean bi-hourly fluxes </w:t>
      </w:r>
      <w:r w:rsidR="00203D99" w:rsidRPr="002A2765">
        <w:rPr>
          <w:bCs/>
          <w:sz w:val="20"/>
          <w:szCs w:val="20"/>
        </w:rPr>
        <w:t>per site or</w:t>
      </w:r>
      <w:r w:rsidRPr="002A2765">
        <w:rPr>
          <w:bCs/>
          <w:sz w:val="20"/>
          <w:szCs w:val="20"/>
        </w:rPr>
        <w:t xml:space="preserve"> microtopography</w:t>
      </w:r>
      <w:r w:rsidR="00203D99" w:rsidRPr="002A2765">
        <w:rPr>
          <w:bCs/>
          <w:sz w:val="20"/>
          <w:szCs w:val="20"/>
        </w:rPr>
        <w:t>;</w:t>
      </w:r>
      <w:r w:rsidRPr="002A2765">
        <w:rPr>
          <w:bCs/>
          <w:sz w:val="20"/>
          <w:szCs w:val="20"/>
        </w:rPr>
        <w:t xml:space="preserve"> CV </w:t>
      </w:r>
      <w:r w:rsidR="00203D99" w:rsidRPr="002A2765">
        <w:rPr>
          <w:bCs/>
          <w:sz w:val="20"/>
          <w:szCs w:val="20"/>
          <w:vertAlign w:val="subscript"/>
        </w:rPr>
        <w:t>spatial</w:t>
      </w:r>
      <w:r w:rsidR="00203D99" w:rsidRPr="002A2765">
        <w:rPr>
          <w:bCs/>
          <w:sz w:val="20"/>
          <w:szCs w:val="20"/>
        </w:rPr>
        <w:t xml:space="preserve"> was computed based on </w:t>
      </w:r>
      <w:r w:rsidRPr="002A2765">
        <w:rPr>
          <w:bCs/>
          <w:sz w:val="20"/>
          <w:szCs w:val="20"/>
        </w:rPr>
        <w:t xml:space="preserve">the mean </w:t>
      </w:r>
      <w:r w:rsidR="00203D99" w:rsidRPr="002A2765">
        <w:rPr>
          <w:bCs/>
          <w:sz w:val="20"/>
          <w:szCs w:val="20"/>
        </w:rPr>
        <w:t xml:space="preserve">per </w:t>
      </w:r>
      <w:r w:rsidRPr="002A2765">
        <w:rPr>
          <w:bCs/>
          <w:sz w:val="20"/>
          <w:szCs w:val="20"/>
        </w:rPr>
        <w:t>chamber.</w:t>
      </w:r>
    </w:p>
    <w:p w14:paraId="040BC6C2" w14:textId="658074FA" w:rsidR="00FD48FD" w:rsidRDefault="00FD48FD" w:rsidP="001B107F">
      <w:pPr>
        <w:spacing w:after="0"/>
        <w:rPr>
          <w:bCs/>
        </w:rPr>
      </w:pPr>
    </w:p>
    <w:p w14:paraId="1F1B0112" w14:textId="783BCE60" w:rsidR="00FD48FD" w:rsidRPr="00EF3466" w:rsidRDefault="00FD48FD" w:rsidP="001B107F">
      <w:pPr>
        <w:spacing w:after="0"/>
        <w:rPr>
          <w:b/>
          <w:bCs/>
        </w:rPr>
      </w:pPr>
      <w:r w:rsidRPr="00EF3466">
        <w:rPr>
          <w:b/>
          <w:bCs/>
        </w:rPr>
        <w:t>S</w:t>
      </w:r>
      <w:r>
        <w:rPr>
          <w:b/>
          <w:bCs/>
        </w:rPr>
        <w:t>2</w:t>
      </w:r>
      <w:r w:rsidRPr="00EF3466">
        <w:rPr>
          <w:b/>
          <w:bCs/>
        </w:rPr>
        <w:t>. Fluxes of CH</w:t>
      </w:r>
      <w:r w:rsidRPr="00EF3466">
        <w:rPr>
          <w:b/>
          <w:bCs/>
          <w:vertAlign w:val="subscript"/>
        </w:rPr>
        <w:t>4</w:t>
      </w:r>
      <w:r w:rsidRPr="00EF3466">
        <w:rPr>
          <w:b/>
          <w:bCs/>
        </w:rPr>
        <w:t xml:space="preserve"> and N</w:t>
      </w:r>
      <w:r w:rsidRPr="00EF3466">
        <w:rPr>
          <w:b/>
          <w:bCs/>
          <w:vertAlign w:val="subscript"/>
        </w:rPr>
        <w:t>2</w:t>
      </w:r>
      <w:r w:rsidRPr="00EF3466">
        <w:rPr>
          <w:b/>
          <w:bCs/>
        </w:rPr>
        <w:t>O from water surface in drainage canals</w:t>
      </w:r>
    </w:p>
    <w:p w14:paraId="6A04CD21" w14:textId="77777777" w:rsidR="00FD48FD" w:rsidRDefault="00FD48FD" w:rsidP="001B107F">
      <w:pPr>
        <w:spacing w:after="0"/>
      </w:pPr>
    </w:p>
    <w:p w14:paraId="553E50AA" w14:textId="0903511D" w:rsidR="00FD48FD" w:rsidRDefault="00FD48FD" w:rsidP="001B107F">
      <w:pPr>
        <w:spacing w:after="0"/>
      </w:pPr>
      <w:r>
        <w:t>S2.1 Materials and methods</w:t>
      </w:r>
    </w:p>
    <w:p w14:paraId="52A97641" w14:textId="77777777" w:rsidR="00FD48FD" w:rsidRDefault="00FD48FD" w:rsidP="001B107F">
      <w:pPr>
        <w:spacing w:after="0"/>
      </w:pPr>
    </w:p>
    <w:p w14:paraId="4A2A760D" w14:textId="6D210FB2" w:rsidR="00FD48FD" w:rsidRDefault="00FD48FD" w:rsidP="001B107F">
      <w:pPr>
        <w:spacing w:after="0"/>
      </w:pPr>
      <w:r>
        <w:t>Monthly fluxes of N</w:t>
      </w:r>
      <w:r w:rsidRPr="00AB5208">
        <w:rPr>
          <w:vertAlign w:val="subscript"/>
        </w:rPr>
        <w:t>2</w:t>
      </w:r>
      <w:r>
        <w:t>O and CH</w:t>
      </w:r>
      <w:r w:rsidRPr="00AB5208">
        <w:rPr>
          <w:vertAlign w:val="subscript"/>
        </w:rPr>
        <w:t>4</w:t>
      </w:r>
      <w:r>
        <w:t xml:space="preserve"> from drainage canal</w:t>
      </w:r>
      <w:r w:rsidR="00E0146F">
        <w:t>s</w:t>
      </w:r>
      <w:r>
        <w:t xml:space="preserve"> in the oil palm plantation (OP) were measured from March 2012 through March 2013. </w:t>
      </w:r>
      <w:r w:rsidRPr="00AB5208">
        <w:t>The main drainage canal where the sampling took place was always flooded</w:t>
      </w:r>
      <w:r>
        <w:t>,</w:t>
      </w:r>
      <w:r w:rsidRPr="00AB5208">
        <w:t xml:space="preserve"> while the secondary and tertiary canals were only flooded after rainfall. </w:t>
      </w:r>
      <w:r w:rsidRPr="00AB5208" w:rsidDel="00AB672C">
        <w:t xml:space="preserve">Two </w:t>
      </w:r>
      <w:r>
        <w:t>polyvinyl chloride (</w:t>
      </w:r>
      <w:r w:rsidRPr="00AB5208" w:rsidDel="00AB672C">
        <w:t>PVC</w:t>
      </w:r>
      <w:r>
        <w:t>)</w:t>
      </w:r>
      <w:r w:rsidRPr="00AB5208" w:rsidDel="00AB672C">
        <w:t xml:space="preserve"> c</w:t>
      </w:r>
      <w:r>
        <w:t>hamber</w:t>
      </w:r>
      <w:r w:rsidRPr="00AB5208" w:rsidDel="00AB672C">
        <w:t>s</w:t>
      </w:r>
      <w:r w:rsidRPr="00AB5208">
        <w:t xml:space="preserve"> </w:t>
      </w:r>
      <w:r>
        <w:t xml:space="preserve">(diameter = 0.27 m and </w:t>
      </w:r>
      <w:r w:rsidR="009D04D1">
        <w:t>height</w:t>
      </w:r>
      <w:r>
        <w:t xml:space="preserve"> &lt; 0.3 m) </w:t>
      </w:r>
      <w:r w:rsidRPr="00AB5208" w:rsidDel="00AB672C">
        <w:t>were each placed in inflatable tube</w:t>
      </w:r>
      <w:r w:rsidRPr="00AB5208">
        <w:t xml:space="preserve">s secured to an access bridge using two anchor points and placed on the surface of the water in the canal, creating an airtight seal. </w:t>
      </w:r>
      <w:r>
        <w:t>As for determination of soil GHG fluxes, th</w:t>
      </w:r>
      <w:r w:rsidRPr="00FD7B1B">
        <w:t xml:space="preserve">e PVC chamber lids included a port for gas sampling and a vent. Samples were </w:t>
      </w:r>
      <w:r>
        <w:t xml:space="preserve">collected in pre-evacuated </w:t>
      </w:r>
      <w:r w:rsidR="009D04D1">
        <w:t xml:space="preserve">40-ml </w:t>
      </w:r>
      <w:r>
        <w:t>glass vials</w:t>
      </w:r>
      <w:r w:rsidRPr="00FD7B1B">
        <w:t xml:space="preserve"> at 0, 10, 20 and 30 minutes after closing the chamber. The samples were </w:t>
      </w:r>
      <w:proofErr w:type="spellStart"/>
      <w:r w:rsidRPr="00FD7B1B">
        <w:t>analy</w:t>
      </w:r>
      <w:r w:rsidR="009D04D1">
        <w:t>z</w:t>
      </w:r>
      <w:r w:rsidRPr="00FD7B1B">
        <w:t>ed</w:t>
      </w:r>
      <w:proofErr w:type="spellEnd"/>
      <w:r w:rsidRPr="00FD7B1B">
        <w:t xml:space="preserve"> within 15 days by the Center for International Forestry in Jambi on a Shimadzu 14A gas chromatograph equipped with an electron capture detector for N</w:t>
      </w:r>
      <w:r w:rsidRPr="00FD7B1B">
        <w:rPr>
          <w:vertAlign w:val="subscript"/>
        </w:rPr>
        <w:t>2</w:t>
      </w:r>
      <w:r w:rsidRPr="00FD7B1B">
        <w:t xml:space="preserve">O and </w:t>
      </w:r>
      <w:r>
        <w:t xml:space="preserve">a </w:t>
      </w:r>
      <w:r w:rsidRPr="00FD7B1B">
        <w:t>flame ionisation detector for CH</w:t>
      </w:r>
      <w:r w:rsidRPr="00FD7B1B">
        <w:rPr>
          <w:vertAlign w:val="subscript"/>
        </w:rPr>
        <w:t>4</w:t>
      </w:r>
      <w:r w:rsidRPr="00FD7B1B">
        <w:t xml:space="preserve"> (</w:t>
      </w:r>
      <w:proofErr w:type="spellStart"/>
      <w:r w:rsidRPr="00FD7B1B">
        <w:t>Loftfield</w:t>
      </w:r>
      <w:proofErr w:type="spellEnd"/>
      <w:r w:rsidRPr="00FD7B1B">
        <w:rPr>
          <w:i/>
        </w:rPr>
        <w:t xml:space="preserve"> </w:t>
      </w:r>
      <w:r w:rsidRPr="00544BAA">
        <w:rPr>
          <w:iCs/>
        </w:rPr>
        <w:t xml:space="preserve">et al. </w:t>
      </w:r>
      <w:r w:rsidRPr="00FD7B1B">
        <w:t xml:space="preserve">1997). </w:t>
      </w:r>
      <w:r w:rsidR="009847DB" w:rsidRPr="002B45CA">
        <w:rPr>
          <w:lang w:val="en-US"/>
        </w:rPr>
        <w:t>N</w:t>
      </w:r>
      <w:r w:rsidR="009847DB" w:rsidRPr="002B45CA">
        <w:rPr>
          <w:vertAlign w:val="subscript"/>
          <w:lang w:val="en-US"/>
        </w:rPr>
        <w:t>2</w:t>
      </w:r>
      <w:r w:rsidR="009847DB" w:rsidRPr="002B45CA">
        <w:rPr>
          <w:lang w:val="en-US"/>
        </w:rPr>
        <w:t xml:space="preserve">O </w:t>
      </w:r>
      <w:r w:rsidR="009847DB">
        <w:rPr>
          <w:lang w:val="en-US"/>
        </w:rPr>
        <w:t xml:space="preserve">and </w:t>
      </w:r>
      <w:r w:rsidR="009847DB" w:rsidRPr="002B45CA">
        <w:rPr>
          <w:lang w:val="en-US"/>
        </w:rPr>
        <w:t>CH</w:t>
      </w:r>
      <w:r w:rsidR="009847DB" w:rsidRPr="002B45CA">
        <w:rPr>
          <w:vertAlign w:val="subscript"/>
          <w:lang w:val="en-US"/>
        </w:rPr>
        <w:t>4</w:t>
      </w:r>
      <w:r w:rsidR="009847DB" w:rsidRPr="002B45CA">
        <w:rPr>
          <w:lang w:val="en-US"/>
        </w:rPr>
        <w:t xml:space="preserve"> fluxes were calculated from the rate of change in concentration of the analyte in the chamber headspace, determined by linear regression based on the four gas samples (Verchot et al. 1999,</w:t>
      </w:r>
      <w:r w:rsidR="009847DB">
        <w:rPr>
          <w:lang w:val="en-US"/>
        </w:rPr>
        <w:t xml:space="preserve"> </w:t>
      </w:r>
      <w:r w:rsidR="009847DB" w:rsidRPr="002B45CA">
        <w:rPr>
          <w:lang w:val="en-US"/>
        </w:rPr>
        <w:t>2000).</w:t>
      </w:r>
      <w:r w:rsidR="009847DB">
        <w:rPr>
          <w:lang w:val="en-US"/>
        </w:rPr>
        <w:t xml:space="preserve"> </w:t>
      </w:r>
      <w:r>
        <w:t>Annual fluxes were computed by annualizing the average of all fluxes instead of cumulating monthly averages given the limited number of spatial replicates.</w:t>
      </w:r>
    </w:p>
    <w:p w14:paraId="59FFB3C7" w14:textId="77777777" w:rsidR="00FD48FD" w:rsidRDefault="00FD48FD" w:rsidP="001B107F">
      <w:pPr>
        <w:spacing w:after="0"/>
      </w:pPr>
    </w:p>
    <w:p w14:paraId="41A0B814" w14:textId="65AC5295" w:rsidR="00FD48FD" w:rsidRDefault="00FD48FD" w:rsidP="001B107F">
      <w:pPr>
        <w:spacing w:after="0"/>
      </w:pPr>
      <w:r>
        <w:t>S2.2 Results</w:t>
      </w:r>
    </w:p>
    <w:p w14:paraId="4DC2A87D" w14:textId="77777777" w:rsidR="00FD48FD" w:rsidRDefault="00FD48FD" w:rsidP="001B107F">
      <w:pPr>
        <w:spacing w:after="0"/>
      </w:pPr>
    </w:p>
    <w:p w14:paraId="3FC6995A" w14:textId="77777777" w:rsidR="00FD48FD" w:rsidRDefault="00FD48FD" w:rsidP="001B107F">
      <w:pPr>
        <w:spacing w:after="0"/>
      </w:pPr>
      <w:r>
        <w:t>Monthly drainage canal fluxes of N</w:t>
      </w:r>
      <w:r w:rsidRPr="009A62CA">
        <w:rPr>
          <w:vertAlign w:val="subscript"/>
        </w:rPr>
        <w:t>2</w:t>
      </w:r>
      <w:r>
        <w:t>O and CH</w:t>
      </w:r>
      <w:r w:rsidRPr="009A62CA">
        <w:rPr>
          <w:vertAlign w:val="subscript"/>
        </w:rPr>
        <w:t>4</w:t>
      </w:r>
      <w:r>
        <w:t xml:space="preserve">, water depth, and precipitation are presented in Figure S3. </w:t>
      </w:r>
      <w:r w:rsidRPr="004E258F">
        <w:t>N</w:t>
      </w:r>
      <w:r w:rsidRPr="004E258F">
        <w:rPr>
          <w:vertAlign w:val="subscript"/>
        </w:rPr>
        <w:t>2</w:t>
      </w:r>
      <w:r w:rsidRPr="004E258F">
        <w:t xml:space="preserve">O fluxes were </w:t>
      </w:r>
      <w:r>
        <w:t>generally less than</w:t>
      </w:r>
      <w:r w:rsidRPr="004E258F">
        <w:t xml:space="preserve"> 20 g N ha</w:t>
      </w:r>
      <w:r w:rsidRPr="004E258F">
        <w:rPr>
          <w:vertAlign w:val="superscript"/>
        </w:rPr>
        <w:t>-1</w:t>
      </w:r>
      <w:r w:rsidRPr="004E258F">
        <w:t xml:space="preserve"> d</w:t>
      </w:r>
      <w:r w:rsidRPr="004E258F">
        <w:rPr>
          <w:vertAlign w:val="superscript"/>
        </w:rPr>
        <w:t>-1</w:t>
      </w:r>
      <w:r w:rsidRPr="004E258F">
        <w:t xml:space="preserve"> </w:t>
      </w:r>
      <w:r>
        <w:t>while CH</w:t>
      </w:r>
      <w:r w:rsidRPr="00CA6399">
        <w:rPr>
          <w:vertAlign w:val="subscript"/>
        </w:rPr>
        <w:t>4</w:t>
      </w:r>
      <w:r>
        <w:t xml:space="preserve"> fluxes were more variable ranging from -5 </w:t>
      </w:r>
      <w:r>
        <w:rPr>
          <w:rFonts w:cstheme="minorHAnsi"/>
        </w:rPr>
        <w:t>±</w:t>
      </w:r>
      <w:r>
        <w:t xml:space="preserve"> 1 to 138 </w:t>
      </w:r>
      <w:r>
        <w:rPr>
          <w:rFonts w:cstheme="minorHAnsi"/>
        </w:rPr>
        <w:t>±</w:t>
      </w:r>
      <w:r>
        <w:t xml:space="preserve"> 28 g C ha</w:t>
      </w:r>
      <w:r w:rsidRPr="00CA6399">
        <w:rPr>
          <w:vertAlign w:val="superscript"/>
        </w:rPr>
        <w:t>-1</w:t>
      </w:r>
      <w:r>
        <w:t xml:space="preserve"> d</w:t>
      </w:r>
      <w:r w:rsidRPr="00CA6399">
        <w:rPr>
          <w:vertAlign w:val="superscript"/>
        </w:rPr>
        <w:t>-1</w:t>
      </w:r>
      <w:r w:rsidRPr="004E258F">
        <w:t>.</w:t>
      </w:r>
      <w:r>
        <w:t xml:space="preserve"> Fluxes of N</w:t>
      </w:r>
      <w:r w:rsidRPr="00CA6399">
        <w:rPr>
          <w:vertAlign w:val="subscript"/>
        </w:rPr>
        <w:t>2</w:t>
      </w:r>
      <w:r>
        <w:t>O and CH</w:t>
      </w:r>
      <w:r w:rsidRPr="00CA6399">
        <w:rPr>
          <w:vertAlign w:val="subscript"/>
        </w:rPr>
        <w:t>4</w:t>
      </w:r>
      <w:r>
        <w:t xml:space="preserve"> tended to increase with increasing canal water depth and monthly precipitation in January – March 2013, but there were no relationships among GHG fluxes, water depth, and precipitation over the measurement period. GHG fluxes were also unrelated to water temperature. Average N</w:t>
      </w:r>
      <w:r w:rsidRPr="009A62CA">
        <w:rPr>
          <w:vertAlign w:val="subscript"/>
        </w:rPr>
        <w:t>2</w:t>
      </w:r>
      <w:r>
        <w:t>O and CH</w:t>
      </w:r>
      <w:r w:rsidRPr="009A62CA">
        <w:rPr>
          <w:vertAlign w:val="subscript"/>
        </w:rPr>
        <w:t>4</w:t>
      </w:r>
      <w:r>
        <w:t xml:space="preserve"> fluxes over the observation period were, respectively, 2.3 </w:t>
      </w:r>
      <w:r>
        <w:rPr>
          <w:rFonts w:cstheme="minorHAnsi"/>
        </w:rPr>
        <w:t xml:space="preserve">± 2.2 </w:t>
      </w:r>
      <w:r>
        <w:t>g N ha</w:t>
      </w:r>
      <w:r w:rsidRPr="003C7C43">
        <w:rPr>
          <w:vertAlign w:val="superscript"/>
        </w:rPr>
        <w:t>-1</w:t>
      </w:r>
      <w:r>
        <w:t xml:space="preserve"> d</w:t>
      </w:r>
      <w:r w:rsidRPr="003C7C43">
        <w:rPr>
          <w:vertAlign w:val="superscript"/>
        </w:rPr>
        <w:t>-1</w:t>
      </w:r>
      <w:r>
        <w:t xml:space="preserve"> and 33.6 </w:t>
      </w:r>
      <w:r>
        <w:rPr>
          <w:rFonts w:cstheme="minorHAnsi"/>
        </w:rPr>
        <w:t>± 14.7 g C ha</w:t>
      </w:r>
      <w:r w:rsidRPr="003C7C43">
        <w:rPr>
          <w:rFonts w:cstheme="minorHAnsi"/>
          <w:vertAlign w:val="superscript"/>
        </w:rPr>
        <w:t>-1</w:t>
      </w:r>
      <w:r>
        <w:rPr>
          <w:rFonts w:cstheme="minorHAnsi"/>
        </w:rPr>
        <w:t xml:space="preserve"> d</w:t>
      </w:r>
      <w:r>
        <w:rPr>
          <w:rFonts w:cstheme="minorHAnsi"/>
          <w:vertAlign w:val="superscript"/>
        </w:rPr>
        <w:t>­</w:t>
      </w:r>
      <w:r w:rsidRPr="003C7C43">
        <w:rPr>
          <w:rFonts w:cstheme="minorHAnsi"/>
          <w:vertAlign w:val="superscript"/>
        </w:rPr>
        <w:t>1</w:t>
      </w:r>
      <w:r w:rsidRPr="00124FFE">
        <w:rPr>
          <w:rFonts w:cstheme="minorHAnsi"/>
        </w:rPr>
        <w:t xml:space="preserve"> </w:t>
      </w:r>
      <w:r>
        <w:rPr>
          <w:rFonts w:cstheme="minorHAnsi"/>
        </w:rPr>
        <w:t xml:space="preserve">i.e. </w:t>
      </w:r>
      <w:r w:rsidRPr="00124FFE">
        <w:rPr>
          <w:rFonts w:cstheme="minorHAnsi"/>
        </w:rPr>
        <w:t xml:space="preserve">0.8 </w:t>
      </w:r>
      <w:r>
        <w:rPr>
          <w:rFonts w:cstheme="minorHAnsi"/>
        </w:rPr>
        <w:t xml:space="preserve">± </w:t>
      </w:r>
      <w:r w:rsidRPr="00124FFE">
        <w:rPr>
          <w:rFonts w:cstheme="minorHAnsi"/>
        </w:rPr>
        <w:t xml:space="preserve">0.8 </w:t>
      </w:r>
      <w:r>
        <w:rPr>
          <w:rFonts w:cstheme="minorHAnsi"/>
        </w:rPr>
        <w:t>k</w:t>
      </w:r>
      <w:r>
        <w:t>g N ha</w:t>
      </w:r>
      <w:r w:rsidRPr="003C7C43">
        <w:rPr>
          <w:vertAlign w:val="superscript"/>
        </w:rPr>
        <w:t>-1</w:t>
      </w:r>
      <w:r>
        <w:t xml:space="preserve"> y</w:t>
      </w:r>
      <w:r w:rsidRPr="003C7C43">
        <w:rPr>
          <w:vertAlign w:val="superscript"/>
        </w:rPr>
        <w:t>-1</w:t>
      </w:r>
      <w:r>
        <w:t xml:space="preserve"> </w:t>
      </w:r>
      <w:r w:rsidRPr="00124FFE">
        <w:rPr>
          <w:rFonts w:cstheme="minorHAnsi"/>
        </w:rPr>
        <w:t xml:space="preserve">and 12.3 </w:t>
      </w:r>
      <w:r>
        <w:rPr>
          <w:rFonts w:cstheme="minorHAnsi"/>
        </w:rPr>
        <w:t xml:space="preserve">± </w:t>
      </w:r>
      <w:r w:rsidRPr="00124FFE">
        <w:rPr>
          <w:rFonts w:cstheme="minorHAnsi"/>
        </w:rPr>
        <w:t>5.4</w:t>
      </w:r>
      <w:r>
        <w:rPr>
          <w:rFonts w:cstheme="minorHAnsi"/>
        </w:rPr>
        <w:t xml:space="preserve"> k</w:t>
      </w:r>
      <w:r>
        <w:t>g C ha</w:t>
      </w:r>
      <w:r w:rsidRPr="003C7C43">
        <w:rPr>
          <w:vertAlign w:val="superscript"/>
        </w:rPr>
        <w:t>-1</w:t>
      </w:r>
      <w:r>
        <w:t xml:space="preserve"> y</w:t>
      </w:r>
      <w:r w:rsidRPr="003C7C43">
        <w:rPr>
          <w:vertAlign w:val="superscript"/>
        </w:rPr>
        <w:t>-1</w:t>
      </w:r>
      <w:r>
        <w:rPr>
          <w:rFonts w:cstheme="minorHAnsi"/>
        </w:rPr>
        <w:t>.</w:t>
      </w:r>
    </w:p>
    <w:p w14:paraId="40F5F8A6" w14:textId="77777777" w:rsidR="00FD48FD" w:rsidRDefault="00FD48FD" w:rsidP="001B107F">
      <w:pPr>
        <w:spacing w:after="0"/>
      </w:pPr>
    </w:p>
    <w:p w14:paraId="3750C1CF" w14:textId="77777777" w:rsidR="00FD48FD" w:rsidRDefault="00FD48FD" w:rsidP="001B107F">
      <w:pPr>
        <w:spacing w:after="0"/>
      </w:pPr>
      <w:r>
        <w:rPr>
          <w:noProof/>
          <w:lang w:val="en-US"/>
        </w:rPr>
        <w:drawing>
          <wp:inline distT="0" distB="0" distL="0" distR="0" wp14:anchorId="0A13B0C3" wp14:editId="4143185A">
            <wp:extent cx="3139818" cy="1485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68209" cy="1499336"/>
                    </a:xfrm>
                    <a:prstGeom prst="rect">
                      <a:avLst/>
                    </a:prstGeom>
                    <a:noFill/>
                  </pic:spPr>
                </pic:pic>
              </a:graphicData>
            </a:graphic>
          </wp:inline>
        </w:drawing>
      </w:r>
    </w:p>
    <w:p w14:paraId="0C14975B" w14:textId="496C7C7E" w:rsidR="00FD48FD" w:rsidRPr="002D45BE" w:rsidRDefault="00FD48FD" w:rsidP="002D45BE">
      <w:pPr>
        <w:spacing w:after="0" w:line="240" w:lineRule="auto"/>
        <w:rPr>
          <w:b/>
        </w:rPr>
      </w:pPr>
      <w:r w:rsidRPr="002536F9">
        <w:rPr>
          <w:b/>
          <w:bCs/>
        </w:rPr>
        <w:t>Figure S</w:t>
      </w:r>
      <w:r>
        <w:rPr>
          <w:b/>
          <w:bCs/>
        </w:rPr>
        <w:t>2</w:t>
      </w:r>
      <w:r w:rsidRPr="002536F9">
        <w:rPr>
          <w:b/>
          <w:bCs/>
        </w:rPr>
        <w:t>.</w:t>
      </w:r>
      <w:r>
        <w:t xml:space="preserve"> Monthly fluxes of N</w:t>
      </w:r>
      <w:r w:rsidRPr="009A62CA">
        <w:rPr>
          <w:vertAlign w:val="subscript"/>
        </w:rPr>
        <w:t>2</w:t>
      </w:r>
      <w:r>
        <w:t>O (green circles) and CH</w:t>
      </w:r>
      <w:r w:rsidRPr="009A62CA">
        <w:rPr>
          <w:vertAlign w:val="subscript"/>
        </w:rPr>
        <w:t>4</w:t>
      </w:r>
      <w:r>
        <w:t xml:space="preserve"> (pink triangles) from the main drainage canal in the oil palm plantation </w:t>
      </w:r>
      <w:r w:rsidR="00501271">
        <w:t xml:space="preserve">site </w:t>
      </w:r>
      <w:r>
        <w:t xml:space="preserve">(OP) (left axis). The water depth in the main canal (dashed line) and monthly rainfall (bars) are shown on the right axis. </w:t>
      </w:r>
      <w:r w:rsidRPr="006053FC">
        <w:t xml:space="preserve">The arrows indicate the </w:t>
      </w:r>
      <w:r>
        <w:t xml:space="preserve">two </w:t>
      </w:r>
      <w:r w:rsidRPr="006053FC">
        <w:t>fertilization events in the OP.</w:t>
      </w:r>
      <w:r w:rsidR="002D45BE">
        <w:t xml:space="preserve"> </w:t>
      </w:r>
      <w:r w:rsidR="002D45BE" w:rsidRPr="008B435E">
        <w:rPr>
          <w:bCs/>
        </w:rPr>
        <w:t xml:space="preserve">Error bars represent the standard errors of the monthly </w:t>
      </w:r>
      <w:r w:rsidR="002D45BE">
        <w:rPr>
          <w:bCs/>
        </w:rPr>
        <w:t xml:space="preserve">mean </w:t>
      </w:r>
      <w:r w:rsidR="002D45BE">
        <w:t>(n = 2).</w:t>
      </w:r>
      <w:r>
        <w:t xml:space="preserve"> </w:t>
      </w:r>
    </w:p>
    <w:p w14:paraId="3202D15E" w14:textId="3A895C56" w:rsidR="00FD48FD" w:rsidRDefault="00FD48FD" w:rsidP="001B107F">
      <w:pPr>
        <w:spacing w:after="0"/>
      </w:pPr>
    </w:p>
    <w:p w14:paraId="60EB51ED" w14:textId="77777777" w:rsidR="00FD48FD" w:rsidRDefault="00FD48FD" w:rsidP="001B107F">
      <w:pPr>
        <w:spacing w:after="0" w:line="240" w:lineRule="auto"/>
        <w:rPr>
          <w:b/>
        </w:rPr>
      </w:pPr>
      <w:r>
        <w:rPr>
          <w:b/>
        </w:rPr>
        <w:t xml:space="preserve">S3. </w:t>
      </w:r>
      <w:r w:rsidRPr="00597225">
        <w:rPr>
          <w:b/>
        </w:rPr>
        <w:t>Litterfall</w:t>
      </w:r>
    </w:p>
    <w:p w14:paraId="3EB2D6C7" w14:textId="77777777" w:rsidR="00FD48FD" w:rsidRDefault="00FD48FD" w:rsidP="001B107F">
      <w:pPr>
        <w:spacing w:after="0" w:line="240" w:lineRule="auto"/>
        <w:rPr>
          <w:b/>
        </w:rPr>
      </w:pPr>
    </w:p>
    <w:p w14:paraId="6DE6566C" w14:textId="77777777" w:rsidR="00FD48FD" w:rsidRPr="00554D37" w:rsidRDefault="00FD48FD" w:rsidP="001B107F">
      <w:pPr>
        <w:spacing w:after="0" w:line="240" w:lineRule="auto"/>
        <w:rPr>
          <w:bCs/>
        </w:rPr>
      </w:pPr>
      <w:r>
        <w:rPr>
          <w:bCs/>
        </w:rPr>
        <w:t>S3</w:t>
      </w:r>
      <w:r w:rsidRPr="00554D37">
        <w:rPr>
          <w:bCs/>
        </w:rPr>
        <w:t>.1. Materials and methods</w:t>
      </w:r>
    </w:p>
    <w:p w14:paraId="388E6E09" w14:textId="189EB6FA" w:rsidR="00FD48FD" w:rsidRDefault="00FD48FD" w:rsidP="001B107F">
      <w:pPr>
        <w:spacing w:after="0" w:line="240" w:lineRule="auto"/>
      </w:pPr>
      <w:r w:rsidRPr="00903081">
        <w:t xml:space="preserve">Monthly litterfall in the PF and DF </w:t>
      </w:r>
      <w:r>
        <w:t>was measured from</w:t>
      </w:r>
      <w:r w:rsidRPr="00903081">
        <w:t xml:space="preserve"> April 2012 </w:t>
      </w:r>
      <w:r>
        <w:t xml:space="preserve">to </w:t>
      </w:r>
      <w:r w:rsidRPr="00903081">
        <w:t>March 2013</w:t>
      </w:r>
      <w:r>
        <w:t xml:space="preserve"> </w:t>
      </w:r>
      <w:r>
        <w:rPr>
          <w:noProof/>
        </w:rPr>
        <w:t>(Comeau</w:t>
      </w:r>
      <w:r w:rsidRPr="00903081">
        <w:rPr>
          <w:i/>
          <w:noProof/>
        </w:rPr>
        <w:t xml:space="preserve"> </w:t>
      </w:r>
      <w:r w:rsidRPr="00544BAA">
        <w:rPr>
          <w:iCs/>
          <w:noProof/>
        </w:rPr>
        <w:t>et al.</w:t>
      </w:r>
      <w:r>
        <w:rPr>
          <w:noProof/>
        </w:rPr>
        <w:t xml:space="preserve"> 2016)</w:t>
      </w:r>
      <w:r w:rsidRPr="00903081">
        <w:t>. The litter was collected in twenty litterfall traps (0.5 m</w:t>
      </w:r>
      <w:r w:rsidRPr="00903081">
        <w:rPr>
          <w:vertAlign w:val="superscript"/>
        </w:rPr>
        <w:t>2</w:t>
      </w:r>
      <w:r w:rsidRPr="00903081">
        <w:t xml:space="preserve">) randomly placed in both forests. After collection, the litter was oven-dried at 70°C for 48 hours, sorted into its major components (branches and leaves) and weighed. </w:t>
      </w:r>
      <w:r>
        <w:t xml:space="preserve">The N concentration of dried samples was analysed using the </w:t>
      </w:r>
      <w:proofErr w:type="spellStart"/>
      <w:r>
        <w:t>Kjeldahl</w:t>
      </w:r>
      <w:proofErr w:type="spellEnd"/>
      <w:r>
        <w:t xml:space="preserve"> method </w:t>
      </w:r>
      <w:r>
        <w:rPr>
          <w:noProof/>
        </w:rPr>
        <w:t>(Hesse 1971)</w:t>
      </w:r>
      <w:r w:rsidRPr="00DD6075">
        <w:t xml:space="preserve"> </w:t>
      </w:r>
      <w:r>
        <w:t>from 3 replicates per litter component and site. Annual litterfall rates (in dry matter and N units) were computed by summing monthly litterfall over the 12-month monitoring period.</w:t>
      </w:r>
    </w:p>
    <w:p w14:paraId="4B203266" w14:textId="77777777" w:rsidR="00FD48FD" w:rsidRDefault="00FD48FD" w:rsidP="001B107F">
      <w:pPr>
        <w:spacing w:after="0" w:line="240" w:lineRule="auto"/>
      </w:pPr>
    </w:p>
    <w:p w14:paraId="2D3A58CF" w14:textId="77777777" w:rsidR="00FD48FD" w:rsidRDefault="00FD48FD" w:rsidP="001B107F">
      <w:pPr>
        <w:spacing w:after="0" w:line="240" w:lineRule="auto"/>
      </w:pPr>
      <w:r>
        <w:t>S3.2. Results</w:t>
      </w:r>
    </w:p>
    <w:p w14:paraId="326DCA4D" w14:textId="7CA8BED1" w:rsidR="00FD48FD" w:rsidRDefault="00FD48FD" w:rsidP="001B107F">
      <w:pPr>
        <w:spacing w:after="0" w:line="240" w:lineRule="auto"/>
      </w:pPr>
      <w:r>
        <w:t>The N content in litterfall was homogeneous among litter components and forest sites (Table S</w:t>
      </w:r>
      <w:r w:rsidR="00624838">
        <w:t>3</w:t>
      </w:r>
      <w:r>
        <w:t xml:space="preserve">) and amounted to </w:t>
      </w:r>
      <w:bookmarkStart w:id="1" w:name="_Hlk89251863"/>
      <w:r>
        <w:t xml:space="preserve">1.0 </w:t>
      </w:r>
      <w:r>
        <w:rPr>
          <w:rFonts w:cstheme="minorHAnsi"/>
        </w:rPr>
        <w:t>±</w:t>
      </w:r>
      <w:r>
        <w:t xml:space="preserve"> 0.1% </w:t>
      </w:r>
      <w:bookmarkEnd w:id="1"/>
      <w:r>
        <w:t xml:space="preserve">on average. Monthly litterfall rates varied with no distinct seasonal pattern and were high in the dry month of </w:t>
      </w:r>
      <w:r w:rsidR="008E03DF">
        <w:t xml:space="preserve">August </w:t>
      </w:r>
      <w:r>
        <w:t>2012 for both forests (Figure S</w:t>
      </w:r>
      <w:r w:rsidR="00624838">
        <w:t>3</w:t>
      </w:r>
      <w:r>
        <w:t>).</w:t>
      </w:r>
    </w:p>
    <w:p w14:paraId="38F6C24A" w14:textId="77777777" w:rsidR="00FD48FD" w:rsidRDefault="00FD48FD" w:rsidP="001B107F">
      <w:pPr>
        <w:spacing w:after="0" w:line="240" w:lineRule="auto"/>
      </w:pPr>
    </w:p>
    <w:p w14:paraId="6D88744F" w14:textId="634007B6" w:rsidR="00FD48FD" w:rsidRDefault="00FD48FD" w:rsidP="001B107F">
      <w:pPr>
        <w:spacing w:after="0" w:line="240" w:lineRule="auto"/>
        <w:rPr>
          <w:rFonts w:eastAsiaTheme="minorEastAsia"/>
        </w:rPr>
      </w:pPr>
      <w:r>
        <w:rPr>
          <w:b/>
        </w:rPr>
        <w:t xml:space="preserve">Table S3. </w:t>
      </w:r>
      <w:r w:rsidRPr="00B82087">
        <w:rPr>
          <w:bCs/>
        </w:rPr>
        <w:t>M</w:t>
      </w:r>
      <w:r>
        <w:rPr>
          <w:bCs/>
        </w:rPr>
        <w:t xml:space="preserve">ean and </w:t>
      </w:r>
      <w:r w:rsidR="00D91034">
        <w:rPr>
          <w:rFonts w:eastAsiaTheme="minorEastAsia"/>
          <w:color w:val="000000" w:themeColor="text1"/>
        </w:rPr>
        <w:t>standard error</w:t>
      </w:r>
      <w:r w:rsidRPr="7F2E8F11">
        <w:rPr>
          <w:rFonts w:eastAsiaTheme="minorEastAsia"/>
          <w:color w:val="000000" w:themeColor="text1"/>
        </w:rPr>
        <w:t xml:space="preserve"> C.I.</w:t>
      </w:r>
      <w:r w:rsidRPr="7F2E8F11">
        <w:rPr>
          <w:rFonts w:eastAsiaTheme="minorEastAsia"/>
        </w:rPr>
        <w:t xml:space="preserve"> </w:t>
      </w:r>
      <w:r>
        <w:rPr>
          <w:rFonts w:eastAsiaTheme="minorEastAsia"/>
        </w:rPr>
        <w:t xml:space="preserve">(n = 3) </w:t>
      </w:r>
      <w:r w:rsidRPr="7F2E8F11">
        <w:rPr>
          <w:rFonts w:eastAsiaTheme="minorEastAsia"/>
        </w:rPr>
        <w:t>of</w:t>
      </w:r>
      <w:r>
        <w:rPr>
          <w:bCs/>
        </w:rPr>
        <w:t xml:space="preserve"> N concentration in main litterfall components</w:t>
      </w:r>
      <w:r w:rsidRPr="00453F85">
        <w:rPr>
          <w:rFonts w:eastAsiaTheme="minorEastAsia"/>
        </w:rPr>
        <w:t xml:space="preserve"> </w:t>
      </w:r>
      <w:r w:rsidRPr="7F2E8F11">
        <w:rPr>
          <w:rFonts w:eastAsiaTheme="minorEastAsia"/>
        </w:rPr>
        <w:t>for the primary forest (PF)</w:t>
      </w:r>
      <w:r>
        <w:rPr>
          <w:rFonts w:eastAsiaTheme="minorEastAsia"/>
        </w:rPr>
        <w:t xml:space="preserve"> and</w:t>
      </w:r>
      <w:r w:rsidRPr="7F2E8F11">
        <w:rPr>
          <w:rFonts w:eastAsiaTheme="minorEastAsia"/>
        </w:rPr>
        <w:t xml:space="preserve"> </w:t>
      </w:r>
      <w:r>
        <w:rPr>
          <w:rFonts w:eastAsiaTheme="minorEastAsia"/>
        </w:rPr>
        <w:t>degraded</w:t>
      </w:r>
      <w:r w:rsidRPr="7F2E8F11">
        <w:rPr>
          <w:rFonts w:eastAsiaTheme="minorEastAsia"/>
        </w:rPr>
        <w:t xml:space="preserve"> forest (DF)</w:t>
      </w:r>
      <w:r>
        <w:rPr>
          <w:rFonts w:eastAsiaTheme="minorEastAsia"/>
        </w:rPr>
        <w:t>.</w:t>
      </w:r>
    </w:p>
    <w:p w14:paraId="26E2FC54" w14:textId="77777777" w:rsidR="00FD48FD" w:rsidRDefault="00FD48FD" w:rsidP="001B107F">
      <w:pPr>
        <w:spacing w:after="0" w:line="240" w:lineRule="auto"/>
      </w:pPr>
    </w:p>
    <w:tbl>
      <w:tblPr>
        <w:tblW w:w="3697" w:type="dxa"/>
        <w:tblLook w:val="04A0" w:firstRow="1" w:lastRow="0" w:firstColumn="1" w:lastColumn="0" w:noHBand="0" w:noVBand="1"/>
      </w:tblPr>
      <w:tblGrid>
        <w:gridCol w:w="562"/>
        <w:gridCol w:w="1434"/>
        <w:gridCol w:w="1701"/>
      </w:tblGrid>
      <w:tr w:rsidR="00FD48FD" w:rsidRPr="001345FE" w14:paraId="2F847272" w14:textId="77777777" w:rsidTr="005D220A">
        <w:trPr>
          <w:trHeight w:val="290"/>
        </w:trPr>
        <w:tc>
          <w:tcPr>
            <w:tcW w:w="562" w:type="dxa"/>
            <w:tcBorders>
              <w:top w:val="single" w:sz="4" w:space="0" w:color="auto"/>
              <w:left w:val="nil"/>
              <w:bottom w:val="single" w:sz="4" w:space="0" w:color="auto"/>
              <w:right w:val="nil"/>
            </w:tcBorders>
            <w:shd w:val="clear" w:color="auto" w:fill="auto"/>
            <w:noWrap/>
            <w:vAlign w:val="bottom"/>
            <w:hideMark/>
          </w:tcPr>
          <w:p w14:paraId="6CF6DF48" w14:textId="77777777" w:rsidR="00FD48FD" w:rsidRPr="00453F85" w:rsidRDefault="00FD48FD" w:rsidP="001B107F">
            <w:pPr>
              <w:spacing w:after="0" w:line="240" w:lineRule="auto"/>
              <w:rPr>
                <w:rFonts w:ascii="Calibri" w:eastAsia="Times New Roman" w:hAnsi="Calibri" w:cs="Calibri"/>
                <w:b/>
                <w:bCs/>
                <w:color w:val="000000"/>
                <w:lang w:eastAsia="en-GB"/>
              </w:rPr>
            </w:pPr>
            <w:r w:rsidRPr="00453F85">
              <w:rPr>
                <w:rFonts w:ascii="Calibri" w:eastAsia="Times New Roman" w:hAnsi="Calibri" w:cs="Calibri"/>
                <w:b/>
                <w:bCs/>
                <w:color w:val="000000"/>
                <w:lang w:eastAsia="en-GB"/>
              </w:rPr>
              <w:t>Site</w:t>
            </w:r>
          </w:p>
        </w:tc>
        <w:tc>
          <w:tcPr>
            <w:tcW w:w="1434" w:type="dxa"/>
            <w:tcBorders>
              <w:top w:val="single" w:sz="4" w:space="0" w:color="auto"/>
              <w:left w:val="nil"/>
              <w:bottom w:val="single" w:sz="4" w:space="0" w:color="auto"/>
              <w:right w:val="nil"/>
            </w:tcBorders>
            <w:shd w:val="clear" w:color="auto" w:fill="auto"/>
            <w:noWrap/>
            <w:vAlign w:val="bottom"/>
            <w:hideMark/>
          </w:tcPr>
          <w:p w14:paraId="55E0B2E8" w14:textId="77777777" w:rsidR="00FD48FD" w:rsidRPr="00453F85" w:rsidRDefault="00FD48FD" w:rsidP="001B107F">
            <w:pPr>
              <w:spacing w:after="0" w:line="240" w:lineRule="auto"/>
              <w:rPr>
                <w:rFonts w:ascii="Calibri" w:eastAsia="Times New Roman" w:hAnsi="Calibri" w:cs="Calibri"/>
                <w:b/>
                <w:bCs/>
                <w:color w:val="000000"/>
                <w:lang w:eastAsia="en-GB"/>
              </w:rPr>
            </w:pPr>
            <w:r w:rsidRPr="00453F85">
              <w:rPr>
                <w:rFonts w:ascii="Calibri" w:eastAsia="Times New Roman" w:hAnsi="Calibri" w:cs="Calibri"/>
                <w:b/>
                <w:bCs/>
                <w:color w:val="000000"/>
                <w:lang w:eastAsia="en-GB"/>
              </w:rPr>
              <w:t>Leaves N (%)</w:t>
            </w:r>
          </w:p>
        </w:tc>
        <w:tc>
          <w:tcPr>
            <w:tcW w:w="1701" w:type="dxa"/>
            <w:tcBorders>
              <w:top w:val="single" w:sz="4" w:space="0" w:color="auto"/>
              <w:left w:val="nil"/>
              <w:bottom w:val="single" w:sz="4" w:space="0" w:color="auto"/>
              <w:right w:val="nil"/>
            </w:tcBorders>
            <w:shd w:val="clear" w:color="auto" w:fill="auto"/>
            <w:noWrap/>
            <w:vAlign w:val="bottom"/>
            <w:hideMark/>
          </w:tcPr>
          <w:p w14:paraId="283C61E6" w14:textId="77777777" w:rsidR="00FD48FD" w:rsidRPr="00453F85" w:rsidRDefault="00FD48FD" w:rsidP="001B107F">
            <w:pPr>
              <w:spacing w:after="0" w:line="240" w:lineRule="auto"/>
              <w:rPr>
                <w:rFonts w:ascii="Calibri" w:eastAsia="Times New Roman" w:hAnsi="Calibri" w:cs="Calibri"/>
                <w:b/>
                <w:bCs/>
                <w:color w:val="000000"/>
                <w:lang w:eastAsia="en-GB"/>
              </w:rPr>
            </w:pPr>
            <w:r w:rsidRPr="00453F85">
              <w:rPr>
                <w:rFonts w:ascii="Calibri" w:eastAsia="Times New Roman" w:hAnsi="Calibri" w:cs="Calibri"/>
                <w:b/>
                <w:bCs/>
                <w:color w:val="000000"/>
                <w:lang w:eastAsia="en-GB"/>
              </w:rPr>
              <w:t>Branches N (%)</w:t>
            </w:r>
          </w:p>
        </w:tc>
      </w:tr>
      <w:tr w:rsidR="00FD48FD" w:rsidRPr="001345FE" w14:paraId="0F9D6586" w14:textId="77777777" w:rsidTr="005D220A">
        <w:trPr>
          <w:trHeight w:val="290"/>
        </w:trPr>
        <w:tc>
          <w:tcPr>
            <w:tcW w:w="562" w:type="dxa"/>
            <w:tcBorders>
              <w:top w:val="single" w:sz="4" w:space="0" w:color="auto"/>
              <w:left w:val="nil"/>
              <w:bottom w:val="nil"/>
              <w:right w:val="nil"/>
            </w:tcBorders>
            <w:shd w:val="clear" w:color="auto" w:fill="auto"/>
            <w:noWrap/>
            <w:vAlign w:val="bottom"/>
            <w:hideMark/>
          </w:tcPr>
          <w:p w14:paraId="07275A9B" w14:textId="77777777" w:rsidR="00FD48FD" w:rsidRPr="001345FE" w:rsidRDefault="00FD48FD" w:rsidP="001B107F">
            <w:pPr>
              <w:spacing w:after="0" w:line="240" w:lineRule="auto"/>
              <w:rPr>
                <w:rFonts w:ascii="Calibri" w:eastAsia="Times New Roman" w:hAnsi="Calibri" w:cs="Calibri"/>
                <w:color w:val="000000"/>
                <w:lang w:eastAsia="en-GB"/>
              </w:rPr>
            </w:pPr>
            <w:r w:rsidRPr="001345FE">
              <w:rPr>
                <w:rFonts w:ascii="Calibri" w:eastAsia="Times New Roman" w:hAnsi="Calibri" w:cs="Calibri"/>
                <w:color w:val="000000"/>
                <w:lang w:eastAsia="en-GB"/>
              </w:rPr>
              <w:t>PF</w:t>
            </w:r>
          </w:p>
        </w:tc>
        <w:tc>
          <w:tcPr>
            <w:tcW w:w="1434" w:type="dxa"/>
            <w:tcBorders>
              <w:top w:val="single" w:sz="4" w:space="0" w:color="auto"/>
              <w:left w:val="nil"/>
              <w:bottom w:val="nil"/>
              <w:right w:val="nil"/>
            </w:tcBorders>
            <w:shd w:val="clear" w:color="auto" w:fill="auto"/>
            <w:noWrap/>
            <w:vAlign w:val="bottom"/>
            <w:hideMark/>
          </w:tcPr>
          <w:p w14:paraId="0BCBA1F6" w14:textId="57F5A4E0" w:rsidR="00FD48FD" w:rsidRPr="001345FE" w:rsidRDefault="00FD48FD" w:rsidP="001B107F">
            <w:pPr>
              <w:spacing w:after="0" w:line="240" w:lineRule="auto"/>
              <w:rPr>
                <w:rFonts w:ascii="Calibri" w:eastAsia="Times New Roman" w:hAnsi="Calibri" w:cs="Calibri"/>
                <w:color w:val="000000"/>
                <w:lang w:eastAsia="en-GB"/>
              </w:rPr>
            </w:pPr>
            <w:r w:rsidRPr="001345FE">
              <w:rPr>
                <w:rFonts w:ascii="Calibri" w:eastAsia="Times New Roman" w:hAnsi="Calibri" w:cs="Calibri"/>
                <w:color w:val="000000"/>
                <w:lang w:eastAsia="en-GB"/>
              </w:rPr>
              <w:t xml:space="preserve">1.1 </w:t>
            </w:r>
            <w:r w:rsidRPr="00AA681B">
              <w:rPr>
                <w:rFonts w:ascii="Calibri" w:eastAsia="Calibri" w:hAnsi="Calibri" w:cs="Calibri"/>
              </w:rPr>
              <w:t>±</w:t>
            </w:r>
            <w:r>
              <w:rPr>
                <w:rFonts w:ascii="Calibri" w:eastAsia="Times New Roman" w:hAnsi="Calibri" w:cs="Calibri"/>
                <w:color w:val="000000"/>
                <w:lang w:eastAsia="en-GB"/>
              </w:rPr>
              <w:t xml:space="preserve"> </w:t>
            </w:r>
            <w:r w:rsidRPr="001345FE">
              <w:rPr>
                <w:rFonts w:ascii="Calibri" w:eastAsia="Times New Roman" w:hAnsi="Calibri" w:cs="Calibri"/>
                <w:color w:val="000000"/>
                <w:lang w:eastAsia="en-GB"/>
              </w:rPr>
              <w:t>0.</w:t>
            </w:r>
            <w:r w:rsidR="00D91034">
              <w:rPr>
                <w:rFonts w:ascii="Calibri" w:eastAsia="Times New Roman" w:hAnsi="Calibri" w:cs="Calibri"/>
                <w:color w:val="000000"/>
                <w:lang w:eastAsia="en-GB"/>
              </w:rPr>
              <w:t>1</w:t>
            </w:r>
          </w:p>
        </w:tc>
        <w:tc>
          <w:tcPr>
            <w:tcW w:w="1701" w:type="dxa"/>
            <w:tcBorders>
              <w:top w:val="single" w:sz="4" w:space="0" w:color="auto"/>
              <w:left w:val="nil"/>
              <w:bottom w:val="nil"/>
              <w:right w:val="nil"/>
            </w:tcBorders>
            <w:shd w:val="clear" w:color="auto" w:fill="auto"/>
            <w:noWrap/>
            <w:vAlign w:val="bottom"/>
            <w:hideMark/>
          </w:tcPr>
          <w:p w14:paraId="1E110FF1" w14:textId="2C7A7E6A" w:rsidR="00FD48FD" w:rsidRPr="001345FE" w:rsidRDefault="00FD48FD" w:rsidP="001B107F">
            <w:pPr>
              <w:spacing w:after="0" w:line="240" w:lineRule="auto"/>
              <w:rPr>
                <w:rFonts w:ascii="Calibri" w:eastAsia="Times New Roman" w:hAnsi="Calibri" w:cs="Calibri"/>
                <w:color w:val="000000"/>
                <w:lang w:eastAsia="en-GB"/>
              </w:rPr>
            </w:pPr>
            <w:r w:rsidRPr="001345FE">
              <w:rPr>
                <w:rFonts w:ascii="Calibri" w:eastAsia="Times New Roman" w:hAnsi="Calibri" w:cs="Calibri"/>
                <w:color w:val="000000"/>
                <w:lang w:eastAsia="en-GB"/>
              </w:rPr>
              <w:t xml:space="preserve">0.9 </w:t>
            </w:r>
            <w:r w:rsidRPr="00AA681B">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1345FE">
              <w:rPr>
                <w:rFonts w:ascii="Calibri" w:eastAsia="Times New Roman" w:hAnsi="Calibri" w:cs="Calibri"/>
                <w:color w:val="000000"/>
                <w:lang w:eastAsia="en-GB"/>
              </w:rPr>
              <w:t>0.</w:t>
            </w:r>
            <w:r w:rsidR="00D91034">
              <w:rPr>
                <w:rFonts w:ascii="Calibri" w:eastAsia="Times New Roman" w:hAnsi="Calibri" w:cs="Calibri"/>
                <w:color w:val="000000"/>
                <w:lang w:eastAsia="en-GB"/>
              </w:rPr>
              <w:t>1</w:t>
            </w:r>
          </w:p>
        </w:tc>
      </w:tr>
      <w:tr w:rsidR="00FD48FD" w:rsidRPr="001345FE" w14:paraId="654FB75A" w14:textId="77777777" w:rsidTr="005D220A">
        <w:trPr>
          <w:trHeight w:val="290"/>
        </w:trPr>
        <w:tc>
          <w:tcPr>
            <w:tcW w:w="562" w:type="dxa"/>
            <w:tcBorders>
              <w:top w:val="nil"/>
              <w:left w:val="nil"/>
              <w:bottom w:val="single" w:sz="4" w:space="0" w:color="auto"/>
              <w:right w:val="nil"/>
            </w:tcBorders>
            <w:shd w:val="clear" w:color="auto" w:fill="auto"/>
            <w:noWrap/>
            <w:vAlign w:val="bottom"/>
            <w:hideMark/>
          </w:tcPr>
          <w:p w14:paraId="244C7868" w14:textId="77777777" w:rsidR="00FD48FD" w:rsidRPr="001345FE" w:rsidRDefault="00FD48FD" w:rsidP="001B107F">
            <w:pPr>
              <w:spacing w:after="0" w:line="240" w:lineRule="auto"/>
              <w:rPr>
                <w:rFonts w:ascii="Calibri" w:eastAsia="Times New Roman" w:hAnsi="Calibri" w:cs="Calibri"/>
                <w:color w:val="000000"/>
                <w:lang w:eastAsia="en-GB"/>
              </w:rPr>
            </w:pPr>
            <w:r w:rsidRPr="001345FE">
              <w:rPr>
                <w:rFonts w:ascii="Calibri" w:eastAsia="Times New Roman" w:hAnsi="Calibri" w:cs="Calibri"/>
                <w:color w:val="000000"/>
                <w:lang w:eastAsia="en-GB"/>
              </w:rPr>
              <w:t>DF</w:t>
            </w:r>
          </w:p>
        </w:tc>
        <w:tc>
          <w:tcPr>
            <w:tcW w:w="1434" w:type="dxa"/>
            <w:tcBorders>
              <w:top w:val="nil"/>
              <w:left w:val="nil"/>
              <w:bottom w:val="single" w:sz="4" w:space="0" w:color="auto"/>
              <w:right w:val="nil"/>
            </w:tcBorders>
            <w:shd w:val="clear" w:color="auto" w:fill="auto"/>
            <w:noWrap/>
            <w:vAlign w:val="bottom"/>
            <w:hideMark/>
          </w:tcPr>
          <w:p w14:paraId="24B40680" w14:textId="2D2F2806" w:rsidR="00FD48FD" w:rsidRPr="001345FE" w:rsidRDefault="00FD48FD" w:rsidP="001B107F">
            <w:pPr>
              <w:spacing w:after="0" w:line="240" w:lineRule="auto"/>
              <w:rPr>
                <w:rFonts w:ascii="Calibri" w:eastAsia="Times New Roman" w:hAnsi="Calibri" w:cs="Calibri"/>
                <w:color w:val="000000"/>
                <w:lang w:eastAsia="en-GB"/>
              </w:rPr>
            </w:pPr>
            <w:r w:rsidRPr="001345FE">
              <w:rPr>
                <w:rFonts w:ascii="Calibri" w:eastAsia="Times New Roman" w:hAnsi="Calibri" w:cs="Calibri"/>
                <w:color w:val="000000"/>
                <w:lang w:eastAsia="en-GB"/>
              </w:rPr>
              <w:t xml:space="preserve">1.1 </w:t>
            </w:r>
            <w:r w:rsidRPr="00AA681B">
              <w:rPr>
                <w:rFonts w:ascii="Calibri" w:eastAsia="Calibri" w:hAnsi="Calibri" w:cs="Calibri"/>
              </w:rPr>
              <w:t>±</w:t>
            </w:r>
            <w:r>
              <w:rPr>
                <w:rFonts w:ascii="Calibri" w:eastAsia="Times New Roman" w:hAnsi="Calibri" w:cs="Calibri"/>
                <w:color w:val="000000"/>
                <w:lang w:eastAsia="en-GB"/>
              </w:rPr>
              <w:t xml:space="preserve"> </w:t>
            </w:r>
            <w:r w:rsidRPr="001345FE">
              <w:rPr>
                <w:rFonts w:ascii="Calibri" w:eastAsia="Times New Roman" w:hAnsi="Calibri" w:cs="Calibri"/>
                <w:color w:val="000000"/>
                <w:lang w:eastAsia="en-GB"/>
              </w:rPr>
              <w:t>0.</w:t>
            </w:r>
            <w:r w:rsidR="00D91034">
              <w:rPr>
                <w:rFonts w:ascii="Calibri" w:eastAsia="Times New Roman" w:hAnsi="Calibri" w:cs="Calibri"/>
                <w:color w:val="000000"/>
                <w:lang w:eastAsia="en-GB"/>
              </w:rPr>
              <w:t>1</w:t>
            </w:r>
          </w:p>
        </w:tc>
        <w:tc>
          <w:tcPr>
            <w:tcW w:w="1701" w:type="dxa"/>
            <w:tcBorders>
              <w:top w:val="nil"/>
              <w:left w:val="nil"/>
              <w:bottom w:val="single" w:sz="4" w:space="0" w:color="auto"/>
              <w:right w:val="nil"/>
            </w:tcBorders>
            <w:shd w:val="clear" w:color="auto" w:fill="auto"/>
            <w:noWrap/>
            <w:vAlign w:val="bottom"/>
            <w:hideMark/>
          </w:tcPr>
          <w:p w14:paraId="296A1260" w14:textId="76D8EB8D" w:rsidR="00FD48FD" w:rsidRPr="001345FE" w:rsidRDefault="00FD48FD" w:rsidP="001B107F">
            <w:pPr>
              <w:spacing w:after="0" w:line="240" w:lineRule="auto"/>
              <w:rPr>
                <w:rFonts w:ascii="Calibri" w:eastAsia="Times New Roman" w:hAnsi="Calibri" w:cs="Calibri"/>
                <w:color w:val="000000"/>
                <w:lang w:eastAsia="en-GB"/>
              </w:rPr>
            </w:pPr>
            <w:r w:rsidRPr="001345FE">
              <w:rPr>
                <w:rFonts w:ascii="Calibri" w:eastAsia="Times New Roman" w:hAnsi="Calibri" w:cs="Calibri"/>
                <w:color w:val="000000"/>
                <w:lang w:eastAsia="en-GB"/>
              </w:rPr>
              <w:t xml:space="preserve">1.0 </w:t>
            </w:r>
            <w:r w:rsidRPr="00AA681B">
              <w:rPr>
                <w:rFonts w:ascii="Calibri" w:eastAsia="Calibri" w:hAnsi="Calibri" w:cs="Calibri"/>
              </w:rPr>
              <w:t>±</w:t>
            </w:r>
            <w:r>
              <w:rPr>
                <w:rFonts w:ascii="Calibri" w:eastAsia="Times New Roman" w:hAnsi="Calibri" w:cs="Calibri"/>
                <w:color w:val="000000"/>
                <w:lang w:eastAsia="en-GB"/>
              </w:rPr>
              <w:t xml:space="preserve"> </w:t>
            </w:r>
            <w:r w:rsidRPr="001345FE">
              <w:rPr>
                <w:rFonts w:ascii="Calibri" w:eastAsia="Times New Roman" w:hAnsi="Calibri" w:cs="Calibri"/>
                <w:color w:val="000000"/>
                <w:lang w:eastAsia="en-GB"/>
              </w:rPr>
              <w:t>0.</w:t>
            </w:r>
            <w:r w:rsidR="00D91034">
              <w:rPr>
                <w:rFonts w:ascii="Calibri" w:eastAsia="Times New Roman" w:hAnsi="Calibri" w:cs="Calibri"/>
                <w:color w:val="000000"/>
                <w:lang w:eastAsia="en-GB"/>
              </w:rPr>
              <w:t>3</w:t>
            </w:r>
          </w:p>
        </w:tc>
      </w:tr>
    </w:tbl>
    <w:p w14:paraId="04FD847C" w14:textId="77777777" w:rsidR="00176783" w:rsidRDefault="00176783" w:rsidP="001B107F">
      <w:pPr>
        <w:pStyle w:val="EndNoteBibliography"/>
        <w:spacing w:after="0"/>
        <w:rPr>
          <w:b/>
        </w:rPr>
      </w:pPr>
    </w:p>
    <w:p w14:paraId="4D8485E4" w14:textId="5FC6B1D9" w:rsidR="00176783" w:rsidRDefault="00176783" w:rsidP="001B107F">
      <w:pPr>
        <w:pStyle w:val="EndNoteBibliography"/>
        <w:spacing w:after="0"/>
        <w:rPr>
          <w:b/>
        </w:rPr>
      </w:pPr>
      <w:r>
        <w:rPr>
          <w:b/>
        </w:rPr>
        <w:drawing>
          <wp:inline distT="0" distB="0" distL="0" distR="0" wp14:anchorId="6BF1C0DD" wp14:editId="16245A8E">
            <wp:extent cx="2514600" cy="1634104"/>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5623" cy="1641267"/>
                    </a:xfrm>
                    <a:prstGeom prst="rect">
                      <a:avLst/>
                    </a:prstGeom>
                    <a:noFill/>
                  </pic:spPr>
                </pic:pic>
              </a:graphicData>
            </a:graphic>
          </wp:inline>
        </w:drawing>
      </w:r>
    </w:p>
    <w:p w14:paraId="42A815C0" w14:textId="57D05B94" w:rsidR="00FD48FD" w:rsidRDefault="00FD48FD" w:rsidP="001B107F">
      <w:pPr>
        <w:pStyle w:val="EndNoteBibliography"/>
        <w:spacing w:after="0"/>
      </w:pPr>
      <w:r>
        <w:rPr>
          <w:b/>
        </w:rPr>
        <w:t xml:space="preserve">Figure S3. </w:t>
      </w:r>
      <w:r w:rsidRPr="00B82087">
        <w:rPr>
          <w:bCs/>
        </w:rPr>
        <w:t xml:space="preserve">Monthly </w:t>
      </w:r>
      <w:r>
        <w:rPr>
          <w:bCs/>
        </w:rPr>
        <w:t>l</w:t>
      </w:r>
      <w:r w:rsidRPr="005B148B">
        <w:t>itter</w:t>
      </w:r>
      <w:r>
        <w:t>fall</w:t>
      </w:r>
      <w:r w:rsidRPr="005B148B">
        <w:t xml:space="preserve"> </w:t>
      </w:r>
      <w:r>
        <w:t xml:space="preserve">rate (g </w:t>
      </w:r>
      <w:r w:rsidR="006E33EE">
        <w:t xml:space="preserve">N </w:t>
      </w:r>
      <w:r>
        <w:t>ha</w:t>
      </w:r>
      <w:r w:rsidRPr="005B148B">
        <w:rPr>
          <w:vertAlign w:val="superscript"/>
        </w:rPr>
        <w:t>-1</w:t>
      </w:r>
      <w:r>
        <w:t xml:space="preserve"> d</w:t>
      </w:r>
      <w:r w:rsidRPr="000276BC">
        <w:rPr>
          <w:vertAlign w:val="superscript"/>
        </w:rPr>
        <w:t>-1</w:t>
      </w:r>
      <w:r>
        <w:t xml:space="preserve">) </w:t>
      </w:r>
      <w:r w:rsidRPr="005B148B">
        <w:t>in both forest</w:t>
      </w:r>
      <w:r w:rsidR="00501271">
        <w:t xml:space="preserve"> sites</w:t>
      </w:r>
      <w:r>
        <w:t xml:space="preserve"> (PF = </w:t>
      </w:r>
      <w:r w:rsidR="001A5B92">
        <w:t>primary</w:t>
      </w:r>
      <w:r>
        <w:t xml:space="preserve"> forest, DF = degraded forest)</w:t>
      </w:r>
      <w:r w:rsidRPr="005B148B">
        <w:t xml:space="preserve">. </w:t>
      </w:r>
      <w:r>
        <w:t>No litterfall was collected in the oil palm plantation where fronds were cut during harvests.</w:t>
      </w:r>
      <w:r w:rsidRPr="001632C3">
        <w:t xml:space="preserve"> </w:t>
      </w:r>
      <w:r>
        <w:t>Error bars represent the standard errors of the means.</w:t>
      </w:r>
    </w:p>
    <w:p w14:paraId="2200C5EA" w14:textId="62E5BAD2" w:rsidR="003974E0" w:rsidRDefault="003974E0" w:rsidP="001B107F">
      <w:pPr>
        <w:pStyle w:val="EndNoteBibliography"/>
        <w:spacing w:after="0"/>
      </w:pPr>
    </w:p>
    <w:p w14:paraId="223D0613" w14:textId="43A80A07" w:rsidR="003974E0" w:rsidRDefault="003974E0" w:rsidP="001B107F">
      <w:pPr>
        <w:pStyle w:val="EndNoteBibliography"/>
        <w:spacing w:after="0"/>
        <w:rPr>
          <w:b/>
          <w:bCs/>
        </w:rPr>
      </w:pPr>
      <w:r w:rsidRPr="003974E0">
        <w:rPr>
          <w:b/>
          <w:bCs/>
        </w:rPr>
        <w:t>S4. Supplementary results on rainfall, water table level, and soil water-filled pore space</w:t>
      </w:r>
    </w:p>
    <w:p w14:paraId="20958384" w14:textId="527BCB43" w:rsidR="003974E0" w:rsidRDefault="003974E0" w:rsidP="001B107F">
      <w:pPr>
        <w:pStyle w:val="EndNoteBibliography"/>
        <w:spacing w:after="0"/>
        <w:rPr>
          <w:b/>
          <w:bCs/>
        </w:rPr>
      </w:pPr>
    </w:p>
    <w:p w14:paraId="7231B875" w14:textId="12FDE34B" w:rsidR="003974E0" w:rsidRPr="003974E0" w:rsidRDefault="00986CA1" w:rsidP="001B107F">
      <w:pPr>
        <w:pStyle w:val="EndNoteBibliography"/>
        <w:spacing w:after="0"/>
      </w:pPr>
      <w:r w:rsidRPr="00986CA1">
        <w:rPr>
          <w:lang w:val="en-GB"/>
        </w:rPr>
        <w:t xml:space="preserve">Monthly variation in precipitation, water table </w:t>
      </w:r>
      <w:r w:rsidR="00D24AF8">
        <w:rPr>
          <w:lang w:val="en-GB"/>
        </w:rPr>
        <w:t>depth</w:t>
      </w:r>
      <w:r w:rsidRPr="00986CA1">
        <w:rPr>
          <w:lang w:val="en-GB"/>
        </w:rPr>
        <w:t xml:space="preserve"> and soil </w:t>
      </w:r>
      <w:r w:rsidR="00055D4F">
        <w:rPr>
          <w:lang w:val="en-GB"/>
        </w:rPr>
        <w:t>water-filled pore space (</w:t>
      </w:r>
      <w:r w:rsidRPr="00986CA1">
        <w:rPr>
          <w:lang w:val="en-GB"/>
        </w:rPr>
        <w:t>WFPS</w:t>
      </w:r>
      <w:r w:rsidR="00055D4F">
        <w:rPr>
          <w:lang w:val="en-GB"/>
        </w:rPr>
        <w:t>)</w:t>
      </w:r>
      <w:r w:rsidRPr="00986CA1">
        <w:rPr>
          <w:lang w:val="en-GB"/>
        </w:rPr>
        <w:t xml:space="preserve"> are displayed in Figure </w:t>
      </w:r>
      <w:r>
        <w:rPr>
          <w:lang w:val="en-GB"/>
        </w:rPr>
        <w:t>S4</w:t>
      </w:r>
      <w:r w:rsidRPr="00986CA1">
        <w:rPr>
          <w:lang w:val="en-GB"/>
        </w:rPr>
        <w:t>. Average annual cumulative rainfall for the years 2011-13 was 1,780 mm which was 27% less than the long-term annual mean record of 2,466 mm</w:t>
      </w:r>
      <w:r w:rsidR="00055D4F">
        <w:rPr>
          <w:lang w:val="en-GB"/>
        </w:rPr>
        <w:t xml:space="preserve"> (Siderius 2004)</w:t>
      </w:r>
      <w:r w:rsidRPr="00986CA1">
        <w:rPr>
          <w:lang w:val="en-GB"/>
        </w:rPr>
        <w:t xml:space="preserve">. A brief dry season (monthly precipitation &lt; 100 mm) was apparent in August – September 2012 at all sites (Figure </w:t>
      </w:r>
      <w:r>
        <w:rPr>
          <w:lang w:val="en-GB"/>
        </w:rPr>
        <w:t>S4</w:t>
      </w:r>
      <w:r w:rsidRPr="00986CA1">
        <w:rPr>
          <w:lang w:val="en-GB"/>
        </w:rPr>
        <w:t xml:space="preserve">a, c), but additional dry months occurred in the DF and OP sites (November 2011 – January 2012 and January 2013), and in the PF site (January 2012, March 2013). The </w:t>
      </w:r>
      <w:r w:rsidR="00D24AF8">
        <w:rPr>
          <w:lang w:val="en-GB"/>
        </w:rPr>
        <w:t>water table depth</w:t>
      </w:r>
      <w:r w:rsidRPr="00986CA1">
        <w:rPr>
          <w:lang w:val="en-GB"/>
        </w:rPr>
        <w:t xml:space="preserve"> level tended to follow the rainfall trend in PF, with less variation in drained sites  (Figure </w:t>
      </w:r>
      <w:r>
        <w:rPr>
          <w:lang w:val="en-GB"/>
        </w:rPr>
        <w:t>S4</w:t>
      </w:r>
      <w:r w:rsidRPr="00986CA1">
        <w:rPr>
          <w:lang w:val="en-GB"/>
        </w:rPr>
        <w:t xml:space="preserve">a, c, e). The WFPS did not follow the rainfall pattern and month-to-month variation was high except at the DF site (Figure </w:t>
      </w:r>
      <w:r>
        <w:rPr>
          <w:lang w:val="en-GB"/>
        </w:rPr>
        <w:t>S4</w:t>
      </w:r>
      <w:r w:rsidRPr="00986CA1">
        <w:rPr>
          <w:lang w:val="en-GB"/>
        </w:rPr>
        <w:t>b, d, f).</w:t>
      </w:r>
    </w:p>
    <w:p w14:paraId="3E43D7A1" w14:textId="34565959" w:rsidR="00391ADE" w:rsidRDefault="00391ADE" w:rsidP="001B107F">
      <w:pPr>
        <w:spacing w:after="0"/>
        <w:rPr>
          <w:b/>
        </w:rPr>
      </w:pPr>
    </w:p>
    <w:p w14:paraId="4FED51A1" w14:textId="13E6C70D" w:rsidR="003974E0" w:rsidRDefault="00D24AF8" w:rsidP="003974E0">
      <w:pPr>
        <w:tabs>
          <w:tab w:val="left" w:pos="555"/>
        </w:tabs>
        <w:spacing w:after="0" w:line="240" w:lineRule="auto"/>
      </w:pPr>
      <w:r>
        <w:rPr>
          <w:noProof/>
          <w:lang w:val="en-US"/>
        </w:rPr>
        <w:drawing>
          <wp:inline distT="0" distB="0" distL="0" distR="0" wp14:anchorId="4C8016AC" wp14:editId="1D78BEA1">
            <wp:extent cx="5819775" cy="3575701"/>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3847" cy="3584347"/>
                    </a:xfrm>
                    <a:prstGeom prst="rect">
                      <a:avLst/>
                    </a:prstGeom>
                    <a:noFill/>
                  </pic:spPr>
                </pic:pic>
              </a:graphicData>
            </a:graphic>
          </wp:inline>
        </w:drawing>
      </w:r>
      <w:r w:rsidR="003974E0">
        <w:tab/>
      </w:r>
    </w:p>
    <w:p w14:paraId="5E615D23" w14:textId="270CA0C0" w:rsidR="003974E0" w:rsidRDefault="003974E0" w:rsidP="003974E0">
      <w:pPr>
        <w:spacing w:after="0" w:line="240" w:lineRule="auto"/>
        <w:jc w:val="both"/>
      </w:pPr>
      <w:r w:rsidRPr="7F2E8F11">
        <w:rPr>
          <w:b/>
          <w:bCs/>
        </w:rPr>
        <w:t xml:space="preserve">Figure </w:t>
      </w:r>
      <w:r>
        <w:rPr>
          <w:b/>
          <w:bCs/>
        </w:rPr>
        <w:t>S4</w:t>
      </w:r>
      <w:r w:rsidRPr="7F2E8F11">
        <w:rPr>
          <w:b/>
          <w:bCs/>
        </w:rPr>
        <w:t>.</w:t>
      </w:r>
      <w:r>
        <w:t xml:space="preserve"> </w:t>
      </w:r>
      <w:bookmarkStart w:id="2" w:name="_Hlk122599503"/>
      <w:r>
        <w:t xml:space="preserve">Monthly rainfall and monthly </w:t>
      </w:r>
      <w:r w:rsidR="001A5B92">
        <w:t>mean</w:t>
      </w:r>
      <w:r>
        <w:t xml:space="preserve"> water table </w:t>
      </w:r>
      <w:r w:rsidR="00D24AF8">
        <w:t>depth</w:t>
      </w:r>
      <w:r>
        <w:t xml:space="preserve"> (a, c, e) and soil water-filled pore space (WFPS) (b, d, f) </w:t>
      </w:r>
      <w:r w:rsidRPr="006053FC">
        <w:t xml:space="preserve">in the </w:t>
      </w:r>
      <w:r w:rsidR="001A5B92">
        <w:t>primary</w:t>
      </w:r>
      <w:r w:rsidRPr="006053FC">
        <w:t xml:space="preserve"> forest (PF) (</w:t>
      </w:r>
      <w:r>
        <w:t>a, b</w:t>
      </w:r>
      <w:r w:rsidRPr="006053FC">
        <w:t>), degraded forest (DF) (</w:t>
      </w:r>
      <w:r>
        <w:t>c, d</w:t>
      </w:r>
      <w:r w:rsidRPr="006053FC">
        <w:t>), and oil palm plantation (OP) (</w:t>
      </w:r>
      <w:r>
        <w:t>e, f</w:t>
      </w:r>
      <w:r w:rsidRPr="006053FC">
        <w:t>)</w:t>
      </w:r>
      <w:r w:rsidR="00501271">
        <w:t xml:space="preserve"> sites</w:t>
      </w:r>
      <w:r w:rsidRPr="006053FC">
        <w:t xml:space="preserve">. </w:t>
      </w:r>
      <w:r>
        <w:t>Water table level and WFPS</w:t>
      </w:r>
      <w:r w:rsidRPr="006053FC">
        <w:t xml:space="preserve"> are presented per microtopography in the PF (</w:t>
      </w:r>
      <w:r>
        <w:t>h</w:t>
      </w:r>
      <w:r w:rsidRPr="006053FC">
        <w:t xml:space="preserve">um </w:t>
      </w:r>
      <w:r>
        <w:t xml:space="preserve">= </w:t>
      </w:r>
      <w:r w:rsidRPr="006053FC">
        <w:t xml:space="preserve">hummock, </w:t>
      </w:r>
      <w:proofErr w:type="spellStart"/>
      <w:r>
        <w:t>h</w:t>
      </w:r>
      <w:r w:rsidRPr="006053FC">
        <w:t>ol</w:t>
      </w:r>
      <w:proofErr w:type="spellEnd"/>
      <w:r w:rsidRPr="006053FC">
        <w:t xml:space="preserve"> </w:t>
      </w:r>
      <w:r>
        <w:t>= h</w:t>
      </w:r>
      <w:r w:rsidRPr="006053FC">
        <w:t>ollow) and in the OP (FZ =</w:t>
      </w:r>
      <w:r>
        <w:t xml:space="preserve"> </w:t>
      </w:r>
      <w:r w:rsidRPr="006053FC">
        <w:t>Fertilized Zone, NFZ =</w:t>
      </w:r>
      <w:r>
        <w:t xml:space="preserve"> </w:t>
      </w:r>
      <w:r w:rsidRPr="006053FC">
        <w:t>Non-Fertilized Zone).</w:t>
      </w:r>
      <w:r>
        <w:t xml:space="preserve"> </w:t>
      </w:r>
      <w:r w:rsidRPr="006053FC">
        <w:t>The s</w:t>
      </w:r>
      <w:r>
        <w:t>oil microtopography</w:t>
      </w:r>
      <w:r w:rsidRPr="006053FC">
        <w:t xml:space="preserve"> in the DF was homogeneous.</w:t>
      </w:r>
      <w:r>
        <w:t xml:space="preserve"> </w:t>
      </w:r>
      <w:r w:rsidR="00AD1EEC">
        <w:t xml:space="preserve">Rainfall was measured at </w:t>
      </w:r>
      <w:r w:rsidR="009D04D1">
        <w:t>weather stations</w:t>
      </w:r>
      <w:r w:rsidR="00AD1EEC">
        <w:t xml:space="preserve"> in the PF (a) and </w:t>
      </w:r>
      <w:r w:rsidR="009D04D1">
        <w:t xml:space="preserve">at the mid-point between the DF and the OP (c, d). </w:t>
      </w:r>
      <w:r>
        <w:t xml:space="preserve">Error bars represent the standard errors of the monthly </w:t>
      </w:r>
      <w:r w:rsidR="00D91034">
        <w:t xml:space="preserve">means </w:t>
      </w:r>
      <w:r w:rsidR="001A5B92">
        <w:t xml:space="preserve">(hum, n = 4; </w:t>
      </w:r>
      <w:proofErr w:type="spellStart"/>
      <w:r w:rsidR="001A5B92">
        <w:t>hol</w:t>
      </w:r>
      <w:proofErr w:type="spellEnd"/>
      <w:r w:rsidR="001A5B92">
        <w:t>, n = 6, DF, n = 10; FZ, n = 5; NFZ, n = 5)</w:t>
      </w:r>
      <w:r>
        <w:t>.</w:t>
      </w:r>
    </w:p>
    <w:bookmarkEnd w:id="2"/>
    <w:p w14:paraId="6DB0F9AF" w14:textId="77777777" w:rsidR="00C1485C" w:rsidRPr="00C1485C" w:rsidRDefault="00C1485C" w:rsidP="001B107F">
      <w:pPr>
        <w:spacing w:after="0"/>
        <w:rPr>
          <w:bCs/>
        </w:rPr>
      </w:pPr>
    </w:p>
    <w:p w14:paraId="3E4D9812" w14:textId="347E75F9" w:rsidR="0093453F" w:rsidRDefault="0093453F" w:rsidP="001B107F">
      <w:pPr>
        <w:spacing w:after="0" w:line="240" w:lineRule="auto"/>
        <w:rPr>
          <w:b/>
        </w:rPr>
      </w:pPr>
      <w:r>
        <w:rPr>
          <w:b/>
        </w:rPr>
        <w:t>S</w:t>
      </w:r>
      <w:r w:rsidR="00624838">
        <w:rPr>
          <w:b/>
        </w:rPr>
        <w:t>5</w:t>
      </w:r>
      <w:r>
        <w:rPr>
          <w:b/>
        </w:rPr>
        <w:t xml:space="preserve">. Supplementary </w:t>
      </w:r>
      <w:r w:rsidR="00E20FFB">
        <w:rPr>
          <w:b/>
        </w:rPr>
        <w:t xml:space="preserve">results </w:t>
      </w:r>
      <w:r>
        <w:rPr>
          <w:b/>
        </w:rPr>
        <w:t xml:space="preserve">on </w:t>
      </w:r>
      <w:r w:rsidR="00E20FFB">
        <w:rPr>
          <w:b/>
        </w:rPr>
        <w:t xml:space="preserve">soil </w:t>
      </w:r>
      <w:r>
        <w:rPr>
          <w:b/>
        </w:rPr>
        <w:t xml:space="preserve">and </w:t>
      </w:r>
      <w:r w:rsidR="00E20FFB">
        <w:rPr>
          <w:b/>
        </w:rPr>
        <w:t>air temperature</w:t>
      </w:r>
    </w:p>
    <w:p w14:paraId="427BA911" w14:textId="77777777" w:rsidR="003974E0" w:rsidRDefault="003974E0" w:rsidP="001B107F">
      <w:pPr>
        <w:spacing w:after="0" w:line="240" w:lineRule="auto"/>
        <w:rPr>
          <w:bCs/>
        </w:rPr>
      </w:pPr>
    </w:p>
    <w:p w14:paraId="64D59128" w14:textId="5759B4C3" w:rsidR="008B435E" w:rsidRPr="008B435E" w:rsidRDefault="008B435E" w:rsidP="001B107F">
      <w:pPr>
        <w:spacing w:after="0" w:line="240" w:lineRule="auto"/>
        <w:rPr>
          <w:bCs/>
        </w:rPr>
      </w:pPr>
      <w:r w:rsidRPr="008B435E">
        <w:rPr>
          <w:bCs/>
        </w:rPr>
        <w:t>The monthly average</w:t>
      </w:r>
      <w:r w:rsidR="00055D4F">
        <w:rPr>
          <w:bCs/>
        </w:rPr>
        <w:t xml:space="preserve"> air</w:t>
      </w:r>
      <w:r w:rsidRPr="008B435E">
        <w:rPr>
          <w:bCs/>
        </w:rPr>
        <w:t xml:space="preserve"> temperature varied month to month in the three sites while soil temperature tended to be </w:t>
      </w:r>
      <w:r w:rsidR="00211BA9">
        <w:rPr>
          <w:bCs/>
        </w:rPr>
        <w:t>steady</w:t>
      </w:r>
      <w:r w:rsidR="00211BA9" w:rsidRPr="008B435E">
        <w:rPr>
          <w:bCs/>
        </w:rPr>
        <w:t xml:space="preserve"> </w:t>
      </w:r>
      <w:r w:rsidRPr="008B435E">
        <w:rPr>
          <w:bCs/>
        </w:rPr>
        <w:t>during the measurement period</w:t>
      </w:r>
      <w:r>
        <w:rPr>
          <w:bCs/>
        </w:rPr>
        <w:t xml:space="preserve"> </w:t>
      </w:r>
      <w:r w:rsidRPr="008B435E">
        <w:rPr>
          <w:bCs/>
        </w:rPr>
        <w:t>(Figure S</w:t>
      </w:r>
      <w:r w:rsidR="00624838">
        <w:rPr>
          <w:bCs/>
        </w:rPr>
        <w:t>5</w:t>
      </w:r>
      <w:r w:rsidRPr="008B435E">
        <w:rPr>
          <w:bCs/>
        </w:rPr>
        <w:t>).</w:t>
      </w:r>
    </w:p>
    <w:p w14:paraId="032E0046" w14:textId="3B30AC46" w:rsidR="0093453F" w:rsidRDefault="0093453F" w:rsidP="001B107F">
      <w:pPr>
        <w:spacing w:after="0" w:line="240" w:lineRule="auto"/>
        <w:rPr>
          <w:b/>
        </w:rPr>
      </w:pPr>
    </w:p>
    <w:p w14:paraId="554DC8DB" w14:textId="52B11AD2" w:rsidR="0093453F" w:rsidRDefault="0093453F" w:rsidP="001B107F">
      <w:pPr>
        <w:spacing w:after="0" w:line="240" w:lineRule="auto"/>
        <w:rPr>
          <w:b/>
        </w:rPr>
      </w:pPr>
    </w:p>
    <w:p w14:paraId="6F5ECA32" w14:textId="2D1551F7" w:rsidR="0093453F" w:rsidRDefault="0093453F" w:rsidP="001B107F">
      <w:pPr>
        <w:spacing w:after="0" w:line="240" w:lineRule="auto"/>
        <w:rPr>
          <w:b/>
        </w:rPr>
      </w:pPr>
    </w:p>
    <w:p w14:paraId="597DE812" w14:textId="77777777" w:rsidR="002D45BE" w:rsidRDefault="002D45BE" w:rsidP="002D45BE">
      <w:pPr>
        <w:spacing w:after="0" w:line="240" w:lineRule="auto"/>
        <w:rPr>
          <w:b/>
        </w:rPr>
      </w:pPr>
    </w:p>
    <w:p w14:paraId="6DCDFF27" w14:textId="1A569B6D" w:rsidR="002D45BE" w:rsidRDefault="002D45BE" w:rsidP="002D45BE">
      <w:pPr>
        <w:spacing w:after="0" w:line="240" w:lineRule="auto"/>
        <w:rPr>
          <w:b/>
        </w:rPr>
      </w:pPr>
      <w:r>
        <w:rPr>
          <w:b/>
          <w:noProof/>
          <w:lang w:val="en-US"/>
        </w:rPr>
        <w:drawing>
          <wp:inline distT="0" distB="0" distL="0" distR="0" wp14:anchorId="0C3FC0A3" wp14:editId="4AF7D7CD">
            <wp:extent cx="2814320" cy="253830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802" cy="2543244"/>
                    </a:xfrm>
                    <a:prstGeom prst="rect">
                      <a:avLst/>
                    </a:prstGeom>
                    <a:noFill/>
                  </pic:spPr>
                </pic:pic>
              </a:graphicData>
            </a:graphic>
          </wp:inline>
        </w:drawing>
      </w:r>
    </w:p>
    <w:p w14:paraId="1B1E0572" w14:textId="40FA63FF" w:rsidR="00804B0A" w:rsidRPr="002D45BE" w:rsidRDefault="008B435E" w:rsidP="002D45BE">
      <w:pPr>
        <w:spacing w:after="0" w:line="240" w:lineRule="auto"/>
        <w:rPr>
          <w:b/>
        </w:rPr>
      </w:pPr>
      <w:r>
        <w:rPr>
          <w:b/>
        </w:rPr>
        <w:t>Figure S</w:t>
      </w:r>
      <w:r w:rsidR="00624838">
        <w:rPr>
          <w:b/>
        </w:rPr>
        <w:t>5</w:t>
      </w:r>
      <w:r>
        <w:rPr>
          <w:b/>
        </w:rPr>
        <w:t xml:space="preserve"> </w:t>
      </w:r>
      <w:r w:rsidRPr="008B435E">
        <w:rPr>
          <w:bCs/>
        </w:rPr>
        <w:t xml:space="preserve">Monthly </w:t>
      </w:r>
      <w:r w:rsidR="001A5B92">
        <w:rPr>
          <w:bCs/>
        </w:rPr>
        <w:t>mean</w:t>
      </w:r>
      <w:r w:rsidRPr="008B435E">
        <w:rPr>
          <w:bCs/>
        </w:rPr>
        <w:t xml:space="preserve"> </w:t>
      </w:r>
      <w:r>
        <w:rPr>
          <w:bCs/>
        </w:rPr>
        <w:t>air (</w:t>
      </w:r>
      <w:r w:rsidR="002D45BE">
        <w:rPr>
          <w:bCs/>
        </w:rPr>
        <w:t>a</w:t>
      </w:r>
      <w:r>
        <w:rPr>
          <w:bCs/>
        </w:rPr>
        <w:t>) and soil (</w:t>
      </w:r>
      <w:r w:rsidR="002D45BE">
        <w:rPr>
          <w:bCs/>
        </w:rPr>
        <w:t>b</w:t>
      </w:r>
      <w:r>
        <w:rPr>
          <w:bCs/>
        </w:rPr>
        <w:t xml:space="preserve">) temperature </w:t>
      </w:r>
      <w:r w:rsidRPr="008B435E">
        <w:rPr>
          <w:bCs/>
        </w:rPr>
        <w:t xml:space="preserve">in the </w:t>
      </w:r>
      <w:r w:rsidR="001A5B92">
        <w:rPr>
          <w:bCs/>
        </w:rPr>
        <w:t>primary</w:t>
      </w:r>
      <w:r w:rsidRPr="008B435E">
        <w:rPr>
          <w:bCs/>
        </w:rPr>
        <w:t xml:space="preserve"> forest (PF), degraded forest (DF), and oil palm plantation (OP)</w:t>
      </w:r>
      <w:r>
        <w:rPr>
          <w:bCs/>
        </w:rPr>
        <w:t xml:space="preserve"> </w:t>
      </w:r>
      <w:r w:rsidR="00501271">
        <w:rPr>
          <w:bCs/>
        </w:rPr>
        <w:t xml:space="preserve">sites </w:t>
      </w:r>
      <w:r w:rsidRPr="008B435E">
        <w:rPr>
          <w:bCs/>
        </w:rPr>
        <w:t xml:space="preserve">presented per microtopography in the PF (hum = hummock, </w:t>
      </w:r>
      <w:proofErr w:type="spellStart"/>
      <w:r w:rsidRPr="008B435E">
        <w:rPr>
          <w:bCs/>
        </w:rPr>
        <w:t>hol</w:t>
      </w:r>
      <w:proofErr w:type="spellEnd"/>
      <w:r w:rsidRPr="008B435E">
        <w:rPr>
          <w:bCs/>
        </w:rPr>
        <w:t xml:space="preserve"> = hollow) and in the OP (FZ = Fertilized Zone, NFZ = Non-Fertilized Zone). The soil microtopography in the DF was homogeneous. Error bars represent the standard errors of the monthly </w:t>
      </w:r>
      <w:r w:rsidR="001A5B92">
        <w:rPr>
          <w:bCs/>
        </w:rPr>
        <w:t xml:space="preserve">mean </w:t>
      </w:r>
      <w:r w:rsidR="001A5B92">
        <w:t xml:space="preserve">(hum, n = 4; </w:t>
      </w:r>
      <w:proofErr w:type="spellStart"/>
      <w:r w:rsidR="001A5B92">
        <w:t>hol</w:t>
      </w:r>
      <w:proofErr w:type="spellEnd"/>
      <w:r w:rsidR="001A5B92">
        <w:t>, n = 6, DF, n = 10; FZ, n = 5; NFZ, n = 5)</w:t>
      </w:r>
      <w:r w:rsidRPr="008B435E">
        <w:rPr>
          <w:bCs/>
        </w:rPr>
        <w:t>.</w:t>
      </w:r>
      <w:r w:rsidR="00804B0A">
        <w:br w:type="page"/>
      </w:r>
    </w:p>
    <w:p w14:paraId="7FBDA25E" w14:textId="03AF0814" w:rsidR="00627D4A" w:rsidRPr="001632C3" w:rsidRDefault="00627D4A" w:rsidP="001B107F">
      <w:pPr>
        <w:spacing w:after="0"/>
        <w:rPr>
          <w:b/>
        </w:rPr>
      </w:pPr>
      <w:r w:rsidRPr="001632C3">
        <w:rPr>
          <w:b/>
        </w:rPr>
        <w:t>References</w:t>
      </w:r>
    </w:p>
    <w:p w14:paraId="1C8561BD" w14:textId="2AF259F2" w:rsidR="00E41814" w:rsidRDefault="00E41814" w:rsidP="001B107F">
      <w:pPr>
        <w:spacing w:after="0"/>
        <w:ind w:left="720" w:hanging="720"/>
      </w:pPr>
      <w:r w:rsidRPr="00E41814">
        <w:t xml:space="preserve">Comeau, LP, Hergoualc'h, K, Hartill, J, </w:t>
      </w:r>
      <w:r w:rsidR="009847DB" w:rsidRPr="00F97A47">
        <w:t xml:space="preserve">et al </w:t>
      </w:r>
      <w:r w:rsidRPr="00E41814">
        <w:t>(2016) How do the heterotrophic and the total soil respiration of an oil palm plantation on peat respond to nitrogen fertilizer application?. </w:t>
      </w:r>
      <w:proofErr w:type="spellStart"/>
      <w:r w:rsidRPr="009847DB">
        <w:t>Geoderma</w:t>
      </w:r>
      <w:proofErr w:type="spellEnd"/>
      <w:r w:rsidRPr="009847DB">
        <w:t> 268</w:t>
      </w:r>
      <w:r w:rsidR="009847DB" w:rsidRPr="009847DB">
        <w:t>:</w:t>
      </w:r>
      <w:r w:rsidRPr="009847DB">
        <w:t xml:space="preserve"> 41-</w:t>
      </w:r>
      <w:r w:rsidRPr="00E41814">
        <w:t>51.</w:t>
      </w:r>
    </w:p>
    <w:p w14:paraId="290AFFDD" w14:textId="7C7CD1CA" w:rsidR="00627D4A" w:rsidRDefault="00627D4A" w:rsidP="001B107F">
      <w:pPr>
        <w:spacing w:after="0"/>
      </w:pPr>
      <w:r w:rsidRPr="00821819">
        <w:t xml:space="preserve">Hesse, PR, 1971. A </w:t>
      </w:r>
      <w:r w:rsidR="00531CF8">
        <w:t>t</w:t>
      </w:r>
      <w:r w:rsidRPr="00821819">
        <w:t>extbook</w:t>
      </w:r>
      <w:r>
        <w:t xml:space="preserve"> of soil chemical analyses</w:t>
      </w:r>
      <w:r w:rsidR="00E41814">
        <w:t>.</w:t>
      </w:r>
    </w:p>
    <w:p w14:paraId="54202D7A" w14:textId="3EAB1230" w:rsidR="00E41814" w:rsidRDefault="00E41814" w:rsidP="001B107F">
      <w:pPr>
        <w:spacing w:after="0"/>
        <w:ind w:left="720" w:hanging="720"/>
      </w:pPr>
      <w:proofErr w:type="spellStart"/>
      <w:r w:rsidRPr="00E41814">
        <w:t>Loftfield</w:t>
      </w:r>
      <w:proofErr w:type="spellEnd"/>
      <w:r w:rsidRPr="00E41814">
        <w:t xml:space="preserve">, N, </w:t>
      </w:r>
      <w:proofErr w:type="spellStart"/>
      <w:r w:rsidRPr="00E41814">
        <w:t>Flessa</w:t>
      </w:r>
      <w:proofErr w:type="spellEnd"/>
      <w:r w:rsidRPr="00E41814">
        <w:t xml:space="preserve">, H, Augustin, J, </w:t>
      </w:r>
      <w:proofErr w:type="spellStart"/>
      <w:r w:rsidRPr="00E41814">
        <w:t>Beese</w:t>
      </w:r>
      <w:proofErr w:type="spellEnd"/>
      <w:r w:rsidRPr="00E41814">
        <w:t>, F (1997). Automated gas chromatographic system for rapid analysis of the atmospheric trace gases methane, carbon dioxide, and nitrous oxide. </w:t>
      </w:r>
      <w:r w:rsidRPr="009847DB">
        <w:t>Journal of Environmental Quality 26</w:t>
      </w:r>
      <w:r w:rsidR="009847DB">
        <w:t>:</w:t>
      </w:r>
      <w:r w:rsidRPr="009847DB">
        <w:t xml:space="preserve"> 560</w:t>
      </w:r>
      <w:r w:rsidRPr="00E41814">
        <w:t>-564.</w:t>
      </w:r>
    </w:p>
    <w:p w14:paraId="43E595E0" w14:textId="69D8369B" w:rsidR="00055D4F" w:rsidRDefault="00055D4F" w:rsidP="00055D4F">
      <w:pPr>
        <w:spacing w:after="0"/>
        <w:ind w:left="720" w:hanging="720"/>
      </w:pPr>
      <w:proofErr w:type="spellStart"/>
      <w:r w:rsidRPr="00055D4F">
        <w:t>Siderius</w:t>
      </w:r>
      <w:proofErr w:type="spellEnd"/>
      <w:r w:rsidRPr="00055D4F">
        <w:t xml:space="preserve">, C (2004) A Hydrological Model of the Air </w:t>
      </w:r>
      <w:proofErr w:type="spellStart"/>
      <w:r w:rsidRPr="00055D4F">
        <w:t>Hitam</w:t>
      </w:r>
      <w:proofErr w:type="spellEnd"/>
      <w:r w:rsidRPr="00055D4F">
        <w:t xml:space="preserve"> </w:t>
      </w:r>
      <w:proofErr w:type="spellStart"/>
      <w:r w:rsidRPr="00055D4F">
        <w:t>Laut</w:t>
      </w:r>
      <w:proofErr w:type="spellEnd"/>
      <w:r w:rsidRPr="00055D4F">
        <w:t xml:space="preserve"> Watershed and the Impact of Various Land Use Scenarios. Wageningen University Report. Wageningen, The Netherlands: Wageningen University</w:t>
      </w:r>
      <w:r>
        <w:t>.</w:t>
      </w:r>
    </w:p>
    <w:p w14:paraId="40A9FE34" w14:textId="77777777" w:rsidR="009847DB" w:rsidRPr="008B6C79" w:rsidRDefault="009847DB" w:rsidP="009847DB">
      <w:pPr>
        <w:pStyle w:val="EndNoteBibliography"/>
        <w:spacing w:after="0"/>
        <w:ind w:left="720" w:hanging="720"/>
      </w:pPr>
      <w:r w:rsidRPr="00F97A47">
        <w:rPr>
          <w:lang w:val="en-GB"/>
        </w:rPr>
        <w:t xml:space="preserve">Verchot, LV, Davidson, EA, Cattânio, H </w:t>
      </w:r>
      <w:r w:rsidRPr="00F97A47">
        <w:t>et al</w:t>
      </w:r>
      <w:r w:rsidRPr="00F97A47">
        <w:rPr>
          <w:lang w:val="en-GB"/>
        </w:rPr>
        <w:t xml:space="preserve"> (1999) Land use change and biogeochemical controls of nitrogen oxide emissions from soils in eastern Amazonia. Global Biogeochemical Cycles 13</w:t>
      </w:r>
      <w:r w:rsidRPr="00F97A47">
        <w:t>:</w:t>
      </w:r>
      <w:r w:rsidRPr="00F97A47">
        <w:rPr>
          <w:lang w:val="en-GB"/>
        </w:rPr>
        <w:t xml:space="preserve"> 31-46.</w:t>
      </w:r>
    </w:p>
    <w:p w14:paraId="52BF95F4" w14:textId="1F4361CB" w:rsidR="0062531A" w:rsidRPr="00627D4A" w:rsidRDefault="009847DB" w:rsidP="009847DB">
      <w:pPr>
        <w:pStyle w:val="EndNoteBibliography"/>
        <w:spacing w:after="0"/>
        <w:ind w:left="720" w:hanging="720"/>
      </w:pPr>
      <w:r w:rsidRPr="00F97A47">
        <w:rPr>
          <w:lang w:val="en-GB"/>
        </w:rPr>
        <w:t>Verchot, LV, Davidson, EA, Cattanio, JH, Ackerman, IL (2000) Land use change and biogeochemical controls on methane fluxes in soils of eastern Amazon. Ecosystems 3</w:t>
      </w:r>
      <w:r w:rsidRPr="00F97A47">
        <w:t>:</w:t>
      </w:r>
      <w:r w:rsidRPr="00F97A47">
        <w:rPr>
          <w:lang w:val="en-GB"/>
        </w:rPr>
        <w:t xml:space="preserve"> 41-56.</w:t>
      </w:r>
      <w:bookmarkEnd w:id="0"/>
    </w:p>
    <w:sectPr w:rsidR="0062531A" w:rsidRPr="00627D4A" w:rsidSect="0014140D">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B4744"/>
    <w:multiLevelType w:val="multilevel"/>
    <w:tmpl w:val="85A44C2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D4A"/>
    <w:rsid w:val="00035E63"/>
    <w:rsid w:val="00045990"/>
    <w:rsid w:val="00055D4F"/>
    <w:rsid w:val="000702C1"/>
    <w:rsid w:val="000A5A29"/>
    <w:rsid w:val="000A6ACD"/>
    <w:rsid w:val="00114727"/>
    <w:rsid w:val="001236BC"/>
    <w:rsid w:val="00124FFE"/>
    <w:rsid w:val="00125F77"/>
    <w:rsid w:val="0014140D"/>
    <w:rsid w:val="00176783"/>
    <w:rsid w:val="00184F69"/>
    <w:rsid w:val="001A5B92"/>
    <w:rsid w:val="001B107F"/>
    <w:rsid w:val="001B6C74"/>
    <w:rsid w:val="001D1644"/>
    <w:rsid w:val="00203D99"/>
    <w:rsid w:val="00211BA9"/>
    <w:rsid w:val="00220539"/>
    <w:rsid w:val="002536F9"/>
    <w:rsid w:val="00267743"/>
    <w:rsid w:val="00291C5D"/>
    <w:rsid w:val="002A2765"/>
    <w:rsid w:val="002A6134"/>
    <w:rsid w:val="002D45BE"/>
    <w:rsid w:val="002D4915"/>
    <w:rsid w:val="00310F6E"/>
    <w:rsid w:val="00313DE0"/>
    <w:rsid w:val="00345CA2"/>
    <w:rsid w:val="00376AEB"/>
    <w:rsid w:val="003859C9"/>
    <w:rsid w:val="00391ADE"/>
    <w:rsid w:val="003974E0"/>
    <w:rsid w:val="003A5333"/>
    <w:rsid w:val="003B1043"/>
    <w:rsid w:val="003C7C43"/>
    <w:rsid w:val="003D21B1"/>
    <w:rsid w:val="0042789B"/>
    <w:rsid w:val="0047568F"/>
    <w:rsid w:val="00492CAD"/>
    <w:rsid w:val="00494BD9"/>
    <w:rsid w:val="004C6297"/>
    <w:rsid w:val="004D7795"/>
    <w:rsid w:val="004E258F"/>
    <w:rsid w:val="00501271"/>
    <w:rsid w:val="00512627"/>
    <w:rsid w:val="00520FE4"/>
    <w:rsid w:val="00531CF8"/>
    <w:rsid w:val="00544BAA"/>
    <w:rsid w:val="00583A20"/>
    <w:rsid w:val="005B003E"/>
    <w:rsid w:val="005B291B"/>
    <w:rsid w:val="005D50E8"/>
    <w:rsid w:val="005F3D37"/>
    <w:rsid w:val="00624838"/>
    <w:rsid w:val="0062531A"/>
    <w:rsid w:val="00627D4A"/>
    <w:rsid w:val="00692ABD"/>
    <w:rsid w:val="006A378D"/>
    <w:rsid w:val="006B6109"/>
    <w:rsid w:val="006E33EE"/>
    <w:rsid w:val="00721948"/>
    <w:rsid w:val="00743FC9"/>
    <w:rsid w:val="00745176"/>
    <w:rsid w:val="00765AA4"/>
    <w:rsid w:val="007C1A3F"/>
    <w:rsid w:val="007D3132"/>
    <w:rsid w:val="007D5DDF"/>
    <w:rsid w:val="0080262E"/>
    <w:rsid w:val="00804B0A"/>
    <w:rsid w:val="008B435E"/>
    <w:rsid w:val="008E03DF"/>
    <w:rsid w:val="00904366"/>
    <w:rsid w:val="0093190F"/>
    <w:rsid w:val="009338B7"/>
    <w:rsid w:val="0093453F"/>
    <w:rsid w:val="009809FB"/>
    <w:rsid w:val="009847DB"/>
    <w:rsid w:val="00986CA1"/>
    <w:rsid w:val="00993064"/>
    <w:rsid w:val="009A62CA"/>
    <w:rsid w:val="009D04D1"/>
    <w:rsid w:val="009E073F"/>
    <w:rsid w:val="009E68D0"/>
    <w:rsid w:val="00A26CB7"/>
    <w:rsid w:val="00A50C3F"/>
    <w:rsid w:val="00A56800"/>
    <w:rsid w:val="00A64416"/>
    <w:rsid w:val="00A65DB4"/>
    <w:rsid w:val="00A74C74"/>
    <w:rsid w:val="00AB3A1B"/>
    <w:rsid w:val="00AB5208"/>
    <w:rsid w:val="00AD1EEC"/>
    <w:rsid w:val="00B2015F"/>
    <w:rsid w:val="00B42A3B"/>
    <w:rsid w:val="00B76E0B"/>
    <w:rsid w:val="00B816C6"/>
    <w:rsid w:val="00BE74CB"/>
    <w:rsid w:val="00BF0EF3"/>
    <w:rsid w:val="00C1485C"/>
    <w:rsid w:val="00C87896"/>
    <w:rsid w:val="00CA6399"/>
    <w:rsid w:val="00CD62C2"/>
    <w:rsid w:val="00D24AF8"/>
    <w:rsid w:val="00D91034"/>
    <w:rsid w:val="00DC71D8"/>
    <w:rsid w:val="00DD5B38"/>
    <w:rsid w:val="00E0146F"/>
    <w:rsid w:val="00E107F7"/>
    <w:rsid w:val="00E20FFB"/>
    <w:rsid w:val="00E41814"/>
    <w:rsid w:val="00E62ACD"/>
    <w:rsid w:val="00E8439F"/>
    <w:rsid w:val="00EA4506"/>
    <w:rsid w:val="00EE2E5C"/>
    <w:rsid w:val="00EF3466"/>
    <w:rsid w:val="00F77F74"/>
    <w:rsid w:val="00F9563B"/>
    <w:rsid w:val="00FC6ADD"/>
    <w:rsid w:val="00FD48FD"/>
    <w:rsid w:val="00FD7B1B"/>
    <w:rsid w:val="00FF7D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E19C"/>
  <w15:chartTrackingRefBased/>
  <w15:docId w15:val="{3FCE189D-9AFD-4479-A320-742D82279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D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D4A"/>
    <w:pPr>
      <w:ind w:left="720"/>
      <w:contextualSpacing/>
    </w:pPr>
  </w:style>
  <w:style w:type="paragraph" w:customStyle="1" w:styleId="EndNoteBibliography">
    <w:name w:val="EndNote Bibliography"/>
    <w:basedOn w:val="Normal"/>
    <w:link w:val="EndNoteBibliographyChar"/>
    <w:rsid w:val="00627D4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27D4A"/>
    <w:rPr>
      <w:rFonts w:ascii="Calibri" w:hAnsi="Calibri" w:cs="Calibri"/>
      <w:noProof/>
      <w:lang w:val="en-US"/>
    </w:rPr>
  </w:style>
  <w:style w:type="character" w:styleId="CommentReference">
    <w:name w:val="annotation reference"/>
    <w:basedOn w:val="DefaultParagraphFont"/>
    <w:uiPriority w:val="99"/>
    <w:unhideWhenUsed/>
    <w:rsid w:val="00627D4A"/>
    <w:rPr>
      <w:sz w:val="16"/>
      <w:szCs w:val="16"/>
    </w:rPr>
  </w:style>
  <w:style w:type="paragraph" w:styleId="CommentText">
    <w:name w:val="annotation text"/>
    <w:basedOn w:val="Normal"/>
    <w:link w:val="CommentTextChar"/>
    <w:uiPriority w:val="99"/>
    <w:unhideWhenUsed/>
    <w:rsid w:val="00627D4A"/>
    <w:pPr>
      <w:spacing w:line="240" w:lineRule="auto"/>
    </w:pPr>
    <w:rPr>
      <w:sz w:val="20"/>
      <w:szCs w:val="20"/>
    </w:rPr>
  </w:style>
  <w:style w:type="character" w:customStyle="1" w:styleId="CommentTextChar">
    <w:name w:val="Comment Text Char"/>
    <w:basedOn w:val="DefaultParagraphFont"/>
    <w:link w:val="CommentText"/>
    <w:rsid w:val="00627D4A"/>
    <w:rPr>
      <w:sz w:val="20"/>
      <w:szCs w:val="20"/>
    </w:rPr>
  </w:style>
  <w:style w:type="character" w:styleId="Hyperlink">
    <w:name w:val="Hyperlink"/>
    <w:basedOn w:val="DefaultParagraphFont"/>
    <w:uiPriority w:val="99"/>
    <w:unhideWhenUsed/>
    <w:rsid w:val="00627D4A"/>
    <w:rPr>
      <w:color w:val="0563C1" w:themeColor="hyperlink"/>
      <w:u w:val="single"/>
    </w:rPr>
  </w:style>
  <w:style w:type="character" w:styleId="LineNumber">
    <w:name w:val="line number"/>
    <w:basedOn w:val="DefaultParagraphFont"/>
    <w:uiPriority w:val="99"/>
    <w:semiHidden/>
    <w:unhideWhenUsed/>
    <w:rsid w:val="00627D4A"/>
  </w:style>
  <w:style w:type="paragraph" w:styleId="CommentSubject">
    <w:name w:val="annotation subject"/>
    <w:basedOn w:val="CommentText"/>
    <w:next w:val="CommentText"/>
    <w:link w:val="CommentSubjectChar"/>
    <w:uiPriority w:val="99"/>
    <w:semiHidden/>
    <w:unhideWhenUsed/>
    <w:rsid w:val="00E8439F"/>
    <w:rPr>
      <w:b/>
      <w:bCs/>
    </w:rPr>
  </w:style>
  <w:style w:type="character" w:customStyle="1" w:styleId="CommentSubjectChar">
    <w:name w:val="Comment Subject Char"/>
    <w:basedOn w:val="CommentTextChar"/>
    <w:link w:val="CommentSubject"/>
    <w:uiPriority w:val="99"/>
    <w:semiHidden/>
    <w:rsid w:val="00E8439F"/>
    <w:rPr>
      <w:b/>
      <w:bCs/>
      <w:sz w:val="20"/>
      <w:szCs w:val="20"/>
    </w:rPr>
  </w:style>
  <w:style w:type="character" w:styleId="FollowedHyperlink">
    <w:name w:val="FollowedHyperlink"/>
    <w:basedOn w:val="DefaultParagraphFont"/>
    <w:uiPriority w:val="99"/>
    <w:semiHidden/>
    <w:unhideWhenUsed/>
    <w:rsid w:val="00F77F74"/>
    <w:rPr>
      <w:color w:val="954F72" w:themeColor="followedHyperlink"/>
      <w:u w:val="single"/>
    </w:rPr>
  </w:style>
  <w:style w:type="paragraph" w:styleId="Revision">
    <w:name w:val="Revision"/>
    <w:hidden/>
    <w:uiPriority w:val="99"/>
    <w:semiHidden/>
    <w:rsid w:val="00583A20"/>
    <w:pPr>
      <w:spacing w:after="0" w:line="240" w:lineRule="auto"/>
    </w:pPr>
  </w:style>
  <w:style w:type="paragraph" w:styleId="BalloonText">
    <w:name w:val="Balloon Text"/>
    <w:basedOn w:val="Normal"/>
    <w:link w:val="BalloonTextChar"/>
    <w:uiPriority w:val="99"/>
    <w:semiHidden/>
    <w:unhideWhenUsed/>
    <w:rsid w:val="00E014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14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7</Pages>
  <Words>1515</Words>
  <Characters>8639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Kristell Hergoualc'h</dc:creator>
  <cp:keywords/>
  <dc:description/>
  <cp:lastModifiedBy>Sumathi N.</cp:lastModifiedBy>
  <cp:revision>15</cp:revision>
  <dcterms:created xsi:type="dcterms:W3CDTF">2023-03-31T14:51:00Z</dcterms:created>
  <dcterms:modified xsi:type="dcterms:W3CDTF">2023-07-22T01:12:00Z</dcterms:modified>
</cp:coreProperties>
</file>