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5DB" w14:textId="77777777" w:rsidR="005D0581" w:rsidRPr="00561B58" w:rsidRDefault="005D0581" w:rsidP="005D0581">
      <w:pPr>
        <w:spacing w:line="360" w:lineRule="auto"/>
        <w:ind w:left="566" w:right="-560" w:hanging="56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t>Supplementary material</w:t>
      </w:r>
    </w:p>
    <w:p w14:paraId="7A0B5D6A" w14:textId="77777777" w:rsidR="005D0581" w:rsidRPr="00561B58" w:rsidRDefault="005D0581" w:rsidP="005D0581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1B5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0FB679C9" wp14:editId="666ADF65">
            <wp:extent cx="4270354" cy="8429308"/>
            <wp:effectExtent l="0" t="0" r="0" b="0"/>
            <wp:docPr id="2035237336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0354" cy="84293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0BA7D1" w14:textId="77777777" w:rsidR="005D0581" w:rsidRPr="00561B58" w:rsidRDefault="005D0581" w:rsidP="005D0581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Figure S1. 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Examples of cytograms obtained by flow cytometry illustrating microbial population identification. </w:t>
      </w: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t xml:space="preserve">(a) 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>Picoeukaryotes (</w:t>
      </w:r>
      <w:proofErr w:type="spellStart"/>
      <w:r w:rsidRPr="00561B58">
        <w:rPr>
          <w:rFonts w:ascii="Times New Roman" w:eastAsia="Times New Roman" w:hAnsi="Times New Roman" w:cs="Times New Roman"/>
          <w:sz w:val="24"/>
          <w:szCs w:val="24"/>
        </w:rPr>
        <w:t>Peuk</w:t>
      </w:r>
      <w:proofErr w:type="spellEnd"/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Pr="00561B58">
        <w:rPr>
          <w:rFonts w:ascii="Times New Roman" w:eastAsia="Times New Roman" w:hAnsi="Times New Roman" w:cs="Times New Roman"/>
          <w:i/>
          <w:sz w:val="24"/>
          <w:szCs w:val="24"/>
        </w:rPr>
        <w:t>Synechococcus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 (Syne) and beads distinguished by red fluorescence vs 90° light scatter (a surrogate of cell size); </w:t>
      </w: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t>(b)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 Gated view of picoeukaryotes and </w:t>
      </w:r>
      <w:r w:rsidRPr="00561B58">
        <w:rPr>
          <w:rFonts w:ascii="Times New Roman" w:eastAsia="Times New Roman" w:hAnsi="Times New Roman" w:cs="Times New Roman"/>
          <w:i/>
          <w:sz w:val="24"/>
          <w:szCs w:val="24"/>
        </w:rPr>
        <w:t>Synechococcus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 in red vs. orange fluorescence for further characterization. </w:t>
      </w: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t>(c)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 Picoeukaryotes, nanoeukaryotes (Neuk) and beads distinguished by red fluorescence vs 90° light scatter; </w:t>
      </w: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t>(d)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 Gated view of picoeukaryotes and nanoeukaryotes in red vs. orange fluorescence for further characterization. </w:t>
      </w: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t>(e)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 Heterotrophic bacteria (HB) and beads distinguished by green fluorescence vs. 90° side scatter. </w:t>
      </w: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t>(f)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 Gated view of heterotrophic bacteria in red vs. green fluorescence. </w:t>
      </w: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t>(g)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 Virus groups categorized by low (L-VLP), medium (M-VLP), and high (H-VLP) nucleic acid fluorescence, distinguished by their green fluorescence; </w:t>
      </w: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t>(h)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 Corresponding virus blank.</w:t>
      </w:r>
    </w:p>
    <w:p w14:paraId="5731BD96" w14:textId="77777777" w:rsidR="005D0581" w:rsidRPr="00561B58" w:rsidRDefault="005D0581" w:rsidP="005D0581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1B5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2D091B8E" wp14:editId="5172E5B6">
            <wp:extent cx="5310195" cy="4038600"/>
            <wp:effectExtent l="0" t="0" r="0" b="0"/>
            <wp:docPr id="2035237334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0195" cy="403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431A55" w14:textId="77777777" w:rsidR="005D0581" w:rsidRPr="00561B58" w:rsidRDefault="005D0581" w:rsidP="005D0581">
      <w:pPr>
        <w:ind w:right="-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t xml:space="preserve">Figure S2: 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>Non-metric multidimensional scaling (NMDS) plot using biological and environmental data. Vectors represent the direction and strength of correlation between environmental variables and NMDS coordinates. Data points are color-coded according to depth categories (S: surface, ML: mixed layer, BML: below mixed layer, B: bottom), and shape-coded by region (Shelf, Slope, and Offshore).</w:t>
      </w:r>
    </w:p>
    <w:p w14:paraId="6B55E580" w14:textId="77777777" w:rsidR="005D0581" w:rsidRPr="00561B58" w:rsidRDefault="005D0581" w:rsidP="005D0581">
      <w:pPr>
        <w:ind w:right="-5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52494C" w14:textId="77777777" w:rsidR="005D0581" w:rsidRDefault="005D0581" w:rsidP="005D0581">
      <w:pPr>
        <w:ind w:right="-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S1: 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>Non-metric multidimensional scaling (NMDS) results using biological and environmental data. The significance of correlation is indicated by the R</w:t>
      </w:r>
      <w:r w:rsidRPr="00561B5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 value and significance levels (* p &lt; 0.05, ** p &lt; 0.01, *** p &lt; 0.001).</w:t>
      </w:r>
    </w:p>
    <w:p w14:paraId="44D2D4BB" w14:textId="77777777" w:rsidR="005D0581" w:rsidRPr="00561B58" w:rsidRDefault="005D0581" w:rsidP="005D0581">
      <w:pPr>
        <w:ind w:right="-5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topFromText="180" w:bottomFromText="180" w:vertAnchor="text"/>
        <w:tblW w:w="54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55"/>
        <w:gridCol w:w="1335"/>
        <w:gridCol w:w="1335"/>
        <w:gridCol w:w="1335"/>
      </w:tblGrid>
      <w:tr w:rsidR="005D0581" w:rsidRPr="00561B58" w14:paraId="39E832A4" w14:textId="77777777" w:rsidTr="0037412C">
        <w:trPr>
          <w:trHeight w:val="345"/>
        </w:trPr>
        <w:tc>
          <w:tcPr>
            <w:tcW w:w="145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37E7E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C80D7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  <w:r w:rsidRPr="00561B58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BA515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CE999F" w14:textId="77777777" w:rsidR="005D0581" w:rsidRPr="00561B58" w:rsidRDefault="005D0581" w:rsidP="003741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581" w:rsidRPr="00561B58" w14:paraId="2BE10A81" w14:textId="77777777" w:rsidTr="0037412C">
        <w:trPr>
          <w:trHeight w:val="300"/>
        </w:trPr>
        <w:tc>
          <w:tcPr>
            <w:tcW w:w="145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EB9B2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MLD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AC6F1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0.1676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2E1D6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0.136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2B72D4" w14:textId="77777777" w:rsidR="005D0581" w:rsidRPr="00561B58" w:rsidRDefault="005D0581" w:rsidP="003741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581" w:rsidRPr="00561B58" w14:paraId="061C2596" w14:textId="77777777" w:rsidTr="0037412C">
        <w:trPr>
          <w:trHeight w:val="360"/>
        </w:trPr>
        <w:tc>
          <w:tcPr>
            <w:tcW w:w="145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5CC86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Chl-a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80496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0.0588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8D646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0.474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52087B" w14:textId="77777777" w:rsidR="005D0581" w:rsidRPr="00561B58" w:rsidRDefault="005D0581" w:rsidP="003741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581" w:rsidRPr="00561B58" w14:paraId="7190ECEE" w14:textId="77777777" w:rsidTr="0037412C">
        <w:trPr>
          <w:trHeight w:val="300"/>
        </w:trPr>
        <w:tc>
          <w:tcPr>
            <w:tcW w:w="145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DAA93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Temperature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9B300C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0.8901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8F209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E30DB1" w14:textId="77777777" w:rsidR="005D0581" w:rsidRPr="00561B58" w:rsidRDefault="005D0581" w:rsidP="003741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5D0581" w:rsidRPr="00561B58" w14:paraId="6DF63846" w14:textId="77777777" w:rsidTr="0037412C">
        <w:trPr>
          <w:trHeight w:val="300"/>
        </w:trPr>
        <w:tc>
          <w:tcPr>
            <w:tcW w:w="145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DE580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Salinity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E4D2A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0.5261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7201AC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B6F589" w14:textId="77777777" w:rsidR="005D0581" w:rsidRPr="00561B58" w:rsidRDefault="005D0581" w:rsidP="003741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5D0581" w:rsidRPr="00561B58" w14:paraId="7682757D" w14:textId="77777777" w:rsidTr="0037412C">
        <w:trPr>
          <w:trHeight w:val="300"/>
        </w:trPr>
        <w:tc>
          <w:tcPr>
            <w:tcW w:w="145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D9B56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FI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11713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0.0706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30E5F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0.446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F2AA78" w14:textId="77777777" w:rsidR="005D0581" w:rsidRPr="00561B58" w:rsidRDefault="005D0581" w:rsidP="003741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581" w:rsidRPr="00561B58" w14:paraId="7E419659" w14:textId="77777777" w:rsidTr="0037412C">
        <w:trPr>
          <w:trHeight w:val="300"/>
        </w:trPr>
        <w:tc>
          <w:tcPr>
            <w:tcW w:w="145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E2299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HIX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6205A1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0.6445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7EDCC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E8E90E" w14:textId="77777777" w:rsidR="005D0581" w:rsidRPr="00561B58" w:rsidRDefault="005D0581" w:rsidP="003741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5D0581" w:rsidRPr="00561B58" w14:paraId="6EA67A94" w14:textId="77777777" w:rsidTr="0037412C">
        <w:trPr>
          <w:trHeight w:val="300"/>
        </w:trPr>
        <w:tc>
          <w:tcPr>
            <w:tcW w:w="145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31D37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BIX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8B1F5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0.0479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3DA6D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0.631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367154" w14:textId="77777777" w:rsidR="005D0581" w:rsidRPr="00561B58" w:rsidRDefault="005D0581" w:rsidP="003741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581" w:rsidRPr="00561B58" w14:paraId="6CEB7AEA" w14:textId="77777777" w:rsidTr="0037412C">
        <w:trPr>
          <w:trHeight w:val="300"/>
        </w:trPr>
        <w:tc>
          <w:tcPr>
            <w:tcW w:w="145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B9828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PO</w:t>
            </w: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3-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D0DA71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0.5898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590EBF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978C3A" w14:textId="77777777" w:rsidR="005D0581" w:rsidRPr="00561B58" w:rsidRDefault="005D0581" w:rsidP="003741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5D0581" w:rsidRPr="00561B58" w14:paraId="342F6EEF" w14:textId="77777777" w:rsidTr="0037412C">
        <w:trPr>
          <w:trHeight w:val="300"/>
        </w:trPr>
        <w:tc>
          <w:tcPr>
            <w:tcW w:w="145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D747C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DIN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E9CFB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0.4607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D1CC2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921B55" w14:textId="77777777" w:rsidR="005D0581" w:rsidRPr="00561B58" w:rsidRDefault="005D0581" w:rsidP="003741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5D0581" w:rsidRPr="00561B58" w14:paraId="202265FE" w14:textId="77777777" w:rsidTr="0037412C">
        <w:trPr>
          <w:trHeight w:val="300"/>
        </w:trPr>
        <w:tc>
          <w:tcPr>
            <w:tcW w:w="145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BFA59C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SiD</w:t>
            </w:r>
            <w:proofErr w:type="spellEnd"/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4122E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0.355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E4812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3ADC4D" w14:textId="77777777" w:rsidR="005D0581" w:rsidRPr="00561B58" w:rsidRDefault="005D0581" w:rsidP="003741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D0581" w:rsidRPr="00561B58" w14:paraId="155A0BE1" w14:textId="77777777" w:rsidTr="0037412C">
        <w:trPr>
          <w:trHeight w:val="300"/>
        </w:trPr>
        <w:tc>
          <w:tcPr>
            <w:tcW w:w="1455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AF89F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Latitude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4C36D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0.1873</w:t>
            </w:r>
          </w:p>
        </w:tc>
        <w:tc>
          <w:tcPr>
            <w:tcW w:w="1335" w:type="dxa"/>
            <w:tcBorders>
              <w:top w:val="single" w:sz="5" w:space="0" w:color="000000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E006AF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0.142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6D2CBC" w14:textId="77777777" w:rsidR="005D0581" w:rsidRPr="00561B58" w:rsidRDefault="005D0581" w:rsidP="0037412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A867993" w14:textId="77777777" w:rsidR="005D0581" w:rsidRPr="00561B58" w:rsidRDefault="005D0581" w:rsidP="005D0581">
      <w:pPr>
        <w:ind w:right="-5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F2D724" w14:textId="77777777" w:rsidR="005D0581" w:rsidRPr="00561B58" w:rsidRDefault="005D0581" w:rsidP="005D0581">
      <w:pPr>
        <w:ind w:right="-5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3458A5" w14:textId="77777777" w:rsidR="005D0581" w:rsidRPr="00561B58" w:rsidRDefault="005D0581" w:rsidP="005D0581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B58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3FE349C3" wp14:editId="0D91A518">
            <wp:extent cx="4506278" cy="2998306"/>
            <wp:effectExtent l="0" t="0" r="0" b="0"/>
            <wp:docPr id="203523734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6278" cy="29983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39803E" w14:textId="77777777" w:rsidR="005D0581" w:rsidRPr="00561B58" w:rsidRDefault="005D0581" w:rsidP="005D0581">
      <w:pPr>
        <w:ind w:right="-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t xml:space="preserve">Figure S3: 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>Natural variability for Shelf and Slope regions. Coefficient of variation (CV) for both biotic and abiotic variables, was estimated using surface and mixed layer depths.</w:t>
      </w:r>
    </w:p>
    <w:p w14:paraId="55F99D3E" w14:textId="77777777" w:rsidR="005D0581" w:rsidRPr="00561B58" w:rsidRDefault="005D0581" w:rsidP="005D0581">
      <w:pPr>
        <w:ind w:right="-56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41241BE" w14:textId="77777777" w:rsidR="005D0581" w:rsidRPr="00561B58" w:rsidRDefault="005D0581" w:rsidP="005D0581">
      <w:pPr>
        <w:ind w:right="-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t>Table S</w:t>
      </w:r>
      <w:proofErr w:type="gramStart"/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t>2: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>Values</w:t>
      </w:r>
      <w:proofErr w:type="gramEnd"/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 of the fluorescent components (FDOM</w:t>
      </w:r>
      <w:r w:rsidRPr="00561B58">
        <w:rPr>
          <w:rFonts w:ascii="Times New Roman" w:eastAsia="Times New Roman" w:hAnsi="Times New Roman" w:cs="Times New Roman"/>
          <w:sz w:val="24"/>
          <w:szCs w:val="24"/>
          <w:vertAlign w:val="subscript"/>
        </w:rPr>
        <w:t>B, T, A, M &amp; C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 and CDOM) in </w:t>
      </w:r>
      <w:proofErr w:type="spellStart"/>
      <w:r w:rsidRPr="00561B58">
        <w:rPr>
          <w:rFonts w:ascii="Times New Roman" w:eastAsia="Times New Roman" w:hAnsi="Times New Roman" w:cs="Times New Roman"/>
          <w:sz w:val="24"/>
          <w:szCs w:val="24"/>
        </w:rPr>
        <w:t>raman</w:t>
      </w:r>
      <w:proofErr w:type="spellEnd"/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 units (RU) and different indices proposed by Coble (1996) for the different stations and depths. St: Station; BIX: biological activity index; FI: fluorescence index; HIX: humification index; NA: data not available.</w:t>
      </w:r>
    </w:p>
    <w:p w14:paraId="2B70F748" w14:textId="77777777" w:rsidR="005D0581" w:rsidRPr="00561B58" w:rsidRDefault="005D0581" w:rsidP="005D0581">
      <w:pPr>
        <w:ind w:right="-56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1B58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114300" distB="114300" distL="114300" distR="114300" wp14:anchorId="277748BC" wp14:editId="262E24EC">
            <wp:extent cx="5310195" cy="5943600"/>
            <wp:effectExtent l="0" t="0" r="0" b="0"/>
            <wp:docPr id="2035237332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0195" cy="594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CB5628" w14:textId="77777777" w:rsidR="005D0581" w:rsidRPr="00561B58" w:rsidRDefault="005D0581" w:rsidP="005D0581">
      <w:pPr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61B58">
        <w:rPr>
          <w:rFonts w:ascii="Times New Roman" w:eastAsia="Times New Roman" w:hAnsi="Times New Roman" w:cs="Times New Roman"/>
          <w:i/>
          <w:noProof/>
          <w:sz w:val="24"/>
          <w:szCs w:val="24"/>
        </w:rPr>
        <w:lastRenderedPageBreak/>
        <w:drawing>
          <wp:inline distT="114300" distB="114300" distL="114300" distR="114300" wp14:anchorId="534B364B" wp14:editId="076EBCCE">
            <wp:extent cx="3061358" cy="9220518"/>
            <wp:effectExtent l="0" t="0" r="0" b="0"/>
            <wp:docPr id="203523732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1358" cy="92205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B0F944" w14:textId="29371688" w:rsidR="0089710C" w:rsidRDefault="005D0581" w:rsidP="005D0581">
      <w:pPr>
        <w:ind w:right="-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Figure S4: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 Cumulative bar graphs of the abundance of (a) picoeukaryotes, nanoeukaryotes, and </w:t>
      </w:r>
      <w:r w:rsidRPr="00561B58">
        <w:rPr>
          <w:rFonts w:ascii="Times New Roman" w:eastAsia="Times New Roman" w:hAnsi="Times New Roman" w:cs="Times New Roman"/>
          <w:i/>
          <w:sz w:val="24"/>
          <w:szCs w:val="24"/>
        </w:rPr>
        <w:t>Synechococcus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 (cells ml⁻¹); (b) Virus Like Particles (VLP) with low (L), medium (M), and high (H) nucleic acid fluorescence (VLP ml⁻¹); (c) Heterotrophic Bacteria (HB, cells ml⁻¹)</w:t>
      </w:r>
      <w:r w:rsidR="0089710C">
        <w:rPr>
          <w:rFonts w:ascii="Times New Roman" w:eastAsia="Times New Roman" w:hAnsi="Times New Roman" w:cs="Times New Roman"/>
          <w:sz w:val="24"/>
          <w:szCs w:val="24"/>
        </w:rPr>
        <w:t>;</w:t>
      </w:r>
      <w:r w:rsidR="0089710C" w:rsidRPr="00897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710C">
        <w:rPr>
          <w:rFonts w:ascii="Times New Roman" w:eastAsia="Times New Roman" w:hAnsi="Times New Roman" w:cs="Times New Roman"/>
          <w:sz w:val="24"/>
          <w:szCs w:val="24"/>
        </w:rPr>
        <w:t>*</w:t>
      </w:r>
      <w:r w:rsidR="0089710C" w:rsidRPr="00561B58">
        <w:rPr>
          <w:rFonts w:ascii="Times New Roman" w:eastAsia="Times New Roman" w:hAnsi="Times New Roman" w:cs="Times New Roman"/>
          <w:sz w:val="24"/>
          <w:szCs w:val="24"/>
        </w:rPr>
        <w:t>: data not available</w:t>
      </w:r>
      <w:r w:rsidR="0089710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B4FD92" w14:textId="657C57E3" w:rsidR="005D0581" w:rsidRPr="00561B58" w:rsidRDefault="005D0581" w:rsidP="005D0581">
      <w:pPr>
        <w:ind w:right="-5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7096FE" w14:textId="77777777" w:rsidR="005D0581" w:rsidRPr="00561B58" w:rsidRDefault="005D0581" w:rsidP="005D0581">
      <w:pPr>
        <w:ind w:right="-56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61B58">
        <w:rPr>
          <w:rFonts w:ascii="Times New Roman" w:eastAsia="Times New Roman" w:hAnsi="Times New Roman" w:cs="Times New Roman"/>
          <w:b/>
          <w:sz w:val="24"/>
          <w:szCs w:val="24"/>
        </w:rPr>
        <w:t xml:space="preserve">Table S3. 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>Summary of experimental net growth (</w:t>
      </w:r>
      <w:r w:rsidRPr="00561B58">
        <w:rPr>
          <w:rFonts w:ascii="Times New Roman" w:eastAsia="Times New Roman" w:hAnsi="Times New Roman" w:cs="Times New Roman"/>
          <w:i/>
          <w:sz w:val="24"/>
          <w:szCs w:val="24"/>
        </w:rPr>
        <w:t>μ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>, d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16"/>
          <w:id w:val="-992248850"/>
        </w:sdtPr>
        <w:sdtEndPr/>
        <w:sdtContent>
          <w:r w:rsidRPr="00561B58">
            <w:rPr>
              <w:rFonts w:ascii="Times New Roman" w:eastAsia="Gungsuh" w:hAnsi="Times New Roman" w:cs="Times New Roman"/>
              <w:sz w:val="24"/>
              <w:szCs w:val="24"/>
              <w:vertAlign w:val="superscript"/>
            </w:rPr>
            <w:t>−1</w:t>
          </w:r>
        </w:sdtContent>
      </w:sdt>
      <w:r w:rsidRPr="00561B58">
        <w:rPr>
          <w:rFonts w:ascii="Times New Roman" w:eastAsia="Times New Roman" w:hAnsi="Times New Roman" w:cs="Times New Roman"/>
          <w:sz w:val="24"/>
          <w:szCs w:val="24"/>
        </w:rPr>
        <w:t>) and mortality rates (m, d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17"/>
          <w:id w:val="-1456176238"/>
        </w:sdtPr>
        <w:sdtEndPr/>
        <w:sdtContent>
          <w:r w:rsidRPr="00561B58">
            <w:rPr>
              <w:rFonts w:ascii="Times New Roman" w:eastAsia="Gungsuh" w:hAnsi="Times New Roman" w:cs="Times New Roman"/>
              <w:sz w:val="24"/>
              <w:szCs w:val="24"/>
              <w:vertAlign w:val="superscript"/>
            </w:rPr>
            <w:t>−1</w:t>
          </w:r>
        </w:sdtContent>
      </w:sdt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) on total plankton (as derived from total Chl-a measurements) and discriminated by planktonic groups; HB: heterotrophic bacteria, Syne: </w:t>
      </w:r>
      <w:r w:rsidRPr="00561B58">
        <w:rPr>
          <w:rFonts w:ascii="Times New Roman" w:eastAsia="Times New Roman" w:hAnsi="Times New Roman" w:cs="Times New Roman"/>
          <w:i/>
          <w:sz w:val="24"/>
          <w:szCs w:val="24"/>
        </w:rPr>
        <w:t>Synechococcus</w:t>
      </w:r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61B58">
        <w:rPr>
          <w:rFonts w:ascii="Times New Roman" w:eastAsia="Times New Roman" w:hAnsi="Times New Roman" w:cs="Times New Roman"/>
          <w:sz w:val="24"/>
          <w:szCs w:val="24"/>
        </w:rPr>
        <w:t>Peuk</w:t>
      </w:r>
      <w:proofErr w:type="spellEnd"/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: picoeukaryotes, Neuk: nanoeukaryotes. Bacterial carbon production (BCP, µg C l⁻¹ d⁻¹) was derived from bacterial growth and mortality rates and the initial bacterial biomass. The daily proportion of specific </w:t>
      </w:r>
      <w:proofErr w:type="spellStart"/>
      <w:r w:rsidRPr="00561B58">
        <w:rPr>
          <w:rFonts w:ascii="Times New Roman" w:eastAsia="Times New Roman" w:hAnsi="Times New Roman" w:cs="Times New Roman"/>
          <w:sz w:val="24"/>
          <w:szCs w:val="24"/>
        </w:rPr>
        <w:t>pico</w:t>
      </w:r>
      <w:proofErr w:type="spellEnd"/>
      <w:r w:rsidRPr="00561B58">
        <w:rPr>
          <w:rFonts w:ascii="Times New Roman" w:eastAsia="Times New Roman" w:hAnsi="Times New Roman" w:cs="Times New Roman"/>
          <w:sz w:val="24"/>
          <w:szCs w:val="24"/>
        </w:rPr>
        <w:t xml:space="preserve">/nanoeukaryotes group production consumed by microzooplankton is shown as the transformed (arctangent) value of </w:t>
      </w:r>
      <w:proofErr w:type="gramStart"/>
      <w:r w:rsidRPr="00561B58">
        <w:rPr>
          <w:rFonts w:ascii="Times New Roman" w:eastAsia="Times New Roman" w:hAnsi="Times New Roman" w:cs="Times New Roman"/>
          <w:sz w:val="24"/>
          <w:szCs w:val="24"/>
        </w:rPr>
        <w:t>m:</w:t>
      </w:r>
      <w:r w:rsidRPr="00561B58">
        <w:rPr>
          <w:rFonts w:ascii="Times New Roman" w:eastAsia="Times New Roman" w:hAnsi="Times New Roman" w:cs="Times New Roman"/>
          <w:i/>
          <w:sz w:val="24"/>
          <w:szCs w:val="24"/>
        </w:rPr>
        <w:t>μ.</w:t>
      </w:r>
      <w:proofErr w:type="gramEnd"/>
    </w:p>
    <w:p w14:paraId="3A5D56A8" w14:textId="77777777" w:rsidR="005D0581" w:rsidRPr="00561B58" w:rsidRDefault="005D0581" w:rsidP="005D0581">
      <w:pPr>
        <w:ind w:right="-56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6371" w:type="dxa"/>
        <w:jc w:val="center"/>
        <w:tblLayout w:type="fixed"/>
        <w:tblLook w:val="0400" w:firstRow="0" w:lastRow="0" w:firstColumn="0" w:lastColumn="0" w:noHBand="0" w:noVBand="1"/>
      </w:tblPr>
      <w:tblGrid>
        <w:gridCol w:w="1207"/>
        <w:gridCol w:w="807"/>
        <w:gridCol w:w="685"/>
        <w:gridCol w:w="590"/>
        <w:gridCol w:w="590"/>
        <w:gridCol w:w="1246"/>
        <w:gridCol w:w="1246"/>
      </w:tblGrid>
      <w:tr w:rsidR="005D0581" w:rsidRPr="00561B58" w14:paraId="01CA6724" w14:textId="77777777" w:rsidTr="0037412C">
        <w:trPr>
          <w:trHeight w:val="567"/>
          <w:tblHeader/>
          <w:jc w:val="center"/>
        </w:trPr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9D2305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F95541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Station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EC8ECE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35F47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Cambria Math" w:eastAsia="Times New Roman" w:hAnsi="Cambria Math" w:cs="Cambria Math"/>
                <w:sz w:val="24"/>
                <w:szCs w:val="24"/>
              </w:rPr>
              <w:t>𝜇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F09E8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EFE48F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BCP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4297E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Arctan (</w:t>
            </w:r>
            <w:proofErr w:type="spellStart"/>
            <w:proofErr w:type="gramStart"/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m:μ</w:t>
            </w:r>
            <w:proofErr w:type="spellEnd"/>
            <w:proofErr w:type="gramEnd"/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D0581" w:rsidRPr="00561B58" w14:paraId="2B2B4F9C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E38AF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Shelf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57437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C3B78C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HB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6539B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651D9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2D158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9FB68F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600B642D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99EE5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592AD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CD4C8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Syne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FDA96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582CB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B7EB41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C8EBD0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1.29</w:t>
            </w:r>
          </w:p>
        </w:tc>
      </w:tr>
      <w:tr w:rsidR="005D0581" w:rsidRPr="00561B58" w14:paraId="77EA89B2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0EF57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C2F1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D6B901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Peuk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8431A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72C3A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C845E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F0BF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54F36C83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B16DB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CC0A6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91A4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Neuk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189A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7ABB8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957F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2FF5BF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1.17</w:t>
            </w:r>
          </w:p>
        </w:tc>
      </w:tr>
      <w:tr w:rsidR="005D0581" w:rsidRPr="00561B58" w14:paraId="640D4DE5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96CC6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92CA46C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0AC99A0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Chl-a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88E798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CD8E0D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735BBA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36C7D3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1.38</w:t>
            </w:r>
          </w:p>
        </w:tc>
      </w:tr>
      <w:tr w:rsidR="005D0581" w:rsidRPr="00561B58" w14:paraId="279C5AF7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7247F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0DA80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B4AD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HB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4250D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239620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4343E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20.71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9105E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1E58574F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5A8CB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D56AA1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858A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Syne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1E31BF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674ADF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B028B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1727A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0337D968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A22E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BAC4E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208D7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Peuk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E0B76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E8865F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77947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87B50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060B531B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9C2FC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E23D6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EA1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Neuk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772AA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AB695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F5C67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CB871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72159D39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7FF80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75B918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EEB495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Chl-a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369E30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0375B8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6BE6DA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281A14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0.93</w:t>
            </w:r>
          </w:p>
        </w:tc>
      </w:tr>
      <w:tr w:rsidR="005D0581" w:rsidRPr="00561B58" w14:paraId="2910631C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3D91F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1566C1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13D28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HB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806BC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B33F8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99228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CE012F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08E930B0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B6E68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B70CE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76F2E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Syne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52555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A11CB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D742B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28379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56D73D91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FD9671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816A5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D90D5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Peuk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E1302C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01EDF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12D85F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03A4D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0376FED6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61DAE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170FE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CAF2A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Neuk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CBDEA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29EC1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53CB8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B406D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1660BDB7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1B08F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333F8E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BE04B1F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Chl-a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6AECD9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B12C27F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9BC606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ACAEFD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1.24</w:t>
            </w:r>
          </w:p>
        </w:tc>
      </w:tr>
      <w:tr w:rsidR="005D0581" w:rsidRPr="00561B58" w14:paraId="668AA98A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5AD37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E9E91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C61EEF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HB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9D6CD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659940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B5039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58964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6A21833F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96FB5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35C54C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DEDC8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Syne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BF4B3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B52F7C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EB6BD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95992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1.51</w:t>
            </w:r>
          </w:p>
        </w:tc>
      </w:tr>
      <w:tr w:rsidR="005D0581" w:rsidRPr="00561B58" w14:paraId="3255D223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B5016C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4578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9F11A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Peuk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757A0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D64AA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FA13A0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CFB4B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</w:tr>
      <w:tr w:rsidR="005D0581" w:rsidRPr="00561B58" w14:paraId="6228FBD2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B5EE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23D99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F7FB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Neuk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B3BE71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9DAD8C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17AC0C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30408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536EE2EF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95193B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99C809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3FDE1A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Chl-a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DC73B8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F43A52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1238D6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BF57AA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0.73</w:t>
            </w:r>
          </w:p>
        </w:tc>
      </w:tr>
      <w:tr w:rsidR="005D0581" w:rsidRPr="00561B58" w14:paraId="7567EAE3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04C03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Slope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4FE710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010C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HB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7166F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87A0B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D72E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9E13BC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56C3BC31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AAED4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5D2BA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FCF3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Syne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9CC05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8C1AF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F2EFD1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E6D69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15845568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17938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83287C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B50EB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Peuk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024B0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04855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7C068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12BA5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7818E2D4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CD458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1489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7A04E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Neuk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1AA8B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C696E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97AE0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D00E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7BD6A522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C2DD5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7B25C6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08F906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Chl-a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EA3364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666157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553322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3B6EE0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4DE9C046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8A0FB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8913B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C6AE5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HB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1B55D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B8D3E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A6F53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286.32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19980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0.57</w:t>
            </w:r>
          </w:p>
        </w:tc>
      </w:tr>
      <w:tr w:rsidR="005D0581" w:rsidRPr="00561B58" w14:paraId="5BE25FA8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8209B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BB469C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90B10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Syne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E52C8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E9BA4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9B955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BD5E9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1C9BAFA3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7C8E9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77198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B7F1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Peuk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6E1B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E9701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A3D3B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DB87F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29FD794A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DCF5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F80F40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6DF180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Neuk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D6A10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C681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629020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3FFDE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7FE05C68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22DFF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0F665D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7ADA69F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Chl-a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BDE007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EC4EC3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3A6ADA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C61D2C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63CD49FF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45F77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34846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81EE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HB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56B30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1.59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1ED9F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9D1BC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24.08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3F272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0.44</w:t>
            </w:r>
          </w:p>
        </w:tc>
      </w:tr>
      <w:tr w:rsidR="005D0581" w:rsidRPr="00561B58" w14:paraId="6EF29B6A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9CA53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7ADFD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E9D8B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Syne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2B41A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5.57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81F8A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2D3B5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4A718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4A5A2217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41320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8645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9E7A4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Peuk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C5EEB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6435DA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72D5B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7CDDE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0BF4B9D1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DA9C2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A56F2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A686C9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Neuk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8D8F6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C3601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4983D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534E6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531FFE64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89311C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82DE321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36F284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Chl-a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A69FE7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F541C0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8C441F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C23592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0.71</w:t>
            </w:r>
          </w:p>
        </w:tc>
      </w:tr>
      <w:tr w:rsidR="005D0581" w:rsidRPr="00561B58" w14:paraId="7DB0794C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6F184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2F60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A4E75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HB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4B15F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6BB7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5.65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A36F9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1.75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FC009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1.41</w:t>
            </w:r>
          </w:p>
        </w:tc>
      </w:tr>
      <w:tr w:rsidR="005D0581" w:rsidRPr="00561B58" w14:paraId="6847964C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2A58E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A0D51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1C422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Syne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22A7B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89C1C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DB80AD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E44C1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71EEDAD7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5DC531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62ABA3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5F66F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Peuk</w:t>
            </w:r>
            <w:proofErr w:type="spellEnd"/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FD773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D2FA8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E2EC4F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905A8E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7AEE9505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4E6177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FDF9B5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6168C0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Neuk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FC58F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EE56C0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2B4C1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5D220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0581" w:rsidRPr="00561B58" w14:paraId="3212C694" w14:textId="77777777" w:rsidTr="0037412C">
        <w:trPr>
          <w:trHeight w:val="300"/>
          <w:jc w:val="center"/>
        </w:trPr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D7C90B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A4877F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92E6DA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Chl-a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531B1B4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E7B20E8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14AA27F2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ECB2336" w14:textId="77777777" w:rsidR="005D0581" w:rsidRPr="00561B58" w:rsidRDefault="005D0581" w:rsidP="003741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B58">
              <w:rPr>
                <w:rFonts w:ascii="Times New Roman" w:eastAsia="Times New Roman" w:hAnsi="Times New Roman" w:cs="Times New Roman"/>
                <w:sz w:val="24"/>
                <w:szCs w:val="24"/>
              </w:rPr>
              <w:t>0.62</w:t>
            </w:r>
          </w:p>
        </w:tc>
      </w:tr>
    </w:tbl>
    <w:p w14:paraId="304B91A7" w14:textId="77777777" w:rsidR="005B1808" w:rsidRDefault="005B1808"/>
    <w:sectPr w:rsidR="005B1808" w:rsidSect="005D0581">
      <w:headerReference w:type="default" r:id="rId11"/>
      <w:footerReference w:type="default" r:id="rId12"/>
      <w:pgSz w:w="11906" w:h="16838"/>
      <w:pgMar w:top="1418" w:right="1701" w:bottom="1418" w:left="1842" w:header="709" w:footer="709" w:gutter="0"/>
      <w:lnNumType w:countBy="1" w:restart="continuous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4AED9A" w14:textId="77777777" w:rsidR="0089710C" w:rsidRDefault="0089710C">
      <w:pPr>
        <w:spacing w:line="240" w:lineRule="auto"/>
      </w:pPr>
      <w:r>
        <w:separator/>
      </w:r>
    </w:p>
  </w:endnote>
  <w:endnote w:type="continuationSeparator" w:id="0">
    <w:p w14:paraId="70E1B68E" w14:textId="77777777" w:rsidR="0089710C" w:rsidRDefault="008971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639EB" w14:textId="77777777" w:rsidR="005D0581" w:rsidRDefault="005D0581">
    <w:pPr>
      <w:rPr>
        <w:rFonts w:ascii="Times New Roman" w:eastAsia="Times New Roman" w:hAnsi="Times New Roman" w:cs="Times New Roman"/>
        <w:i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C948A4" w14:textId="77777777" w:rsidR="0089710C" w:rsidRDefault="0089710C">
      <w:pPr>
        <w:spacing w:line="240" w:lineRule="auto"/>
      </w:pPr>
      <w:r>
        <w:separator/>
      </w:r>
    </w:p>
  </w:footnote>
  <w:footnote w:type="continuationSeparator" w:id="0">
    <w:p w14:paraId="0E38BF60" w14:textId="77777777" w:rsidR="0089710C" w:rsidRDefault="008971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4DF158" w14:textId="77777777" w:rsidR="005D0581" w:rsidRDefault="005D0581">
    <w:pPr>
      <w:rPr>
        <w:rFonts w:ascii="Times New Roman" w:eastAsia="Times New Roman" w:hAnsi="Times New Roman" w:cs="Times New Roman"/>
        <w:i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581"/>
    <w:rsid w:val="000F6C45"/>
    <w:rsid w:val="005B1808"/>
    <w:rsid w:val="005D0581"/>
    <w:rsid w:val="00643CCE"/>
    <w:rsid w:val="0089710C"/>
    <w:rsid w:val="0096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93EF3F"/>
  <w15:chartTrackingRefBased/>
  <w15:docId w15:val="{68D0AF0B-317D-41F5-9649-50F421B62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581"/>
    <w:pPr>
      <w:spacing w:after="0" w:line="276" w:lineRule="auto"/>
    </w:pPr>
    <w:rPr>
      <w:rFonts w:ascii="Arial" w:eastAsia="Arial" w:hAnsi="Arial" w:cs="Arial"/>
      <w:kern w:val="0"/>
      <w:lang w:val="en-GB" w:eastAsia="es-AR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lnea">
    <w:name w:val="line number"/>
    <w:basedOn w:val="Fuentedeprrafopredeter"/>
    <w:uiPriority w:val="99"/>
    <w:semiHidden/>
    <w:unhideWhenUsed/>
    <w:rsid w:val="005D0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619</Words>
  <Characters>3407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Azul Gilabert</dc:creator>
  <cp:keywords/>
  <dc:description/>
  <cp:lastModifiedBy>Azul Gilabert</cp:lastModifiedBy>
  <cp:revision>3</cp:revision>
  <dcterms:created xsi:type="dcterms:W3CDTF">2024-10-31T12:26:00Z</dcterms:created>
  <dcterms:modified xsi:type="dcterms:W3CDTF">2024-10-31T13:27:00Z</dcterms:modified>
</cp:coreProperties>
</file>