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5867C" w14:textId="77777777" w:rsidR="00D56292" w:rsidRPr="00685ECA" w:rsidRDefault="00D56292" w:rsidP="00D56292">
      <w:pPr>
        <w:shd w:val="clear" w:color="auto" w:fill="FFFFFF" w:themeFill="background1"/>
        <w:spacing w:after="135" w:line="480" w:lineRule="auto"/>
        <w:jc w:val="both"/>
        <w:outlineLvl w:val="0"/>
        <w:rPr>
          <w:rFonts w:asciiTheme="majorBidi" w:eastAsia="Times New Roman" w:hAnsiTheme="majorBidi" w:cstheme="majorBidi"/>
          <w:b/>
          <w:bCs/>
          <w:kern w:val="36"/>
          <w:sz w:val="33"/>
          <w:szCs w:val="33"/>
        </w:rPr>
      </w:pPr>
      <w:r w:rsidRPr="00685ECA">
        <w:rPr>
          <w:rFonts w:asciiTheme="majorBidi" w:eastAsia="Times New Roman" w:hAnsiTheme="majorBidi" w:cstheme="majorBidi"/>
          <w:b/>
          <w:bCs/>
          <w:kern w:val="36"/>
          <w:sz w:val="33"/>
          <w:szCs w:val="33"/>
        </w:rPr>
        <w:t xml:space="preserve">Do coastal salt mudflats (sabkhas) contribute to the blue carbon sequestration? </w:t>
      </w:r>
    </w:p>
    <w:p w14:paraId="7C250F3F" w14:textId="6CCD8D3C" w:rsidR="00D56292" w:rsidRPr="00685ECA" w:rsidRDefault="00D56292" w:rsidP="00D56292">
      <w:pPr>
        <w:spacing w:line="480" w:lineRule="auto"/>
        <w:jc w:val="both"/>
        <w:rPr>
          <w:rFonts w:asciiTheme="majorBidi" w:hAnsiTheme="majorBidi" w:cstheme="majorBidi"/>
        </w:rPr>
      </w:pPr>
      <w:proofErr w:type="spellStart"/>
      <w:r w:rsidRPr="00685ECA">
        <w:rPr>
          <w:rFonts w:asciiTheme="majorBidi" w:hAnsiTheme="majorBidi" w:cstheme="majorBidi"/>
        </w:rPr>
        <w:t>Hadil</w:t>
      </w:r>
      <w:proofErr w:type="spellEnd"/>
      <w:r w:rsidRPr="00685ECA">
        <w:rPr>
          <w:rFonts w:asciiTheme="majorBidi" w:hAnsiTheme="majorBidi" w:cstheme="majorBidi"/>
        </w:rPr>
        <w:t xml:space="preserve"> Elsayed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 xml:space="preserve">, </w:t>
      </w:r>
      <w:proofErr w:type="spellStart"/>
      <w:r w:rsidRPr="00685ECA">
        <w:rPr>
          <w:rFonts w:asciiTheme="majorBidi" w:hAnsiTheme="majorBidi" w:cstheme="majorBidi"/>
        </w:rPr>
        <w:t>Zulfa</w:t>
      </w:r>
      <w:proofErr w:type="spellEnd"/>
      <w:r w:rsidRPr="00685ECA">
        <w:rPr>
          <w:rFonts w:asciiTheme="majorBidi" w:hAnsiTheme="majorBidi" w:cstheme="majorBidi"/>
        </w:rPr>
        <w:t xml:space="preserve"> Ali Al Disi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>, Khaled Naja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>, Ivan Strakhov</w:t>
      </w:r>
      <w:r w:rsidRPr="00685ECA">
        <w:rPr>
          <w:rFonts w:asciiTheme="majorBidi" w:hAnsiTheme="majorBidi" w:cstheme="majorBidi"/>
          <w:vertAlign w:val="superscript"/>
        </w:rPr>
        <w:t>2</w:t>
      </w:r>
      <w:r w:rsidRPr="00685ECA">
        <w:rPr>
          <w:rFonts w:asciiTheme="majorBidi" w:hAnsiTheme="majorBidi" w:cstheme="majorBidi"/>
        </w:rPr>
        <w:t xml:space="preserve">, Scott </w:t>
      </w:r>
      <w:r w:rsidR="000D5662" w:rsidRPr="00685ECA">
        <w:rPr>
          <w:rFonts w:asciiTheme="majorBidi" w:hAnsiTheme="majorBidi" w:cstheme="majorBidi"/>
        </w:rPr>
        <w:t xml:space="preserve">O.C. </w:t>
      </w:r>
      <w:r w:rsidRPr="00685ECA">
        <w:rPr>
          <w:rFonts w:asciiTheme="majorBidi" w:hAnsiTheme="majorBidi" w:cstheme="majorBidi"/>
        </w:rPr>
        <w:t>Mundle</w:t>
      </w:r>
      <w:r w:rsidRPr="00685ECA">
        <w:rPr>
          <w:rFonts w:asciiTheme="majorBidi" w:hAnsiTheme="majorBidi" w:cstheme="majorBidi"/>
          <w:vertAlign w:val="superscript"/>
        </w:rPr>
        <w:t>3</w:t>
      </w:r>
      <w:r w:rsidRPr="00685ECA">
        <w:rPr>
          <w:rFonts w:asciiTheme="majorBidi" w:hAnsiTheme="majorBidi" w:cstheme="majorBidi"/>
        </w:rPr>
        <w:t>, Hamad Al Saad Al-Kuwari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>, Fadhil Sadooni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>, Zach Diloreto</w:t>
      </w:r>
      <w:r w:rsidRPr="00685ECA">
        <w:rPr>
          <w:rFonts w:asciiTheme="majorBidi" w:hAnsiTheme="majorBidi" w:cstheme="majorBidi"/>
          <w:vertAlign w:val="superscript"/>
        </w:rPr>
        <w:t>2</w:t>
      </w:r>
      <w:r w:rsidRPr="00685ECA">
        <w:rPr>
          <w:rFonts w:asciiTheme="majorBidi" w:hAnsiTheme="majorBidi" w:cstheme="majorBidi"/>
        </w:rPr>
        <w:t>, Jassim Abdulla A Al-Khayat</w:t>
      </w:r>
      <w:r w:rsidRPr="00685ECA">
        <w:rPr>
          <w:rFonts w:asciiTheme="majorBidi" w:hAnsiTheme="majorBidi" w:cstheme="majorBidi"/>
          <w:vertAlign w:val="superscript"/>
        </w:rPr>
        <w:t>1</w:t>
      </w:r>
      <w:r w:rsidRPr="00685ECA">
        <w:rPr>
          <w:rFonts w:asciiTheme="majorBidi" w:hAnsiTheme="majorBidi" w:cstheme="majorBidi"/>
        </w:rPr>
        <w:t>, Maria Dittrich</w:t>
      </w:r>
      <w:r w:rsidRPr="00685ECA">
        <w:rPr>
          <w:rFonts w:asciiTheme="majorBidi" w:hAnsiTheme="majorBidi" w:cstheme="majorBidi"/>
          <w:vertAlign w:val="superscript"/>
        </w:rPr>
        <w:t>1, 2</w:t>
      </w:r>
    </w:p>
    <w:p w14:paraId="34C6D9AD" w14:textId="77777777" w:rsidR="00D56292" w:rsidRPr="00685ECA" w:rsidRDefault="00D56292" w:rsidP="00D56292">
      <w:pPr>
        <w:spacing w:line="480" w:lineRule="auto"/>
        <w:jc w:val="both"/>
        <w:rPr>
          <w:rFonts w:asciiTheme="majorBidi" w:hAnsiTheme="majorBidi" w:cstheme="majorBidi"/>
          <w:i/>
          <w:iCs/>
          <w:lang w:val="fr-FR"/>
        </w:rPr>
      </w:pPr>
      <w:r w:rsidRPr="00685ECA">
        <w:rPr>
          <w:rFonts w:asciiTheme="majorBidi" w:hAnsiTheme="majorBidi" w:cstheme="majorBidi"/>
          <w:i/>
          <w:iCs/>
          <w:vertAlign w:val="superscript"/>
          <w:lang w:val="fr-FR"/>
        </w:rPr>
        <w:t>1</w:t>
      </w:r>
      <w:r w:rsidRPr="00685ECA">
        <w:rPr>
          <w:rFonts w:asciiTheme="majorBidi" w:hAnsiTheme="majorBidi" w:cstheme="majorBidi"/>
          <w:i/>
          <w:iCs/>
          <w:lang w:val="fr-FR"/>
        </w:rPr>
        <w:t xml:space="preserve">Environmental Science Center, Qatar </w:t>
      </w:r>
      <w:proofErr w:type="spellStart"/>
      <w:r w:rsidRPr="00685ECA">
        <w:rPr>
          <w:rFonts w:asciiTheme="majorBidi" w:hAnsiTheme="majorBidi" w:cstheme="majorBidi"/>
          <w:i/>
          <w:iCs/>
          <w:lang w:val="fr-FR"/>
        </w:rPr>
        <w:t>University</w:t>
      </w:r>
      <w:proofErr w:type="spellEnd"/>
      <w:r w:rsidRPr="00685ECA">
        <w:rPr>
          <w:rFonts w:asciiTheme="majorBidi" w:hAnsiTheme="majorBidi" w:cstheme="majorBidi"/>
          <w:i/>
          <w:iCs/>
          <w:lang w:val="fr-FR"/>
        </w:rPr>
        <w:t>, P.O. Box 2713, Doha, Qatar</w:t>
      </w:r>
    </w:p>
    <w:p w14:paraId="4B998A01" w14:textId="77777777" w:rsidR="00D56292" w:rsidRPr="00685ECA" w:rsidRDefault="00D56292" w:rsidP="00D56292">
      <w:pPr>
        <w:spacing w:line="480" w:lineRule="auto"/>
        <w:jc w:val="both"/>
        <w:rPr>
          <w:rFonts w:asciiTheme="majorBidi" w:hAnsiTheme="majorBidi" w:cstheme="majorBidi"/>
          <w:i/>
          <w:iCs/>
        </w:rPr>
      </w:pPr>
      <w:r w:rsidRPr="00685ECA">
        <w:rPr>
          <w:rFonts w:asciiTheme="majorBidi" w:hAnsiTheme="majorBidi" w:cstheme="majorBidi"/>
          <w:i/>
          <w:iCs/>
          <w:vertAlign w:val="superscript"/>
        </w:rPr>
        <w:t>2</w:t>
      </w:r>
      <w:r w:rsidRPr="00685ECA">
        <w:rPr>
          <w:rFonts w:asciiTheme="majorBidi" w:hAnsiTheme="majorBidi" w:cstheme="majorBidi"/>
          <w:i/>
          <w:iCs/>
        </w:rPr>
        <w:t>Biogeochemistry Group, Department of Physical and Environmental Sciences, University of Toronto Scarborough, 1065 Military Trail, Toronto, Ontario, M1C 1A1, Canada</w:t>
      </w:r>
    </w:p>
    <w:p w14:paraId="5C501F21" w14:textId="77777777" w:rsidR="00D56292" w:rsidRPr="00685ECA" w:rsidRDefault="00D56292" w:rsidP="00D56292">
      <w:pPr>
        <w:spacing w:line="480" w:lineRule="auto"/>
        <w:jc w:val="both"/>
        <w:rPr>
          <w:rFonts w:asciiTheme="majorBidi" w:hAnsiTheme="majorBidi" w:cstheme="majorBidi"/>
          <w:i/>
          <w:iCs/>
        </w:rPr>
      </w:pPr>
      <w:r w:rsidRPr="00685ECA">
        <w:rPr>
          <w:rFonts w:asciiTheme="majorBidi" w:hAnsiTheme="majorBidi" w:cstheme="majorBidi"/>
          <w:i/>
          <w:iCs/>
          <w:vertAlign w:val="superscript"/>
        </w:rPr>
        <w:t>3</w:t>
      </w:r>
      <w:r w:rsidRPr="00685ECA">
        <w:rPr>
          <w:rFonts w:asciiTheme="majorBidi" w:hAnsiTheme="majorBidi" w:cstheme="majorBidi"/>
          <w:i/>
          <w:iCs/>
        </w:rPr>
        <w:t>University of Windsor, Ontario, Canada</w:t>
      </w:r>
    </w:p>
    <w:p w14:paraId="08C71BDE" w14:textId="77777777" w:rsidR="00D56292" w:rsidRPr="00685ECA" w:rsidRDefault="00D56292" w:rsidP="00D56292">
      <w:pPr>
        <w:shd w:val="clear" w:color="auto" w:fill="FFFFFF"/>
        <w:spacing w:after="135" w:line="480" w:lineRule="auto"/>
        <w:jc w:val="both"/>
        <w:outlineLvl w:val="0"/>
        <w:rPr>
          <w:rFonts w:asciiTheme="majorBidi" w:eastAsia="Times New Roman" w:hAnsiTheme="majorBidi" w:cstheme="majorBidi"/>
          <w:kern w:val="36"/>
        </w:rPr>
      </w:pPr>
      <w:r w:rsidRPr="00685ECA">
        <w:rPr>
          <w:rFonts w:asciiTheme="majorBidi" w:eastAsia="Times New Roman" w:hAnsiTheme="majorBidi" w:cstheme="majorBidi"/>
          <w:kern w:val="36"/>
        </w:rPr>
        <w:t xml:space="preserve">Corresponding Author Email: </w:t>
      </w:r>
      <w:hyperlink r:id="rId5" w:history="1">
        <w:r w:rsidRPr="00685ECA">
          <w:rPr>
            <w:rStyle w:val="Hyperlink"/>
            <w:rFonts w:asciiTheme="majorBidi" w:eastAsia="Times New Roman" w:hAnsiTheme="majorBidi" w:cstheme="majorBidi"/>
            <w:color w:val="auto"/>
            <w:kern w:val="36"/>
          </w:rPr>
          <w:t>m.dittrich@utoronto.ca</w:t>
        </w:r>
      </w:hyperlink>
    </w:p>
    <w:p w14:paraId="033C5E78" w14:textId="7AC45C35" w:rsidR="00F326A3" w:rsidRPr="00685ECA" w:rsidRDefault="00E5001D" w:rsidP="00896A20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  <w:r w:rsidRPr="00685ECA">
        <w:rPr>
          <w:rFonts w:ascii="Times New Roman" w:hAnsi="Times New Roman" w:cs="Times New Roman"/>
          <w:b/>
          <w:bCs/>
          <w:sz w:val="32"/>
          <w:szCs w:val="32"/>
        </w:rPr>
        <w:t xml:space="preserve">Supplementary materials </w:t>
      </w:r>
    </w:p>
    <w:p w14:paraId="5A12694B" w14:textId="0F5E4ED2" w:rsidR="00440F8C" w:rsidRPr="00685ECA" w:rsidRDefault="00440F8C" w:rsidP="00440F8C"/>
    <w:p w14:paraId="736B7BCA" w14:textId="0D3A1B00" w:rsidR="00440F8C" w:rsidRPr="00685ECA" w:rsidRDefault="00440F8C" w:rsidP="00C22B58">
      <w:pPr>
        <w:pStyle w:val="Heading1"/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t xml:space="preserve">Results </w:t>
      </w:r>
    </w:p>
    <w:p w14:paraId="2858BB93" w14:textId="77777777" w:rsidR="00440F8C" w:rsidRPr="00685ECA" w:rsidRDefault="00440F8C" w:rsidP="00440F8C">
      <w:pPr>
        <w:pStyle w:val="Heading2"/>
        <w:keepNext w:val="0"/>
        <w:spacing w:line="360" w:lineRule="auto"/>
        <w:ind w:left="578" w:hanging="578"/>
        <w:jc w:val="both"/>
        <w:rPr>
          <w:noProof/>
          <w:color w:val="auto"/>
        </w:rPr>
      </w:pPr>
      <w:r w:rsidRPr="00685ECA">
        <w:rPr>
          <w:color w:val="auto"/>
        </w:rPr>
        <w:t>Trace metal depth profiles</w:t>
      </w:r>
      <w:r w:rsidRPr="00685ECA">
        <w:rPr>
          <w:noProof/>
          <w:color w:val="auto"/>
        </w:rPr>
        <w:t xml:space="preserve"> in solid phase</w:t>
      </w:r>
    </w:p>
    <w:p w14:paraId="23FA6E66" w14:textId="2B4343EA" w:rsidR="007E1CCE" w:rsidRPr="00685ECA" w:rsidRDefault="007E1CCE" w:rsidP="007E1CCE">
      <w:pPr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t xml:space="preserve">The range and average concentrations of major and trace elements are given in Table S1 and Figure </w:t>
      </w:r>
      <w:r w:rsidR="00D56292" w:rsidRPr="00685ECA">
        <w:rPr>
          <w:rFonts w:asciiTheme="majorBidi" w:hAnsiTheme="majorBidi" w:cstheme="majorBidi"/>
        </w:rPr>
        <w:t>3</w:t>
      </w:r>
      <w:r w:rsidRPr="00685ECA">
        <w:rPr>
          <w:rFonts w:asciiTheme="majorBidi" w:hAnsiTheme="majorBidi" w:cstheme="majorBidi"/>
        </w:rPr>
        <w:t>.</w:t>
      </w:r>
      <w:r w:rsidRPr="00685ECA">
        <w:t xml:space="preserve"> </w:t>
      </w:r>
      <w:r w:rsidRPr="00685ECA">
        <w:rPr>
          <w:rFonts w:asciiTheme="majorBidi" w:hAnsiTheme="majorBidi" w:cstheme="majorBidi"/>
        </w:rPr>
        <w:t xml:space="preserve">The concentrations of major (Mg, Ca, S, K, Fe, and Al) and trace (As, Ba, Be, Co, Cr, Cu, Mo, Ni, P, Pb, Sr, Zn, and V) </w:t>
      </w:r>
      <w:r w:rsidR="00C2264C" w:rsidRPr="00685ECA">
        <w:rPr>
          <w:rFonts w:asciiTheme="majorBidi" w:hAnsiTheme="majorBidi" w:cstheme="majorBidi"/>
        </w:rPr>
        <w:t xml:space="preserve">elements </w:t>
      </w:r>
      <w:r w:rsidRPr="00685ECA">
        <w:rPr>
          <w:rFonts w:asciiTheme="majorBidi" w:hAnsiTheme="majorBidi" w:cstheme="majorBidi"/>
        </w:rPr>
        <w:t xml:space="preserve">in Dohat Faishakh were higher than those in Khor Al-Adaid (Figure </w:t>
      </w:r>
      <w:r w:rsidR="00D56292" w:rsidRPr="00685ECA">
        <w:rPr>
          <w:rFonts w:asciiTheme="majorBidi" w:hAnsiTheme="majorBidi" w:cstheme="majorBidi"/>
        </w:rPr>
        <w:t>3</w:t>
      </w:r>
      <w:r w:rsidRPr="00685ECA">
        <w:rPr>
          <w:rFonts w:asciiTheme="majorBidi" w:hAnsiTheme="majorBidi" w:cstheme="majorBidi"/>
        </w:rPr>
        <w:t xml:space="preserve">) at the surface sediment. Moreover, the behavior of the elements across depth varies between the two locations, exhibiting trends of metal concentrations through sediment depth (0–44 cm) (Figure </w:t>
      </w:r>
      <w:r w:rsidR="00D56292" w:rsidRPr="00685ECA">
        <w:rPr>
          <w:rFonts w:asciiTheme="majorBidi" w:hAnsiTheme="majorBidi" w:cstheme="majorBidi"/>
        </w:rPr>
        <w:t>3</w:t>
      </w:r>
      <w:r w:rsidRPr="00685ECA">
        <w:rPr>
          <w:rFonts w:asciiTheme="majorBidi" w:hAnsiTheme="majorBidi" w:cstheme="majorBidi"/>
        </w:rPr>
        <w:t xml:space="preserve">). Most of the element concentrations started to stabilize at depths below 25 cm in both locations. </w:t>
      </w:r>
    </w:p>
    <w:p w14:paraId="2F32B670" w14:textId="10EAF67B" w:rsidR="007E1CCE" w:rsidRPr="00685ECA" w:rsidRDefault="007E1CCE" w:rsidP="00440F8C">
      <w:pPr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t xml:space="preserve">Calcium (Ca) depth profiles showed similar patterns at Khor Al Adaid as at Dohat Faishakh. The concentration of Ca ranged from 73.76–157 mg/g in Khor Al-Adaid, while it ranged from 152–240 mg/g in Dohat Faishakh. In both locations, higher concentrations were detected in the upper layers, followed by depletion with depth (Figure </w:t>
      </w:r>
      <w:r w:rsidR="00D56292" w:rsidRPr="00685ECA">
        <w:rPr>
          <w:rFonts w:asciiTheme="majorBidi" w:hAnsiTheme="majorBidi" w:cstheme="majorBidi"/>
        </w:rPr>
        <w:t>3</w:t>
      </w:r>
      <w:r w:rsidRPr="00685ECA">
        <w:rPr>
          <w:rFonts w:asciiTheme="majorBidi" w:hAnsiTheme="majorBidi" w:cstheme="majorBidi"/>
        </w:rPr>
        <w:t xml:space="preserve">). In Khor Al-Adaid, sulfur concentrations exhibit similar behavior to Ca: sulfur concentrations reach 90.2 mg/g at 2 cm; reach their highest </w:t>
      </w:r>
      <w:r w:rsidRPr="00685ECA">
        <w:rPr>
          <w:rFonts w:asciiTheme="majorBidi" w:hAnsiTheme="majorBidi" w:cstheme="majorBidi"/>
        </w:rPr>
        <w:lastRenderedPageBreak/>
        <w:t>concentration at 114 mg/g at 20 cm; and decrease with depth, reaching 2.04 mg/g at 30 cm and 3.1 mg/g at 40 cm. Magnesium (Mg) concentrations showed significant differences between the two sabkhas. In</w:t>
      </w:r>
      <w:bookmarkStart w:id="0" w:name="OLE_LINK1"/>
      <w:bookmarkStart w:id="1" w:name="OLE_LINK2"/>
      <w:r w:rsidRPr="00685ECA">
        <w:rPr>
          <w:rFonts w:asciiTheme="majorBidi" w:hAnsiTheme="majorBidi" w:cstheme="majorBidi"/>
        </w:rPr>
        <w:t xml:space="preserve"> Dohat </w:t>
      </w:r>
      <w:bookmarkEnd w:id="0"/>
      <w:bookmarkEnd w:id="1"/>
      <w:r w:rsidRPr="00685ECA">
        <w:rPr>
          <w:rFonts w:asciiTheme="majorBidi" w:hAnsiTheme="majorBidi" w:cstheme="majorBidi"/>
        </w:rPr>
        <w:t>Faishakh sabkha, low Mg concentrations were found at the surface layer, reaching a maximum at 7 cm and at the deeper sediment, while in Khor Al-Adaid, Mg concentrations fluctuated and stabilized with depth. Aluminum (Al) concentrations</w:t>
      </w:r>
      <w:r w:rsidRPr="00685ECA" w:rsidDel="00B94334">
        <w:rPr>
          <w:rFonts w:asciiTheme="majorBidi" w:hAnsiTheme="majorBidi" w:cstheme="majorBidi"/>
        </w:rPr>
        <w:t xml:space="preserve"> </w:t>
      </w:r>
      <w:r w:rsidRPr="00685ECA">
        <w:rPr>
          <w:rFonts w:asciiTheme="majorBidi" w:hAnsiTheme="majorBidi" w:cstheme="majorBidi"/>
        </w:rPr>
        <w:t>fluctuated between 10.9–17.5 mg/g and between 20–25 mg/g in Dohat Faishakh and Khor Al-Adaid, respectively. Manganese (Mn) and iron (Fe) followed a similar trend in the Khor Al-Adaid sabkha, increasing with depth. In the Doha Faishakh sabkha, both metal concentrations decreased with depth. Molybdenum (Mo) concentrations ranged between 0 and 0.002 mg/g</w:t>
      </w:r>
      <w:r w:rsidRPr="00685ECA">
        <w:rPr>
          <w:rFonts w:asciiTheme="majorBidi" w:hAnsiTheme="majorBidi" w:cstheme="majorBidi"/>
          <w:vertAlign w:val="superscript"/>
        </w:rPr>
        <w:t xml:space="preserve"> </w:t>
      </w:r>
      <w:r w:rsidRPr="00685ECA">
        <w:rPr>
          <w:rFonts w:asciiTheme="majorBidi" w:hAnsiTheme="majorBidi" w:cstheme="majorBidi"/>
        </w:rPr>
        <w:t xml:space="preserve">in Khor Al-Adaid, with one peak at the depth of 5 cm, then Mo concentrations expressed little fluctuation with increased depth in the Khor Al-Adaid sediments. Higher Phosphorus (P) concentrations </w:t>
      </w:r>
      <w:r w:rsidR="00D56292" w:rsidRPr="00685ECA">
        <w:rPr>
          <w:rFonts w:asciiTheme="majorBidi" w:hAnsiTheme="majorBidi" w:cstheme="majorBidi"/>
        </w:rPr>
        <w:t xml:space="preserve">between </w:t>
      </w:r>
      <w:r w:rsidRPr="00685ECA">
        <w:rPr>
          <w:rFonts w:asciiTheme="majorBidi" w:hAnsiTheme="majorBidi" w:cstheme="majorBidi"/>
        </w:rPr>
        <w:t xml:space="preserve">0.16–0.24 mg/g were found in the surface layers of Khor Al-Adaid and Dohat Faishakh; P dropped at the depth of 2 cm to 0.06 and 0.16 mg/g, respectively. However, in Dohat Faishakh, concentrations of P increased to 0.23 mg/g at the depth of 6 cm and dropped gradually to the lowest concentration of 0.09 mg/g at the depth of 44 cm. In Khor Al-Adaid, P concentration increased </w:t>
      </w:r>
      <w:r w:rsidR="00D56292" w:rsidRPr="00685ECA">
        <w:rPr>
          <w:rFonts w:asciiTheme="majorBidi" w:hAnsiTheme="majorBidi" w:cstheme="majorBidi"/>
        </w:rPr>
        <w:t xml:space="preserve">at </w:t>
      </w:r>
      <w:r w:rsidRPr="00685ECA">
        <w:rPr>
          <w:rFonts w:asciiTheme="majorBidi" w:hAnsiTheme="majorBidi" w:cstheme="majorBidi"/>
        </w:rPr>
        <w:t>the depth of 30 cm and reached 0.14 mg/g at the depth of 40 cm.</w:t>
      </w:r>
    </w:p>
    <w:p w14:paraId="10CA06CA" w14:textId="77777777" w:rsidR="002E24BA" w:rsidRPr="00685ECA" w:rsidRDefault="002E24BA" w:rsidP="002E24BA">
      <w:pPr>
        <w:pStyle w:val="Heading2"/>
        <w:keepNext w:val="0"/>
        <w:spacing w:line="360" w:lineRule="auto"/>
        <w:ind w:left="578" w:hanging="578"/>
        <w:jc w:val="both"/>
        <w:rPr>
          <w:color w:val="auto"/>
        </w:rPr>
      </w:pPr>
      <w:r w:rsidRPr="00685ECA">
        <w:rPr>
          <w:color w:val="auto"/>
        </w:rPr>
        <w:t xml:space="preserve">Radiocarbon analysis </w:t>
      </w:r>
    </w:p>
    <w:p w14:paraId="31733399" w14:textId="0516E3CC" w:rsidR="002E24BA" w:rsidRPr="00685ECA" w:rsidRDefault="002E24BA" w:rsidP="002E24B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t xml:space="preserve">The dating of carbonate samples from 35 and 40 cm from the Khor Al-Adaid sabkha (Table </w:t>
      </w:r>
      <w:r w:rsidR="00923B62" w:rsidRPr="00685ECA">
        <w:rPr>
          <w:rFonts w:asciiTheme="majorBidi" w:hAnsiTheme="majorBidi" w:cstheme="majorBidi"/>
        </w:rPr>
        <w:t>S3</w:t>
      </w:r>
      <w:r w:rsidRPr="00685ECA">
        <w:rPr>
          <w:rFonts w:asciiTheme="majorBidi" w:hAnsiTheme="majorBidi" w:cstheme="majorBidi"/>
        </w:rPr>
        <w:t xml:space="preserve">) indicated that carbonates formed in 35 cm are 22100 BP, while carbonates from 40 cm date to 17400 BP. </w:t>
      </w:r>
      <w:r w:rsidRPr="00685ECA">
        <w:rPr>
          <w:rFonts w:asciiTheme="majorBidi" w:hAnsiTheme="majorBidi" w:cstheme="majorBidi"/>
        </w:rPr>
        <w:sym w:font="Symbol" w:char="F044"/>
      </w:r>
      <w:r w:rsidRPr="00685ECA">
        <w:rPr>
          <w:rFonts w:asciiTheme="majorBidi" w:hAnsiTheme="majorBidi" w:cstheme="majorBidi"/>
          <w:vertAlign w:val="superscript"/>
        </w:rPr>
        <w:t xml:space="preserve">14 </w:t>
      </w:r>
      <w:r w:rsidRPr="00685ECA">
        <w:rPr>
          <w:rFonts w:asciiTheme="majorBidi" w:hAnsiTheme="majorBidi" w:cstheme="majorBidi"/>
        </w:rPr>
        <w:t>C represents the difference in C</w:t>
      </w:r>
      <w:r w:rsidRPr="00685ECA">
        <w:rPr>
          <w:rFonts w:asciiTheme="majorBidi" w:hAnsiTheme="majorBidi" w:cstheme="majorBidi"/>
          <w:vertAlign w:val="superscript"/>
        </w:rPr>
        <w:t>14</w:t>
      </w:r>
      <w:r w:rsidRPr="00685ECA">
        <w:rPr>
          <w:rFonts w:asciiTheme="majorBidi" w:hAnsiTheme="majorBidi" w:cstheme="majorBidi"/>
        </w:rPr>
        <w:t>, from modern C</w:t>
      </w:r>
      <w:r w:rsidRPr="00685ECA">
        <w:rPr>
          <w:rFonts w:asciiTheme="majorBidi" w:hAnsiTheme="majorBidi" w:cstheme="majorBidi"/>
          <w:vertAlign w:val="superscript"/>
        </w:rPr>
        <w:t xml:space="preserve">14 </w:t>
      </w:r>
      <w:r w:rsidRPr="00685ECA">
        <w:rPr>
          <w:rFonts w:asciiTheme="majorBidi" w:hAnsiTheme="majorBidi" w:cstheme="majorBidi"/>
        </w:rPr>
        <w:t xml:space="preserve">levels, indicating that carbonates at 35 cm are slightly more depleted than samples at the depth of 40 cm. </w:t>
      </w:r>
    </w:p>
    <w:p w14:paraId="01680EA8" w14:textId="082DE0DD" w:rsidR="002E24BA" w:rsidRPr="00685ECA" w:rsidRDefault="002E24BA" w:rsidP="002E24BA">
      <w:pPr>
        <w:pStyle w:val="Heading2"/>
        <w:spacing w:line="360" w:lineRule="auto"/>
        <w:jc w:val="both"/>
        <w:rPr>
          <w:color w:val="auto"/>
          <w:sz w:val="24"/>
          <w:szCs w:val="24"/>
        </w:rPr>
      </w:pPr>
      <w:r w:rsidRPr="00685ECA">
        <w:rPr>
          <w:color w:val="auto"/>
          <w:sz w:val="24"/>
          <w:szCs w:val="24"/>
        </w:rPr>
        <w:t xml:space="preserve">Principal component analysis (PCA) for element concentrations, </w:t>
      </w:r>
      <w:r w:rsidR="00D56292" w:rsidRPr="00685ECA">
        <w:rPr>
          <w:color w:val="auto"/>
          <w:sz w:val="24"/>
          <w:szCs w:val="24"/>
        </w:rPr>
        <w:t>total inorganic carbon (</w:t>
      </w:r>
      <w:r w:rsidRPr="00685ECA">
        <w:rPr>
          <w:color w:val="auto"/>
          <w:sz w:val="24"/>
          <w:szCs w:val="24"/>
        </w:rPr>
        <w:t>TIC</w:t>
      </w:r>
      <w:r w:rsidR="00D56292" w:rsidRPr="00685ECA">
        <w:rPr>
          <w:color w:val="auto"/>
          <w:sz w:val="24"/>
          <w:szCs w:val="24"/>
        </w:rPr>
        <w:t>)</w:t>
      </w:r>
      <w:r w:rsidRPr="00685ECA">
        <w:rPr>
          <w:color w:val="auto"/>
          <w:sz w:val="24"/>
          <w:szCs w:val="24"/>
        </w:rPr>
        <w:t xml:space="preserve">, and </w:t>
      </w:r>
      <w:r w:rsidR="00D56292" w:rsidRPr="00685ECA">
        <w:rPr>
          <w:color w:val="auto"/>
          <w:sz w:val="24"/>
          <w:szCs w:val="24"/>
        </w:rPr>
        <w:t>total organic carbon (</w:t>
      </w:r>
      <w:r w:rsidRPr="00685ECA">
        <w:rPr>
          <w:color w:val="auto"/>
          <w:sz w:val="24"/>
          <w:szCs w:val="24"/>
        </w:rPr>
        <w:t>TOC</w:t>
      </w:r>
      <w:r w:rsidR="00D56292" w:rsidRPr="00685ECA">
        <w:rPr>
          <w:color w:val="auto"/>
          <w:sz w:val="24"/>
          <w:szCs w:val="24"/>
        </w:rPr>
        <w:t>)</w:t>
      </w:r>
    </w:p>
    <w:p w14:paraId="100704F9" w14:textId="2DA22331" w:rsidR="002E24BA" w:rsidRPr="00685ECA" w:rsidRDefault="002E24BA" w:rsidP="002E24BA">
      <w:pPr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t>Significant close relationships were found among the bulk density, TOC, and strontium, molybdenum</w:t>
      </w:r>
      <w:r w:rsidR="00D56292" w:rsidRPr="00685ECA">
        <w:rPr>
          <w:rFonts w:asciiTheme="majorBidi" w:hAnsiTheme="majorBidi" w:cstheme="majorBidi"/>
        </w:rPr>
        <w:t>,</w:t>
      </w:r>
      <w:r w:rsidRPr="00685ECA">
        <w:rPr>
          <w:rFonts w:asciiTheme="majorBidi" w:hAnsiTheme="majorBidi" w:cstheme="majorBidi"/>
        </w:rPr>
        <w:t xml:space="preserve"> and calcium concentrations in the Dohat Faishakh sediments; however, TOC appears to have no relationship with other elements in the Khor Al-Adaid sediments (Figures </w:t>
      </w:r>
      <w:r w:rsidR="00923B62" w:rsidRPr="00685ECA">
        <w:rPr>
          <w:rFonts w:asciiTheme="majorBidi" w:hAnsiTheme="majorBidi" w:cstheme="majorBidi"/>
        </w:rPr>
        <w:t>S2</w:t>
      </w:r>
      <w:r w:rsidRPr="00685ECA">
        <w:rPr>
          <w:rFonts w:asciiTheme="majorBidi" w:hAnsiTheme="majorBidi" w:cstheme="majorBidi"/>
        </w:rPr>
        <w:t xml:space="preserve">a, b). PCA of the element concentrations in the porewater indicate a negative relationship between TOC and depth in the Dohat Faishakh sabkha (Figure </w:t>
      </w:r>
      <w:r w:rsidR="000601FD" w:rsidRPr="00685ECA">
        <w:rPr>
          <w:rFonts w:asciiTheme="majorBidi" w:hAnsiTheme="majorBidi" w:cstheme="majorBidi"/>
        </w:rPr>
        <w:t>S1d</w:t>
      </w:r>
      <w:r w:rsidRPr="00685ECA">
        <w:rPr>
          <w:rFonts w:asciiTheme="majorBidi" w:hAnsiTheme="majorBidi" w:cstheme="majorBidi"/>
        </w:rPr>
        <w:t xml:space="preserve">). In comparison, PCA showed no relationship between TOC and depth, neither in the porewater (Figure </w:t>
      </w:r>
      <w:r w:rsidR="000601FD" w:rsidRPr="00685ECA">
        <w:rPr>
          <w:rFonts w:asciiTheme="majorBidi" w:hAnsiTheme="majorBidi" w:cstheme="majorBidi"/>
        </w:rPr>
        <w:t>S1d</w:t>
      </w:r>
      <w:r w:rsidRPr="00685ECA">
        <w:rPr>
          <w:rFonts w:asciiTheme="majorBidi" w:hAnsiTheme="majorBidi" w:cstheme="majorBidi"/>
        </w:rPr>
        <w:t xml:space="preserve">) nor in the solid contents (Figures </w:t>
      </w:r>
      <w:r w:rsidR="000601FD" w:rsidRPr="00685ECA">
        <w:rPr>
          <w:rFonts w:asciiTheme="majorBidi" w:hAnsiTheme="majorBidi" w:cstheme="majorBidi"/>
        </w:rPr>
        <w:t>S1a</w:t>
      </w:r>
      <w:r w:rsidRPr="00685ECA">
        <w:rPr>
          <w:rFonts w:asciiTheme="majorBidi" w:hAnsiTheme="majorBidi" w:cstheme="majorBidi"/>
        </w:rPr>
        <w:t xml:space="preserve">, c; Table 3) of the Khor Al-Adaid sabkha. </w:t>
      </w:r>
    </w:p>
    <w:p w14:paraId="082B54FC" w14:textId="192D1F4D" w:rsidR="00334CD9" w:rsidRPr="00685ECA" w:rsidRDefault="00334CD9">
      <w:pPr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</w:rPr>
        <w:br w:type="page"/>
      </w:r>
    </w:p>
    <w:p w14:paraId="300D71CC" w14:textId="2FEA458C" w:rsidR="007E1CCE" w:rsidRPr="00685ECA" w:rsidRDefault="007E1CCE" w:rsidP="007E1CCE">
      <w:pPr>
        <w:pStyle w:val="Caption"/>
        <w:spacing w:line="276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685EC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lastRenderedPageBreak/>
        <w:t>Figure S</w:t>
      </w:r>
      <w:r w:rsidR="00D56292" w:rsidRPr="00685EC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1</w:t>
      </w:r>
      <w:r w:rsidRPr="00685EC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685ECA">
        <w:rPr>
          <w:color w:val="auto"/>
        </w:rPr>
        <w:t xml:space="preserve"> </w:t>
      </w:r>
      <w:r w:rsidRPr="00685EC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Biplots of principal component analyses for constituents: (a) solid phase contents from Khor Al-Adaid; (b) solid phase contents from Dohat Faishakh; (c) element contents in porewater from Khor Al-Adaid; and (d) porewater contents from Dohat Faishakh sabkha.</w:t>
      </w:r>
    </w:p>
    <w:p w14:paraId="5B2FA250" w14:textId="77777777" w:rsidR="001710A4" w:rsidRPr="00685ECA" w:rsidRDefault="001710A4">
      <w:pPr>
        <w:rPr>
          <w:rFonts w:asciiTheme="majorBidi" w:hAnsiTheme="majorBidi" w:cstheme="majorBidi"/>
          <w:b/>
        </w:rPr>
      </w:pPr>
      <w:r w:rsidRPr="00685ECA">
        <w:rPr>
          <w:rFonts w:asciiTheme="majorBidi" w:hAnsiTheme="majorBidi" w:cstheme="majorBidi"/>
          <w:b/>
          <w:noProof/>
          <w:lang w:val="en-IN" w:eastAsia="en-IN"/>
        </w:rPr>
        <w:drawing>
          <wp:inline distT="0" distB="0" distL="0" distR="0" wp14:anchorId="1658D7A8" wp14:editId="0DD57A48">
            <wp:extent cx="5010144" cy="3166947"/>
            <wp:effectExtent l="0" t="0" r="0" b="0"/>
            <wp:docPr id="1645842798" name="Picture 1" descr="A diagram of a chemical rea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42798" name="Picture 1" descr="A diagram of a chemical reactio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225" cy="319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EF609" w14:textId="77777777" w:rsidR="001710A4" w:rsidRPr="00685ECA" w:rsidRDefault="001710A4">
      <w:pPr>
        <w:rPr>
          <w:rFonts w:asciiTheme="majorBidi" w:hAnsiTheme="majorBidi" w:cstheme="majorBidi"/>
          <w:b/>
        </w:rPr>
      </w:pPr>
      <w:r w:rsidRPr="00685ECA">
        <w:rPr>
          <w:rFonts w:asciiTheme="majorBidi" w:hAnsiTheme="majorBidi" w:cstheme="majorBidi"/>
          <w:b/>
          <w:noProof/>
          <w:lang w:val="en-IN" w:eastAsia="en-IN"/>
        </w:rPr>
        <w:drawing>
          <wp:inline distT="0" distB="0" distL="0" distR="0" wp14:anchorId="4472BC02" wp14:editId="7409AE18">
            <wp:extent cx="5023360" cy="3196683"/>
            <wp:effectExtent l="0" t="0" r="6350" b="3810"/>
            <wp:docPr id="1156823142" name="Picture 2" descr="A graph of chemical elem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23142" name="Picture 2" descr="A graph of chemical element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809" cy="325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CD0E" w14:textId="77777777" w:rsidR="001710A4" w:rsidRPr="00685ECA" w:rsidRDefault="001710A4">
      <w:pPr>
        <w:rPr>
          <w:rFonts w:asciiTheme="majorBidi" w:hAnsiTheme="majorBidi" w:cstheme="majorBidi"/>
          <w:b/>
        </w:rPr>
      </w:pPr>
      <w:r w:rsidRPr="00685ECA">
        <w:rPr>
          <w:rFonts w:asciiTheme="majorBidi" w:hAnsiTheme="majorBidi" w:cstheme="majorBidi"/>
          <w:b/>
          <w:noProof/>
          <w:lang w:val="en-IN" w:eastAsia="en-IN"/>
        </w:rPr>
        <w:lastRenderedPageBreak/>
        <w:drawing>
          <wp:inline distT="0" distB="0" distL="0" distR="0" wp14:anchorId="5DB5BCD9" wp14:editId="71B9B33E">
            <wp:extent cx="5116566" cy="3189249"/>
            <wp:effectExtent l="0" t="0" r="1905" b="0"/>
            <wp:docPr id="1743891750" name="Picture 3" descr="A graph with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91750" name="Picture 3" descr="A graph with a cros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472" cy="322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9CE2" w14:textId="4BBA082B" w:rsidR="00334CD9" w:rsidRPr="00685ECA" w:rsidRDefault="001710A4">
      <w:pPr>
        <w:rPr>
          <w:rFonts w:asciiTheme="majorBidi" w:hAnsiTheme="majorBidi" w:cstheme="majorBidi"/>
          <w:b/>
        </w:rPr>
      </w:pPr>
      <w:r w:rsidRPr="00685ECA">
        <w:rPr>
          <w:rFonts w:asciiTheme="majorBidi" w:hAnsiTheme="majorBidi" w:cstheme="majorBidi"/>
          <w:b/>
          <w:noProof/>
          <w:lang w:val="en-IN" w:eastAsia="en-IN"/>
        </w:rPr>
        <w:drawing>
          <wp:inline distT="0" distB="0" distL="0" distR="0" wp14:anchorId="3AD8375B" wp14:editId="7E499242">
            <wp:extent cx="5172901" cy="3330497"/>
            <wp:effectExtent l="0" t="0" r="0" b="0"/>
            <wp:docPr id="837611299" name="Picture 4" descr="A graph with a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11299" name="Picture 4" descr="A graph with a gri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242" cy="337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CD9" w:rsidRPr="00685ECA">
        <w:rPr>
          <w:rFonts w:asciiTheme="majorBidi" w:hAnsiTheme="majorBidi" w:cstheme="majorBidi"/>
          <w:b/>
        </w:rPr>
        <w:br w:type="page"/>
      </w:r>
    </w:p>
    <w:p w14:paraId="24A8C203" w14:textId="77777777" w:rsidR="00334CD9" w:rsidRPr="00685ECA" w:rsidRDefault="00334CD9" w:rsidP="002E24BA">
      <w:pPr>
        <w:rPr>
          <w:rFonts w:asciiTheme="majorBidi" w:hAnsiTheme="majorBidi" w:cstheme="majorBidi"/>
          <w:b/>
        </w:rPr>
      </w:pPr>
    </w:p>
    <w:p w14:paraId="5A92E841" w14:textId="7F6852BA" w:rsidR="002E24BA" w:rsidRPr="00685ECA" w:rsidRDefault="002E24BA" w:rsidP="002E24BA">
      <w:pPr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  <w:b/>
        </w:rPr>
        <w:t>Table S1.</w:t>
      </w:r>
      <w:r w:rsidRPr="00685ECA">
        <w:rPr>
          <w:rFonts w:asciiTheme="majorBidi" w:hAnsiTheme="majorBidi" w:cstheme="majorBidi"/>
        </w:rPr>
        <w:t xml:space="preserve"> Range and average concentrations (mg/g) of major and trace metals in sediments of Khor Al-Adaid and Dohat Faishakh sabkhas. </w:t>
      </w:r>
    </w:p>
    <w:p w14:paraId="50E4E359" w14:textId="77777777" w:rsidR="002E24BA" w:rsidRPr="00685ECA" w:rsidRDefault="002E24BA" w:rsidP="002E24BA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81"/>
        <w:gridCol w:w="1701"/>
        <w:gridCol w:w="1842"/>
        <w:gridCol w:w="1928"/>
      </w:tblGrid>
      <w:tr w:rsidR="00685ECA" w:rsidRPr="00685ECA" w14:paraId="22450776" w14:textId="77777777" w:rsidTr="005D12CF">
        <w:trPr>
          <w:trHeight w:val="405"/>
        </w:trPr>
        <w:tc>
          <w:tcPr>
            <w:tcW w:w="1696" w:type="dxa"/>
            <w:vAlign w:val="center"/>
          </w:tcPr>
          <w:p w14:paraId="77F2B016" w14:textId="77777777" w:rsidR="002E24BA" w:rsidRPr="00685ECA" w:rsidRDefault="002E24BA" w:rsidP="005D12CF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Concentration (mg/g)</w:t>
            </w:r>
          </w:p>
        </w:tc>
        <w:tc>
          <w:tcPr>
            <w:tcW w:w="3282" w:type="dxa"/>
            <w:gridSpan w:val="2"/>
            <w:vAlign w:val="center"/>
          </w:tcPr>
          <w:p w14:paraId="345A2544" w14:textId="77777777" w:rsidR="002E24BA" w:rsidRPr="00685ECA" w:rsidRDefault="002E24BA" w:rsidP="005D12CF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Khor Al-Adaid Sabkha</w:t>
            </w:r>
          </w:p>
        </w:tc>
        <w:tc>
          <w:tcPr>
            <w:tcW w:w="3770" w:type="dxa"/>
            <w:gridSpan w:val="2"/>
            <w:vAlign w:val="center"/>
          </w:tcPr>
          <w:p w14:paraId="0154837D" w14:textId="77777777" w:rsidR="002E24BA" w:rsidRPr="00685ECA" w:rsidRDefault="002E24BA" w:rsidP="005D12CF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Dohat Faishakh Sabkha</w:t>
            </w:r>
          </w:p>
        </w:tc>
      </w:tr>
      <w:tr w:rsidR="00685ECA" w:rsidRPr="00685ECA" w14:paraId="5CC6C9B2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4D3C046C" w14:textId="77777777" w:rsidR="002E24BA" w:rsidRPr="00685ECA" w:rsidRDefault="002E24BA" w:rsidP="005D12C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81" w:type="dxa"/>
            <w:vAlign w:val="center"/>
          </w:tcPr>
          <w:p w14:paraId="12827E5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Range</w:t>
            </w:r>
          </w:p>
        </w:tc>
        <w:tc>
          <w:tcPr>
            <w:tcW w:w="1701" w:type="dxa"/>
            <w:vAlign w:val="center"/>
          </w:tcPr>
          <w:p w14:paraId="33348167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Average</w:t>
            </w:r>
          </w:p>
        </w:tc>
        <w:tc>
          <w:tcPr>
            <w:tcW w:w="1842" w:type="dxa"/>
            <w:vAlign w:val="center"/>
          </w:tcPr>
          <w:p w14:paraId="00552B0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Range</w:t>
            </w:r>
          </w:p>
        </w:tc>
        <w:tc>
          <w:tcPr>
            <w:tcW w:w="1928" w:type="dxa"/>
            <w:vAlign w:val="center"/>
          </w:tcPr>
          <w:p w14:paraId="5E617B5F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Average</w:t>
            </w:r>
          </w:p>
        </w:tc>
      </w:tr>
      <w:tr w:rsidR="00685ECA" w:rsidRPr="00685ECA" w14:paraId="0749F8D1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5134A640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Mg</w:t>
            </w:r>
          </w:p>
        </w:tc>
        <w:tc>
          <w:tcPr>
            <w:tcW w:w="1581" w:type="dxa"/>
            <w:vAlign w:val="center"/>
          </w:tcPr>
          <w:p w14:paraId="6BDAD75D" w14:textId="258481B8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7-18</w:t>
            </w:r>
          </w:p>
        </w:tc>
        <w:tc>
          <w:tcPr>
            <w:tcW w:w="1701" w:type="dxa"/>
            <w:vAlign w:val="center"/>
          </w:tcPr>
          <w:p w14:paraId="4584FD2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42" w:type="dxa"/>
            <w:vAlign w:val="center"/>
          </w:tcPr>
          <w:p w14:paraId="19EF95A9" w14:textId="257FFFAB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22-81</w:t>
            </w:r>
          </w:p>
        </w:tc>
        <w:tc>
          <w:tcPr>
            <w:tcW w:w="1928" w:type="dxa"/>
            <w:vAlign w:val="center"/>
          </w:tcPr>
          <w:p w14:paraId="174D307D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38</w:t>
            </w:r>
          </w:p>
        </w:tc>
      </w:tr>
      <w:tr w:rsidR="00685ECA" w:rsidRPr="00685ECA" w14:paraId="711FD1B9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3BDB0F64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Ca</w:t>
            </w:r>
          </w:p>
        </w:tc>
        <w:tc>
          <w:tcPr>
            <w:tcW w:w="1581" w:type="dxa"/>
            <w:vAlign w:val="center"/>
          </w:tcPr>
          <w:p w14:paraId="5DEA4246" w14:textId="7D27F2A5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74-158</w:t>
            </w:r>
          </w:p>
        </w:tc>
        <w:tc>
          <w:tcPr>
            <w:tcW w:w="1701" w:type="dxa"/>
            <w:vAlign w:val="center"/>
          </w:tcPr>
          <w:p w14:paraId="7EFD543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1842" w:type="dxa"/>
            <w:vAlign w:val="center"/>
          </w:tcPr>
          <w:p w14:paraId="5793B0B2" w14:textId="5DF57148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152-241</w:t>
            </w:r>
          </w:p>
        </w:tc>
        <w:tc>
          <w:tcPr>
            <w:tcW w:w="1928" w:type="dxa"/>
            <w:vAlign w:val="center"/>
          </w:tcPr>
          <w:p w14:paraId="57EE6EDC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202</w:t>
            </w:r>
          </w:p>
        </w:tc>
      </w:tr>
      <w:tr w:rsidR="00685ECA" w:rsidRPr="00685ECA" w14:paraId="323FF667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6CBDA44F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Al</w:t>
            </w:r>
          </w:p>
        </w:tc>
        <w:tc>
          <w:tcPr>
            <w:tcW w:w="1581" w:type="dxa"/>
            <w:vAlign w:val="center"/>
          </w:tcPr>
          <w:p w14:paraId="42555F83" w14:textId="5EE60E28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8-29</w:t>
            </w:r>
          </w:p>
        </w:tc>
        <w:tc>
          <w:tcPr>
            <w:tcW w:w="1701" w:type="dxa"/>
            <w:vAlign w:val="center"/>
          </w:tcPr>
          <w:p w14:paraId="603E0552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842" w:type="dxa"/>
            <w:vAlign w:val="center"/>
          </w:tcPr>
          <w:p w14:paraId="465F07BC" w14:textId="40CA198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11-18</w:t>
            </w:r>
          </w:p>
        </w:tc>
        <w:tc>
          <w:tcPr>
            <w:tcW w:w="1928" w:type="dxa"/>
            <w:vAlign w:val="center"/>
          </w:tcPr>
          <w:p w14:paraId="46B8952F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14</w:t>
            </w:r>
          </w:p>
        </w:tc>
      </w:tr>
      <w:tr w:rsidR="00685ECA" w:rsidRPr="00685ECA" w14:paraId="1DAC7321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5ADCAE73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Fe</w:t>
            </w:r>
          </w:p>
        </w:tc>
        <w:tc>
          <w:tcPr>
            <w:tcW w:w="1581" w:type="dxa"/>
            <w:vAlign w:val="center"/>
          </w:tcPr>
          <w:p w14:paraId="5F1D543B" w14:textId="0B50A043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2-5</w:t>
            </w:r>
          </w:p>
        </w:tc>
        <w:tc>
          <w:tcPr>
            <w:tcW w:w="1701" w:type="dxa"/>
            <w:vAlign w:val="center"/>
          </w:tcPr>
          <w:p w14:paraId="03354F34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42" w:type="dxa"/>
            <w:vAlign w:val="center"/>
          </w:tcPr>
          <w:p w14:paraId="2F2C235B" w14:textId="1BBA78D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6-10</w:t>
            </w:r>
          </w:p>
        </w:tc>
        <w:tc>
          <w:tcPr>
            <w:tcW w:w="1928" w:type="dxa"/>
            <w:vAlign w:val="center"/>
          </w:tcPr>
          <w:p w14:paraId="4B552D02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</w:t>
            </w:r>
          </w:p>
        </w:tc>
      </w:tr>
      <w:tr w:rsidR="00685ECA" w:rsidRPr="00685ECA" w14:paraId="2DC74DBB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7BC984D0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1581" w:type="dxa"/>
            <w:vAlign w:val="center"/>
          </w:tcPr>
          <w:p w14:paraId="7CF918DE" w14:textId="1AE4ACDC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2-114</w:t>
            </w:r>
          </w:p>
        </w:tc>
        <w:tc>
          <w:tcPr>
            <w:tcW w:w="1701" w:type="dxa"/>
            <w:vAlign w:val="center"/>
          </w:tcPr>
          <w:p w14:paraId="7B3BFFD8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842" w:type="dxa"/>
            <w:vAlign w:val="center"/>
          </w:tcPr>
          <w:p w14:paraId="47D303C5" w14:textId="21DA48D0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4-110</w:t>
            </w:r>
          </w:p>
        </w:tc>
        <w:tc>
          <w:tcPr>
            <w:tcW w:w="1928" w:type="dxa"/>
            <w:vAlign w:val="center"/>
          </w:tcPr>
          <w:p w14:paraId="0544719D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44</w:t>
            </w:r>
          </w:p>
        </w:tc>
      </w:tr>
      <w:tr w:rsidR="00685ECA" w:rsidRPr="00685ECA" w14:paraId="012CC0DD" w14:textId="77777777" w:rsidTr="005D12CF">
        <w:trPr>
          <w:trHeight w:val="291"/>
        </w:trPr>
        <w:tc>
          <w:tcPr>
            <w:tcW w:w="1696" w:type="dxa"/>
            <w:vAlign w:val="center"/>
          </w:tcPr>
          <w:p w14:paraId="51FDD387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K</w:t>
            </w:r>
          </w:p>
        </w:tc>
        <w:tc>
          <w:tcPr>
            <w:tcW w:w="1581" w:type="dxa"/>
            <w:vAlign w:val="center"/>
          </w:tcPr>
          <w:p w14:paraId="11A8BEA8" w14:textId="07C73848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3-11</w:t>
            </w:r>
          </w:p>
        </w:tc>
        <w:tc>
          <w:tcPr>
            <w:tcW w:w="1701" w:type="dxa"/>
            <w:vAlign w:val="center"/>
          </w:tcPr>
          <w:p w14:paraId="11A6F9F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42" w:type="dxa"/>
            <w:vAlign w:val="center"/>
          </w:tcPr>
          <w:p w14:paraId="4DD13946" w14:textId="75432705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4-6</w:t>
            </w:r>
          </w:p>
        </w:tc>
        <w:tc>
          <w:tcPr>
            <w:tcW w:w="1928" w:type="dxa"/>
            <w:vAlign w:val="center"/>
          </w:tcPr>
          <w:p w14:paraId="6E8F0E84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</w:t>
            </w:r>
          </w:p>
        </w:tc>
      </w:tr>
      <w:tr w:rsidR="00685ECA" w:rsidRPr="00685ECA" w14:paraId="6B7773B8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2CEF88C5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85ECA">
              <w:rPr>
                <w:rFonts w:asciiTheme="majorBidi" w:hAnsiTheme="majorBidi" w:cstheme="majorBidi"/>
                <w:b/>
                <w:bCs/>
              </w:rPr>
              <w:t>Sr</w:t>
            </w:r>
            <w:proofErr w:type="spellEnd"/>
          </w:p>
        </w:tc>
        <w:tc>
          <w:tcPr>
            <w:tcW w:w="1581" w:type="dxa"/>
            <w:vAlign w:val="center"/>
          </w:tcPr>
          <w:p w14:paraId="7C5EC707" w14:textId="65F045AE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0.4-2</w:t>
            </w:r>
          </w:p>
        </w:tc>
        <w:tc>
          <w:tcPr>
            <w:tcW w:w="1701" w:type="dxa"/>
            <w:vAlign w:val="center"/>
          </w:tcPr>
          <w:p w14:paraId="5B065E9A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42" w:type="dxa"/>
            <w:vAlign w:val="center"/>
          </w:tcPr>
          <w:p w14:paraId="1E681057" w14:textId="2C3CE0AE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1-6</w:t>
            </w:r>
          </w:p>
        </w:tc>
        <w:tc>
          <w:tcPr>
            <w:tcW w:w="1928" w:type="dxa"/>
            <w:vAlign w:val="center"/>
          </w:tcPr>
          <w:p w14:paraId="19479DA5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</w:t>
            </w:r>
          </w:p>
        </w:tc>
      </w:tr>
      <w:tr w:rsidR="00685ECA" w:rsidRPr="00685ECA" w14:paraId="42A511BE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609F3D32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85ECA">
              <w:rPr>
                <w:rFonts w:asciiTheme="majorBidi" w:hAnsiTheme="majorBidi" w:cstheme="majorBidi"/>
                <w:b/>
                <w:bCs/>
              </w:rPr>
              <w:t>Mn</w:t>
            </w:r>
            <w:proofErr w:type="spellEnd"/>
            <w:r w:rsidRPr="00685ECA">
              <w:rPr>
                <w:rFonts w:asciiTheme="majorBidi" w:hAnsiTheme="majorBidi" w:cstheme="majorBidi"/>
                <w:b/>
                <w:bCs/>
              </w:rPr>
              <w:t>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57FBA1F8" w14:textId="2776902C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38-170</w:t>
            </w:r>
          </w:p>
        </w:tc>
        <w:tc>
          <w:tcPr>
            <w:tcW w:w="1701" w:type="dxa"/>
            <w:vAlign w:val="center"/>
          </w:tcPr>
          <w:p w14:paraId="6B819C21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842" w:type="dxa"/>
            <w:vAlign w:val="center"/>
          </w:tcPr>
          <w:p w14:paraId="664F938C" w14:textId="0AF48FC3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101-210</w:t>
            </w:r>
          </w:p>
        </w:tc>
        <w:tc>
          <w:tcPr>
            <w:tcW w:w="1928" w:type="dxa"/>
            <w:vAlign w:val="center"/>
          </w:tcPr>
          <w:p w14:paraId="15DC61EA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143</w:t>
            </w:r>
          </w:p>
        </w:tc>
      </w:tr>
      <w:tr w:rsidR="00685ECA" w:rsidRPr="00685ECA" w14:paraId="176E38C4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51A687A7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P,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7CAF0581" w14:textId="42F76C0C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50-156</w:t>
            </w:r>
          </w:p>
        </w:tc>
        <w:tc>
          <w:tcPr>
            <w:tcW w:w="1701" w:type="dxa"/>
            <w:vAlign w:val="center"/>
          </w:tcPr>
          <w:p w14:paraId="61731F05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42" w:type="dxa"/>
            <w:vAlign w:val="center"/>
          </w:tcPr>
          <w:p w14:paraId="1879F815" w14:textId="0C576811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90-240</w:t>
            </w:r>
          </w:p>
        </w:tc>
        <w:tc>
          <w:tcPr>
            <w:tcW w:w="1928" w:type="dxa"/>
            <w:vAlign w:val="center"/>
          </w:tcPr>
          <w:p w14:paraId="1A2EFB5F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155</w:t>
            </w:r>
          </w:p>
        </w:tc>
      </w:tr>
      <w:tr w:rsidR="00685ECA" w:rsidRPr="00685ECA" w14:paraId="0B61244B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7A847517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Ba,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468CF4E8" w14:textId="6F8BEA60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79-281</w:t>
            </w:r>
          </w:p>
        </w:tc>
        <w:tc>
          <w:tcPr>
            <w:tcW w:w="1701" w:type="dxa"/>
            <w:vAlign w:val="center"/>
          </w:tcPr>
          <w:p w14:paraId="289C445F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1842" w:type="dxa"/>
            <w:vAlign w:val="center"/>
          </w:tcPr>
          <w:p w14:paraId="0DF7AD0F" w14:textId="0189B954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32-80</w:t>
            </w:r>
          </w:p>
        </w:tc>
        <w:tc>
          <w:tcPr>
            <w:tcW w:w="1928" w:type="dxa"/>
            <w:vAlign w:val="center"/>
          </w:tcPr>
          <w:p w14:paraId="71B6C2E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53</w:t>
            </w:r>
          </w:p>
        </w:tc>
      </w:tr>
      <w:tr w:rsidR="00685ECA" w:rsidRPr="00685ECA" w14:paraId="6745DA0E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28BA003A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Zn,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02A786A4" w14:textId="7C3497DE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5-40</w:t>
            </w:r>
          </w:p>
        </w:tc>
        <w:tc>
          <w:tcPr>
            <w:tcW w:w="1701" w:type="dxa"/>
            <w:vAlign w:val="center"/>
          </w:tcPr>
          <w:p w14:paraId="6FE505AF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42" w:type="dxa"/>
            <w:vAlign w:val="center"/>
          </w:tcPr>
          <w:p w14:paraId="40180F0D" w14:textId="1F5F9765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7-20</w:t>
            </w:r>
          </w:p>
        </w:tc>
        <w:tc>
          <w:tcPr>
            <w:tcW w:w="1928" w:type="dxa"/>
            <w:vAlign w:val="center"/>
          </w:tcPr>
          <w:p w14:paraId="760635AB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18</w:t>
            </w:r>
          </w:p>
        </w:tc>
      </w:tr>
      <w:tr w:rsidR="00685ECA" w:rsidRPr="00685ECA" w14:paraId="1FA73A7B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7DCB2B84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Cu,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76515E63" w14:textId="5A1368F0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0.85-7</w:t>
            </w:r>
          </w:p>
        </w:tc>
        <w:tc>
          <w:tcPr>
            <w:tcW w:w="1701" w:type="dxa"/>
            <w:vAlign w:val="center"/>
          </w:tcPr>
          <w:p w14:paraId="2A9EEA7C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42" w:type="dxa"/>
            <w:vAlign w:val="center"/>
          </w:tcPr>
          <w:p w14:paraId="2D966DE4" w14:textId="76947CA9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4-10</w:t>
            </w:r>
          </w:p>
        </w:tc>
        <w:tc>
          <w:tcPr>
            <w:tcW w:w="1928" w:type="dxa"/>
            <w:vAlign w:val="center"/>
          </w:tcPr>
          <w:p w14:paraId="7F028B4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8</w:t>
            </w:r>
          </w:p>
        </w:tc>
      </w:tr>
      <w:tr w:rsidR="00685ECA" w:rsidRPr="00685ECA" w14:paraId="3EB4A62E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6D7B3FFF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Be,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2C530622" w14:textId="643860A6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0.3-0.5</w:t>
            </w:r>
          </w:p>
        </w:tc>
        <w:tc>
          <w:tcPr>
            <w:tcW w:w="1701" w:type="dxa"/>
            <w:vAlign w:val="center"/>
          </w:tcPr>
          <w:p w14:paraId="081F20CB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0.27</w:t>
            </w:r>
          </w:p>
        </w:tc>
        <w:tc>
          <w:tcPr>
            <w:tcW w:w="1842" w:type="dxa"/>
            <w:vAlign w:val="center"/>
          </w:tcPr>
          <w:p w14:paraId="2D39C871" w14:textId="65E6996A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0-0.2</w:t>
            </w:r>
          </w:p>
        </w:tc>
        <w:tc>
          <w:tcPr>
            <w:tcW w:w="1928" w:type="dxa"/>
            <w:vAlign w:val="center"/>
          </w:tcPr>
          <w:p w14:paraId="1CCB4F79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0.07</w:t>
            </w:r>
          </w:p>
        </w:tc>
      </w:tr>
      <w:tr w:rsidR="00685ECA" w:rsidRPr="00685ECA" w14:paraId="2F278868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335808A8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V,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5350D59E" w14:textId="00723006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6-20</w:t>
            </w:r>
          </w:p>
        </w:tc>
        <w:tc>
          <w:tcPr>
            <w:tcW w:w="1701" w:type="dxa"/>
            <w:vAlign w:val="center"/>
          </w:tcPr>
          <w:p w14:paraId="5F1FFE44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42" w:type="dxa"/>
            <w:vAlign w:val="center"/>
          </w:tcPr>
          <w:p w14:paraId="696A57CF" w14:textId="211F2D60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22-36</w:t>
            </w:r>
          </w:p>
        </w:tc>
        <w:tc>
          <w:tcPr>
            <w:tcW w:w="1928" w:type="dxa"/>
            <w:vAlign w:val="center"/>
          </w:tcPr>
          <w:p w14:paraId="2FB789A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26</w:t>
            </w:r>
          </w:p>
        </w:tc>
      </w:tr>
      <w:tr w:rsidR="00685ECA" w:rsidRPr="00685ECA" w14:paraId="7E62D498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1AA8C9FC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Cr,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585997F8" w14:textId="6965F4E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7-39</w:t>
            </w:r>
          </w:p>
        </w:tc>
        <w:tc>
          <w:tcPr>
            <w:tcW w:w="1701" w:type="dxa"/>
            <w:vAlign w:val="center"/>
          </w:tcPr>
          <w:p w14:paraId="0027F39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842" w:type="dxa"/>
            <w:vAlign w:val="center"/>
          </w:tcPr>
          <w:p w14:paraId="17B9A4CE" w14:textId="15A5D64E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28-44</w:t>
            </w:r>
          </w:p>
        </w:tc>
        <w:tc>
          <w:tcPr>
            <w:tcW w:w="1928" w:type="dxa"/>
            <w:vAlign w:val="center"/>
          </w:tcPr>
          <w:p w14:paraId="47F4335A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34</w:t>
            </w:r>
          </w:p>
        </w:tc>
      </w:tr>
      <w:tr w:rsidR="00685ECA" w:rsidRPr="00685ECA" w14:paraId="18561470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3082D9E2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Co,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26ED86F3" w14:textId="1C8FCD21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1-3</w:t>
            </w:r>
          </w:p>
        </w:tc>
        <w:tc>
          <w:tcPr>
            <w:tcW w:w="1701" w:type="dxa"/>
            <w:vAlign w:val="center"/>
          </w:tcPr>
          <w:p w14:paraId="015ED593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 w:rsidDel="00C02F76">
              <w:rPr>
                <w:rFonts w:asciiTheme="majorBidi" w:hAnsiTheme="majorBidi" w:cstheme="majorBidi"/>
              </w:rPr>
              <w:t xml:space="preserve"> </w:t>
            </w:r>
            <w:r w:rsidRPr="00685EC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42" w:type="dxa"/>
            <w:vAlign w:val="center"/>
          </w:tcPr>
          <w:p w14:paraId="2E340BD8" w14:textId="2B2C0BE1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1-4</w:t>
            </w:r>
          </w:p>
        </w:tc>
        <w:tc>
          <w:tcPr>
            <w:tcW w:w="1928" w:type="dxa"/>
            <w:vAlign w:val="center"/>
          </w:tcPr>
          <w:p w14:paraId="1DB73417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</w:t>
            </w:r>
          </w:p>
        </w:tc>
      </w:tr>
      <w:tr w:rsidR="00685ECA" w:rsidRPr="00685ECA" w14:paraId="157E6C02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395ABFC0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Ni,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697B0DA4" w14:textId="1B9C7201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6-17</w:t>
            </w:r>
          </w:p>
        </w:tc>
        <w:tc>
          <w:tcPr>
            <w:tcW w:w="1701" w:type="dxa"/>
            <w:vAlign w:val="center"/>
          </w:tcPr>
          <w:p w14:paraId="30C7297E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42" w:type="dxa"/>
            <w:vAlign w:val="center"/>
          </w:tcPr>
          <w:p w14:paraId="638F833D" w14:textId="03A62B2C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3-54</w:t>
            </w:r>
          </w:p>
        </w:tc>
        <w:tc>
          <w:tcPr>
            <w:tcW w:w="1928" w:type="dxa"/>
            <w:vAlign w:val="center"/>
          </w:tcPr>
          <w:p w14:paraId="13AAAB68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40</w:t>
            </w:r>
          </w:p>
        </w:tc>
      </w:tr>
      <w:tr w:rsidR="00685ECA" w:rsidRPr="00685ECA" w14:paraId="46385E6A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2E02372F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As,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260BD13B" w14:textId="16C1F61A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0.7-2</w:t>
            </w:r>
          </w:p>
        </w:tc>
        <w:tc>
          <w:tcPr>
            <w:tcW w:w="1701" w:type="dxa"/>
            <w:vAlign w:val="center"/>
          </w:tcPr>
          <w:p w14:paraId="2E667F07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42" w:type="dxa"/>
            <w:vAlign w:val="center"/>
          </w:tcPr>
          <w:p w14:paraId="2D240B08" w14:textId="7106052E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6-14</w:t>
            </w:r>
          </w:p>
        </w:tc>
        <w:tc>
          <w:tcPr>
            <w:tcW w:w="1928" w:type="dxa"/>
            <w:vAlign w:val="center"/>
          </w:tcPr>
          <w:p w14:paraId="5AC8036D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10</w:t>
            </w:r>
          </w:p>
        </w:tc>
      </w:tr>
      <w:tr w:rsidR="00685ECA" w:rsidRPr="00685ECA" w14:paraId="75F96ACF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7B8ADEF9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85ECA">
              <w:rPr>
                <w:rFonts w:asciiTheme="majorBidi" w:hAnsiTheme="majorBidi" w:cstheme="majorBidi"/>
                <w:b/>
                <w:bCs/>
              </w:rPr>
              <w:t>Pb</w:t>
            </w:r>
            <w:proofErr w:type="spellEnd"/>
            <w:r w:rsidRPr="00685ECA">
              <w:rPr>
                <w:rFonts w:asciiTheme="majorBidi" w:hAnsiTheme="majorBidi" w:cstheme="majorBidi"/>
                <w:b/>
                <w:bCs/>
              </w:rPr>
              <w:t>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1998E7D4" w14:textId="04C8E9B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2-10</w:t>
            </w:r>
          </w:p>
        </w:tc>
        <w:tc>
          <w:tcPr>
            <w:tcW w:w="1701" w:type="dxa"/>
            <w:vAlign w:val="center"/>
          </w:tcPr>
          <w:p w14:paraId="1A025CC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42" w:type="dxa"/>
            <w:vAlign w:val="center"/>
          </w:tcPr>
          <w:p w14:paraId="67ACF615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28" w:type="dxa"/>
            <w:vAlign w:val="center"/>
          </w:tcPr>
          <w:p w14:paraId="716976A4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</w:t>
            </w:r>
          </w:p>
        </w:tc>
      </w:tr>
      <w:tr w:rsidR="00685ECA" w:rsidRPr="00685ECA" w14:paraId="3EB983CC" w14:textId="77777777" w:rsidTr="005D12CF">
        <w:trPr>
          <w:trHeight w:val="284"/>
        </w:trPr>
        <w:tc>
          <w:tcPr>
            <w:tcW w:w="1696" w:type="dxa"/>
            <w:vAlign w:val="center"/>
          </w:tcPr>
          <w:p w14:paraId="7C838380" w14:textId="77777777" w:rsidR="002E24BA" w:rsidRPr="00685ECA" w:rsidRDefault="002E24BA" w:rsidP="005D12CF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Mo,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5C58D2E3" w14:textId="5C16E62C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0-20</w:t>
            </w:r>
          </w:p>
        </w:tc>
        <w:tc>
          <w:tcPr>
            <w:tcW w:w="1701" w:type="dxa"/>
            <w:vAlign w:val="center"/>
          </w:tcPr>
          <w:p w14:paraId="569F4560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42" w:type="dxa"/>
            <w:vAlign w:val="center"/>
          </w:tcPr>
          <w:p w14:paraId="373557D5" w14:textId="4D651DEF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1-5</w:t>
            </w:r>
          </w:p>
        </w:tc>
        <w:tc>
          <w:tcPr>
            <w:tcW w:w="1928" w:type="dxa"/>
            <w:vAlign w:val="center"/>
          </w:tcPr>
          <w:p w14:paraId="147745B2" w14:textId="77777777" w:rsidR="002E24BA" w:rsidRPr="00685ECA" w:rsidRDefault="002E24BA" w:rsidP="005D12CF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</w:t>
            </w:r>
          </w:p>
        </w:tc>
      </w:tr>
    </w:tbl>
    <w:p w14:paraId="6E02038C" w14:textId="77777777" w:rsidR="002E24BA" w:rsidRPr="00685ECA" w:rsidRDefault="002E24BA" w:rsidP="002E24BA">
      <w:r w:rsidRPr="00685ECA">
        <w:t xml:space="preserve"> </w:t>
      </w:r>
    </w:p>
    <w:p w14:paraId="0EBFF859" w14:textId="77777777" w:rsidR="00440F8C" w:rsidRPr="00685ECA" w:rsidRDefault="00440F8C" w:rsidP="00440F8C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16AB6D24" w14:textId="25FE907A" w:rsidR="00161446" w:rsidRPr="00685ECA" w:rsidRDefault="00161446" w:rsidP="00161446">
      <w:pPr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  <w:b/>
          <w:bCs/>
        </w:rPr>
        <w:t>Table</w:t>
      </w:r>
      <w:r w:rsidR="002E24BA" w:rsidRPr="00685ECA">
        <w:rPr>
          <w:rFonts w:asciiTheme="majorBidi" w:hAnsiTheme="majorBidi" w:cstheme="majorBidi"/>
          <w:b/>
          <w:bCs/>
        </w:rPr>
        <w:t xml:space="preserve"> </w:t>
      </w:r>
      <w:r w:rsidRPr="00685ECA">
        <w:rPr>
          <w:rFonts w:asciiTheme="majorBidi" w:hAnsiTheme="majorBidi" w:cstheme="majorBidi"/>
          <w:b/>
          <w:bCs/>
        </w:rPr>
        <w:t>S</w:t>
      </w:r>
      <w:r w:rsidR="002E24BA" w:rsidRPr="00685ECA">
        <w:rPr>
          <w:rFonts w:asciiTheme="majorBidi" w:hAnsiTheme="majorBidi" w:cstheme="majorBidi"/>
          <w:b/>
          <w:bCs/>
        </w:rPr>
        <w:t>2</w:t>
      </w:r>
      <w:r w:rsidRPr="00685ECA">
        <w:rPr>
          <w:rFonts w:asciiTheme="majorBidi" w:hAnsiTheme="majorBidi" w:cstheme="majorBidi"/>
          <w:b/>
          <w:bCs/>
        </w:rPr>
        <w:t>.</w:t>
      </w:r>
      <w:r w:rsidRPr="00685ECA">
        <w:rPr>
          <w:rFonts w:asciiTheme="majorBidi" w:hAnsiTheme="majorBidi" w:cstheme="majorBidi"/>
        </w:rPr>
        <w:t xml:space="preserve"> Range and average concentrations (mg/L) of major and trace metals in porewater collected from Khor Al-Adaid and Dohat Faishakh sabkhas</w:t>
      </w:r>
      <w:r w:rsidR="00CB392C" w:rsidRPr="00685ECA">
        <w:rPr>
          <w:rFonts w:asciiTheme="majorBidi" w:hAnsiTheme="majorBidi" w:cstheme="majorBidi"/>
        </w:rPr>
        <w:t>.</w:t>
      </w:r>
    </w:p>
    <w:p w14:paraId="4986C87B" w14:textId="77777777" w:rsidR="00161446" w:rsidRPr="00685ECA" w:rsidRDefault="00161446" w:rsidP="001614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81"/>
        <w:gridCol w:w="1701"/>
        <w:gridCol w:w="1842"/>
        <w:gridCol w:w="1928"/>
      </w:tblGrid>
      <w:tr w:rsidR="00685ECA" w:rsidRPr="00685ECA" w14:paraId="0DBCD48B" w14:textId="77777777" w:rsidTr="00445FD9">
        <w:trPr>
          <w:trHeight w:val="405"/>
        </w:trPr>
        <w:tc>
          <w:tcPr>
            <w:tcW w:w="1696" w:type="dxa"/>
            <w:vAlign w:val="center"/>
          </w:tcPr>
          <w:p w14:paraId="52C5FEAF" w14:textId="5091548A" w:rsidR="00161446" w:rsidRPr="00685ECA" w:rsidRDefault="00161446" w:rsidP="00445FD9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Concentration (mg/</w:t>
            </w:r>
            <w:r w:rsidR="00CB392C" w:rsidRPr="00685ECA">
              <w:rPr>
                <w:rFonts w:asciiTheme="majorBidi" w:hAnsiTheme="majorBidi" w:cstheme="majorBidi"/>
              </w:rPr>
              <w:t>L</w:t>
            </w:r>
            <w:r w:rsidRPr="00685ECA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282" w:type="dxa"/>
            <w:gridSpan w:val="2"/>
            <w:vAlign w:val="center"/>
          </w:tcPr>
          <w:p w14:paraId="10C85DEA" w14:textId="355CFAD5" w:rsidR="00161446" w:rsidRPr="00685ECA" w:rsidRDefault="00161446" w:rsidP="00445FD9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Khor Al-Adaid porewater</w:t>
            </w:r>
          </w:p>
        </w:tc>
        <w:tc>
          <w:tcPr>
            <w:tcW w:w="3770" w:type="dxa"/>
            <w:gridSpan w:val="2"/>
            <w:vAlign w:val="center"/>
          </w:tcPr>
          <w:p w14:paraId="71C7816B" w14:textId="2FC28BD5" w:rsidR="00161446" w:rsidRPr="00685ECA" w:rsidRDefault="00161446" w:rsidP="00445FD9">
            <w:pPr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Dohat Faishakh Sabkha porewater</w:t>
            </w:r>
          </w:p>
        </w:tc>
      </w:tr>
      <w:tr w:rsidR="00685ECA" w:rsidRPr="00685ECA" w14:paraId="71828EDD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203296EA" w14:textId="77777777" w:rsidR="00161446" w:rsidRPr="00685ECA" w:rsidRDefault="00161446" w:rsidP="00445F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81" w:type="dxa"/>
            <w:vAlign w:val="center"/>
          </w:tcPr>
          <w:p w14:paraId="4FD44E3F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Range</w:t>
            </w:r>
          </w:p>
        </w:tc>
        <w:tc>
          <w:tcPr>
            <w:tcW w:w="1701" w:type="dxa"/>
            <w:vAlign w:val="center"/>
          </w:tcPr>
          <w:p w14:paraId="1ECAAC6B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Average</w:t>
            </w:r>
          </w:p>
        </w:tc>
        <w:tc>
          <w:tcPr>
            <w:tcW w:w="1842" w:type="dxa"/>
            <w:vAlign w:val="center"/>
          </w:tcPr>
          <w:p w14:paraId="60453D11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Range</w:t>
            </w:r>
          </w:p>
        </w:tc>
        <w:tc>
          <w:tcPr>
            <w:tcW w:w="1928" w:type="dxa"/>
            <w:vAlign w:val="center"/>
          </w:tcPr>
          <w:p w14:paraId="5B4497DB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Average</w:t>
            </w:r>
          </w:p>
        </w:tc>
      </w:tr>
      <w:tr w:rsidR="00685ECA" w:rsidRPr="00685ECA" w14:paraId="448CB107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38AF9A1D" w14:textId="77777777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Na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+</w:t>
            </w:r>
            <w:r w:rsidRPr="00685ECA">
              <w:rPr>
                <w:rFonts w:asciiTheme="majorBidi" w:hAnsiTheme="majorBidi" w:cstheme="majorBidi"/>
                <w:b/>
                <w:bCs/>
              </w:rPr>
              <w:t>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43B81EAE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36-46</w:t>
            </w:r>
          </w:p>
        </w:tc>
        <w:tc>
          <w:tcPr>
            <w:tcW w:w="1701" w:type="dxa"/>
            <w:vAlign w:val="center"/>
          </w:tcPr>
          <w:p w14:paraId="097DD261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41.2</w:t>
            </w:r>
          </w:p>
        </w:tc>
        <w:tc>
          <w:tcPr>
            <w:tcW w:w="1842" w:type="dxa"/>
            <w:vAlign w:val="center"/>
          </w:tcPr>
          <w:p w14:paraId="3AFC8C8F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92-100</w:t>
            </w:r>
          </w:p>
        </w:tc>
        <w:tc>
          <w:tcPr>
            <w:tcW w:w="1928" w:type="dxa"/>
            <w:vAlign w:val="center"/>
          </w:tcPr>
          <w:p w14:paraId="05A92212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97</w:t>
            </w:r>
          </w:p>
        </w:tc>
      </w:tr>
      <w:tr w:rsidR="00685ECA" w:rsidRPr="00685ECA" w14:paraId="037300D4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647044FD" w14:textId="56CF9B4A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K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+</w:t>
            </w:r>
            <w:r w:rsidRPr="00685ECA">
              <w:rPr>
                <w:rFonts w:asciiTheme="majorBidi" w:hAnsiTheme="majorBidi" w:cstheme="majorBidi"/>
                <w:b/>
                <w:bCs/>
              </w:rPr>
              <w:t>,</w:t>
            </w:r>
            <w:r w:rsidR="00334CD9" w:rsidRPr="00685EC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685ECA">
              <w:rPr>
                <w:rFonts w:asciiTheme="majorBidi" w:hAnsiTheme="majorBidi" w:cstheme="majorBidi"/>
                <w:b/>
                <w:bCs/>
              </w:rPr>
              <w:t>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421389E2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1.2-1.5</w:t>
            </w:r>
          </w:p>
        </w:tc>
        <w:tc>
          <w:tcPr>
            <w:tcW w:w="1701" w:type="dxa"/>
            <w:vAlign w:val="center"/>
          </w:tcPr>
          <w:p w14:paraId="029D7321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1.34</w:t>
            </w:r>
          </w:p>
        </w:tc>
        <w:tc>
          <w:tcPr>
            <w:tcW w:w="1842" w:type="dxa"/>
            <w:vAlign w:val="center"/>
          </w:tcPr>
          <w:p w14:paraId="6D566C29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2.6-2.9</w:t>
            </w:r>
          </w:p>
        </w:tc>
        <w:tc>
          <w:tcPr>
            <w:tcW w:w="1928" w:type="dxa"/>
            <w:vAlign w:val="center"/>
          </w:tcPr>
          <w:p w14:paraId="2780636C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2.7</w:t>
            </w:r>
          </w:p>
        </w:tc>
      </w:tr>
      <w:tr w:rsidR="00685ECA" w:rsidRPr="00685ECA" w14:paraId="72184BD8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6DF36947" w14:textId="7134E905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Mg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+2</w:t>
            </w:r>
            <w:r w:rsidRPr="00685ECA">
              <w:rPr>
                <w:rFonts w:asciiTheme="majorBidi" w:hAnsiTheme="majorBidi" w:cstheme="majorBidi"/>
                <w:b/>
                <w:bCs/>
              </w:rPr>
              <w:t>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2E1AC5B3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4-5.1</w:t>
            </w:r>
          </w:p>
        </w:tc>
        <w:tc>
          <w:tcPr>
            <w:tcW w:w="1701" w:type="dxa"/>
            <w:vAlign w:val="center"/>
          </w:tcPr>
          <w:p w14:paraId="541F3613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4.5</w:t>
            </w:r>
          </w:p>
        </w:tc>
        <w:tc>
          <w:tcPr>
            <w:tcW w:w="1842" w:type="dxa"/>
            <w:vAlign w:val="center"/>
          </w:tcPr>
          <w:p w14:paraId="4C6A4CC5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9.2-10.3</w:t>
            </w:r>
          </w:p>
        </w:tc>
        <w:tc>
          <w:tcPr>
            <w:tcW w:w="1928" w:type="dxa"/>
            <w:vAlign w:val="center"/>
          </w:tcPr>
          <w:p w14:paraId="2510018D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10</w:t>
            </w:r>
          </w:p>
        </w:tc>
      </w:tr>
      <w:tr w:rsidR="00685ECA" w:rsidRPr="00685ECA" w14:paraId="407B2000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2922A491" w14:textId="1087B811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Cl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</w:t>
            </w:r>
            <w:r w:rsidR="00334CD9" w:rsidRPr="00685ECA">
              <w:rPr>
                <w:rFonts w:asciiTheme="majorBidi" w:hAnsiTheme="majorBidi" w:cstheme="majorBidi"/>
                <w:b/>
                <w:bCs/>
              </w:rPr>
              <w:t xml:space="preserve">, </w:t>
            </w:r>
            <w:r w:rsidRPr="00685ECA">
              <w:rPr>
                <w:rFonts w:asciiTheme="majorBidi" w:hAnsiTheme="majorBidi" w:cstheme="majorBidi"/>
                <w:b/>
                <w:bCs/>
              </w:rPr>
              <w:t>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31101556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62-80</w:t>
            </w:r>
          </w:p>
        </w:tc>
        <w:tc>
          <w:tcPr>
            <w:tcW w:w="1701" w:type="dxa"/>
            <w:vAlign w:val="center"/>
          </w:tcPr>
          <w:p w14:paraId="510F42BB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842" w:type="dxa"/>
            <w:vAlign w:val="center"/>
          </w:tcPr>
          <w:p w14:paraId="517FEC81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158-171</w:t>
            </w:r>
          </w:p>
        </w:tc>
        <w:tc>
          <w:tcPr>
            <w:tcW w:w="1928" w:type="dxa"/>
            <w:vAlign w:val="center"/>
          </w:tcPr>
          <w:p w14:paraId="33A0F245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165</w:t>
            </w:r>
          </w:p>
        </w:tc>
      </w:tr>
      <w:tr w:rsidR="00685ECA" w:rsidRPr="00685ECA" w14:paraId="09C03369" w14:textId="77777777" w:rsidTr="00445FD9">
        <w:trPr>
          <w:trHeight w:val="284"/>
        </w:trPr>
        <w:tc>
          <w:tcPr>
            <w:tcW w:w="1696" w:type="dxa"/>
            <w:vAlign w:val="center"/>
          </w:tcPr>
          <w:p w14:paraId="4E877F29" w14:textId="73FBFAF9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NO</w:t>
            </w:r>
            <w:r w:rsidRPr="00685ECA">
              <w:rPr>
                <w:rFonts w:asciiTheme="majorBidi" w:hAnsiTheme="majorBidi" w:cstheme="majorBidi"/>
                <w:b/>
                <w:bCs/>
                <w:vertAlign w:val="subscript"/>
              </w:rPr>
              <w:t>3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</w:t>
            </w:r>
            <w:r w:rsidRPr="00685ECA">
              <w:rPr>
                <w:rFonts w:asciiTheme="majorBidi" w:hAnsiTheme="majorBidi" w:cstheme="majorBidi"/>
                <w:b/>
                <w:bCs/>
              </w:rPr>
              <w:t>,</w:t>
            </w:r>
            <w:r w:rsidR="00334CD9" w:rsidRPr="00685ECA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685ECA">
              <w:rPr>
                <w:rFonts w:asciiTheme="majorBidi" w:hAnsiTheme="majorBidi" w:cstheme="majorBidi"/>
                <w:b/>
                <w:bCs/>
              </w:rPr>
              <w:t>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3F261598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0-2.33</w:t>
            </w:r>
          </w:p>
        </w:tc>
        <w:tc>
          <w:tcPr>
            <w:tcW w:w="1701" w:type="dxa"/>
            <w:vAlign w:val="center"/>
          </w:tcPr>
          <w:p w14:paraId="33174FEC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1.6</w:t>
            </w:r>
          </w:p>
        </w:tc>
        <w:tc>
          <w:tcPr>
            <w:tcW w:w="1842" w:type="dxa"/>
            <w:vAlign w:val="center"/>
          </w:tcPr>
          <w:p w14:paraId="2061D333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28" w:type="dxa"/>
            <w:vAlign w:val="center"/>
          </w:tcPr>
          <w:p w14:paraId="63F0036C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0</w:t>
            </w:r>
          </w:p>
        </w:tc>
      </w:tr>
      <w:tr w:rsidR="00161446" w:rsidRPr="00685ECA" w14:paraId="126E41F4" w14:textId="77777777" w:rsidTr="00445FD9">
        <w:trPr>
          <w:trHeight w:val="291"/>
        </w:trPr>
        <w:tc>
          <w:tcPr>
            <w:tcW w:w="1696" w:type="dxa"/>
            <w:vAlign w:val="center"/>
          </w:tcPr>
          <w:p w14:paraId="2D80E936" w14:textId="69323780" w:rsidR="00161446" w:rsidRPr="00685ECA" w:rsidRDefault="00161446" w:rsidP="00445FD9">
            <w:pPr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SO4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-2</w:t>
            </w:r>
            <w:r w:rsidRPr="00685ECA">
              <w:rPr>
                <w:rFonts w:asciiTheme="majorBidi" w:hAnsiTheme="majorBidi" w:cstheme="majorBidi"/>
                <w:b/>
                <w:bCs/>
              </w:rPr>
              <w:t>, 10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-3</w:t>
            </w:r>
          </w:p>
        </w:tc>
        <w:tc>
          <w:tcPr>
            <w:tcW w:w="1581" w:type="dxa"/>
            <w:vAlign w:val="center"/>
          </w:tcPr>
          <w:p w14:paraId="457F7A95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9-15</w:t>
            </w:r>
          </w:p>
        </w:tc>
        <w:tc>
          <w:tcPr>
            <w:tcW w:w="1701" w:type="dxa"/>
            <w:vAlign w:val="center"/>
          </w:tcPr>
          <w:p w14:paraId="468E8849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42" w:type="dxa"/>
            <w:vAlign w:val="center"/>
          </w:tcPr>
          <w:p w14:paraId="650F3069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11-15</w:t>
            </w:r>
          </w:p>
        </w:tc>
        <w:tc>
          <w:tcPr>
            <w:tcW w:w="1928" w:type="dxa"/>
            <w:vAlign w:val="center"/>
          </w:tcPr>
          <w:p w14:paraId="12C10876" w14:textId="77777777" w:rsidR="00161446" w:rsidRPr="00685ECA" w:rsidRDefault="00161446" w:rsidP="00445FD9">
            <w:pPr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13</w:t>
            </w:r>
          </w:p>
        </w:tc>
      </w:tr>
    </w:tbl>
    <w:p w14:paraId="2AE4F220" w14:textId="77777777" w:rsidR="00161446" w:rsidRPr="00685ECA" w:rsidRDefault="00161446" w:rsidP="00161446"/>
    <w:p w14:paraId="05833016" w14:textId="77777777" w:rsidR="00334CD9" w:rsidRPr="00685ECA" w:rsidRDefault="00334CD9" w:rsidP="002E24B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6E054DF0" w14:textId="7927C37B" w:rsidR="002E24BA" w:rsidRPr="00685ECA" w:rsidRDefault="002E24BA" w:rsidP="002E24BA">
      <w:pPr>
        <w:spacing w:line="360" w:lineRule="auto"/>
        <w:jc w:val="both"/>
        <w:rPr>
          <w:rFonts w:asciiTheme="majorBidi" w:hAnsiTheme="majorBidi" w:cstheme="majorBidi"/>
        </w:rPr>
      </w:pPr>
      <w:r w:rsidRPr="00685ECA">
        <w:rPr>
          <w:rFonts w:asciiTheme="majorBidi" w:hAnsiTheme="majorBidi" w:cstheme="majorBidi"/>
          <w:b/>
          <w:bCs/>
        </w:rPr>
        <w:lastRenderedPageBreak/>
        <w:t>Table S3</w:t>
      </w:r>
      <w:r w:rsidRPr="00685ECA">
        <w:rPr>
          <w:rFonts w:asciiTheme="majorBidi" w:hAnsiTheme="majorBidi" w:cstheme="majorBidi"/>
          <w:b/>
        </w:rPr>
        <w:t>.</w:t>
      </w:r>
      <w:r w:rsidRPr="00685ECA">
        <w:rPr>
          <w:rFonts w:asciiTheme="majorBidi" w:hAnsiTheme="majorBidi" w:cstheme="majorBidi"/>
        </w:rPr>
        <w:t xml:space="preserve"> Measured radiocarbon values at Khor Al-Adaid sabkha at 35 and 40 cm depths. 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148"/>
        <w:gridCol w:w="914"/>
        <w:gridCol w:w="1770"/>
        <w:gridCol w:w="2122"/>
        <w:gridCol w:w="1701"/>
        <w:gridCol w:w="1985"/>
      </w:tblGrid>
      <w:tr w:rsidR="00685ECA" w:rsidRPr="00685ECA" w14:paraId="794E7D0A" w14:textId="77777777" w:rsidTr="005D12CF">
        <w:tc>
          <w:tcPr>
            <w:tcW w:w="1148" w:type="dxa"/>
          </w:tcPr>
          <w:p w14:paraId="5C8BF33C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Site</w:t>
            </w:r>
          </w:p>
        </w:tc>
        <w:tc>
          <w:tcPr>
            <w:tcW w:w="914" w:type="dxa"/>
          </w:tcPr>
          <w:p w14:paraId="7FFF3928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Depth (cm)</w:t>
            </w:r>
          </w:p>
        </w:tc>
        <w:tc>
          <w:tcPr>
            <w:tcW w:w="1770" w:type="dxa"/>
          </w:tcPr>
          <w:p w14:paraId="7D40B71A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Sample Type</w:t>
            </w:r>
          </w:p>
        </w:tc>
        <w:tc>
          <w:tcPr>
            <w:tcW w:w="2122" w:type="dxa"/>
          </w:tcPr>
          <w:p w14:paraId="36BD5F26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D</w:t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14</w:t>
            </w:r>
            <w:r w:rsidRPr="00685ECA">
              <w:rPr>
                <w:rFonts w:asciiTheme="majorBidi" w:hAnsiTheme="majorBidi" w:cstheme="majorBidi"/>
                <w:b/>
                <w:bCs/>
              </w:rPr>
              <w:t xml:space="preserve"> C</w:t>
            </w:r>
          </w:p>
          <w:p w14:paraId="19F814A4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(Standard deviation)</w:t>
            </w:r>
          </w:p>
        </w:tc>
        <w:tc>
          <w:tcPr>
            <w:tcW w:w="1701" w:type="dxa"/>
          </w:tcPr>
          <w:p w14:paraId="5D3C9744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t>Age (BP)</w:t>
            </w:r>
          </w:p>
        </w:tc>
        <w:tc>
          <w:tcPr>
            <w:tcW w:w="1985" w:type="dxa"/>
          </w:tcPr>
          <w:p w14:paraId="7883F4AD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85ECA">
              <w:rPr>
                <w:rFonts w:asciiTheme="majorBidi" w:hAnsiTheme="majorBidi" w:cstheme="majorBidi"/>
                <w:b/>
                <w:bCs/>
              </w:rPr>
              <w:sym w:font="Symbol" w:char="F044"/>
            </w:r>
            <w:r w:rsidRPr="00685ECA">
              <w:rPr>
                <w:rFonts w:asciiTheme="majorBidi" w:hAnsiTheme="majorBidi" w:cstheme="majorBidi"/>
                <w:b/>
                <w:bCs/>
                <w:vertAlign w:val="superscript"/>
              </w:rPr>
              <w:t>14</w:t>
            </w:r>
            <w:r w:rsidRPr="00685ECA">
              <w:rPr>
                <w:rFonts w:asciiTheme="majorBidi" w:hAnsiTheme="majorBidi" w:cstheme="majorBidi"/>
                <w:b/>
                <w:bCs/>
              </w:rPr>
              <w:t xml:space="preserve"> C</w:t>
            </w:r>
          </w:p>
        </w:tc>
      </w:tr>
      <w:tr w:rsidR="00685ECA" w:rsidRPr="00685ECA" w14:paraId="26B1FEE9" w14:textId="77777777" w:rsidTr="005D12CF">
        <w:tc>
          <w:tcPr>
            <w:tcW w:w="1148" w:type="dxa"/>
            <w:vMerge w:val="restart"/>
            <w:vAlign w:val="center"/>
          </w:tcPr>
          <w:p w14:paraId="531FF3EC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685ECA">
              <w:rPr>
                <w:rFonts w:asciiTheme="majorBidi" w:hAnsiTheme="majorBidi" w:cstheme="majorBidi"/>
              </w:rPr>
              <w:t>Khor</w:t>
            </w:r>
            <w:proofErr w:type="spellEnd"/>
            <w:r w:rsidRPr="00685ECA">
              <w:rPr>
                <w:rFonts w:asciiTheme="majorBidi" w:hAnsiTheme="majorBidi" w:cstheme="majorBidi"/>
              </w:rPr>
              <w:t xml:space="preserve"> Al-</w:t>
            </w:r>
            <w:proofErr w:type="spellStart"/>
            <w:r w:rsidRPr="00685ECA">
              <w:rPr>
                <w:rFonts w:asciiTheme="majorBidi" w:hAnsiTheme="majorBidi" w:cstheme="majorBidi"/>
              </w:rPr>
              <w:t>Adaid</w:t>
            </w:r>
            <w:proofErr w:type="spellEnd"/>
          </w:p>
        </w:tc>
        <w:tc>
          <w:tcPr>
            <w:tcW w:w="914" w:type="dxa"/>
          </w:tcPr>
          <w:p w14:paraId="0BDD985A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770" w:type="dxa"/>
          </w:tcPr>
          <w:p w14:paraId="4F2A7296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Carbonate</w:t>
            </w:r>
          </w:p>
        </w:tc>
        <w:tc>
          <w:tcPr>
            <w:tcW w:w="2122" w:type="dxa"/>
          </w:tcPr>
          <w:p w14:paraId="2A7ABFAE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-936.15 (-0.56)</w:t>
            </w:r>
          </w:p>
        </w:tc>
        <w:tc>
          <w:tcPr>
            <w:tcW w:w="1701" w:type="dxa"/>
          </w:tcPr>
          <w:p w14:paraId="42185239" w14:textId="77777777" w:rsidR="002E24BA" w:rsidRPr="00685ECA" w:rsidRDefault="002E24BA" w:rsidP="005D12CF">
            <w:pPr>
              <w:pStyle w:val="NormalWeb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22100 ± 70</w:t>
            </w:r>
          </w:p>
        </w:tc>
        <w:tc>
          <w:tcPr>
            <w:tcW w:w="1985" w:type="dxa"/>
          </w:tcPr>
          <w:p w14:paraId="3A1730A5" w14:textId="77777777" w:rsidR="002E24BA" w:rsidRPr="00685ECA" w:rsidRDefault="002E24BA" w:rsidP="005D12CF">
            <w:pPr>
              <w:pStyle w:val="NormalWeb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-936.70 (-0.56)</w:t>
            </w:r>
          </w:p>
        </w:tc>
      </w:tr>
      <w:tr w:rsidR="00685ECA" w:rsidRPr="00685ECA" w14:paraId="52BA4CCF" w14:textId="77777777" w:rsidTr="005D12CF">
        <w:tc>
          <w:tcPr>
            <w:tcW w:w="1148" w:type="dxa"/>
            <w:vMerge/>
          </w:tcPr>
          <w:p w14:paraId="158D09BD" w14:textId="77777777" w:rsidR="002E24BA" w:rsidRPr="00685ECA" w:rsidRDefault="002E24BA" w:rsidP="005D12C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</w:tcPr>
          <w:p w14:paraId="5EBB4A03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770" w:type="dxa"/>
          </w:tcPr>
          <w:p w14:paraId="52133153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Carbonate</w:t>
            </w:r>
          </w:p>
        </w:tc>
        <w:tc>
          <w:tcPr>
            <w:tcW w:w="2122" w:type="dxa"/>
          </w:tcPr>
          <w:p w14:paraId="45582DFF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-885.37 (-0.71)</w:t>
            </w:r>
          </w:p>
        </w:tc>
        <w:tc>
          <w:tcPr>
            <w:tcW w:w="1701" w:type="dxa"/>
          </w:tcPr>
          <w:p w14:paraId="62E9583E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17400 ± 50</w:t>
            </w:r>
          </w:p>
        </w:tc>
        <w:tc>
          <w:tcPr>
            <w:tcW w:w="1985" w:type="dxa"/>
          </w:tcPr>
          <w:p w14:paraId="2CEB1CBD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-886.37 (-0.71)</w:t>
            </w:r>
          </w:p>
        </w:tc>
      </w:tr>
      <w:tr w:rsidR="00685ECA" w:rsidRPr="00685ECA" w14:paraId="1541F9CC" w14:textId="77777777" w:rsidTr="005D12CF">
        <w:tc>
          <w:tcPr>
            <w:tcW w:w="1148" w:type="dxa"/>
            <w:vMerge/>
          </w:tcPr>
          <w:p w14:paraId="50218C59" w14:textId="77777777" w:rsidR="002E24BA" w:rsidRPr="00685ECA" w:rsidRDefault="002E24BA" w:rsidP="005D12C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</w:tcPr>
          <w:p w14:paraId="3212026E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770" w:type="dxa"/>
          </w:tcPr>
          <w:p w14:paraId="77F41677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Organic carbon</w:t>
            </w:r>
          </w:p>
        </w:tc>
        <w:tc>
          <w:tcPr>
            <w:tcW w:w="2122" w:type="dxa"/>
          </w:tcPr>
          <w:p w14:paraId="6A0ED1A2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-607.38 (-1.48)</w:t>
            </w:r>
          </w:p>
        </w:tc>
        <w:tc>
          <w:tcPr>
            <w:tcW w:w="1701" w:type="dxa"/>
          </w:tcPr>
          <w:p w14:paraId="558D1E2C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7150 ± 30</w:t>
            </w:r>
          </w:p>
        </w:tc>
        <w:tc>
          <w:tcPr>
            <w:tcW w:w="1985" w:type="dxa"/>
          </w:tcPr>
          <w:p w14:paraId="21CB7486" w14:textId="77777777" w:rsidR="002E24BA" w:rsidRPr="00685ECA" w:rsidRDefault="002E24BA" w:rsidP="005D12C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85ECA">
              <w:rPr>
                <w:rFonts w:asciiTheme="majorBidi" w:hAnsiTheme="majorBidi" w:cstheme="majorBidi"/>
              </w:rPr>
              <w:t>-610.78</w:t>
            </w:r>
            <w:r w:rsidRPr="00685ECA" w:rsidDel="002B31C4">
              <w:rPr>
                <w:rFonts w:asciiTheme="majorBidi" w:hAnsiTheme="majorBidi" w:cstheme="majorBidi"/>
              </w:rPr>
              <w:t xml:space="preserve"> </w:t>
            </w:r>
            <w:r w:rsidRPr="00685ECA">
              <w:rPr>
                <w:rFonts w:asciiTheme="majorBidi" w:hAnsiTheme="majorBidi" w:cstheme="majorBidi"/>
              </w:rPr>
              <w:t>(-1.47)</w:t>
            </w:r>
            <w:bookmarkStart w:id="2" w:name="_GoBack"/>
            <w:bookmarkEnd w:id="2"/>
          </w:p>
        </w:tc>
      </w:tr>
    </w:tbl>
    <w:p w14:paraId="1F18B4AB" w14:textId="77777777" w:rsidR="002E24BA" w:rsidRPr="00685ECA" w:rsidRDefault="002E24BA" w:rsidP="002E24BA">
      <w:pPr>
        <w:spacing w:line="360" w:lineRule="auto"/>
        <w:jc w:val="both"/>
        <w:rPr>
          <w:rFonts w:asciiTheme="majorBidi" w:hAnsiTheme="majorBidi" w:cstheme="majorBidi"/>
        </w:rPr>
      </w:pPr>
    </w:p>
    <w:p w14:paraId="16CE932D" w14:textId="77777777" w:rsidR="002E24BA" w:rsidRPr="00685ECA" w:rsidRDefault="002E24BA" w:rsidP="002E24BA">
      <w:pPr>
        <w:spacing w:line="360" w:lineRule="auto"/>
        <w:jc w:val="both"/>
        <w:rPr>
          <w:rFonts w:asciiTheme="majorBidi" w:hAnsiTheme="majorBidi" w:cstheme="majorBidi"/>
        </w:rPr>
      </w:pPr>
    </w:p>
    <w:p w14:paraId="4EB52724" w14:textId="6219E48C" w:rsidR="00161446" w:rsidRPr="00685ECA" w:rsidRDefault="00161446"/>
    <w:sectPr w:rsidR="00161446" w:rsidRPr="00685ECA" w:rsidSect="00685E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91F17"/>
    <w:multiLevelType w:val="hybridMultilevel"/>
    <w:tmpl w:val="FE524BC4"/>
    <w:lvl w:ilvl="0" w:tplc="150CBA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6C6ABB"/>
    <w:multiLevelType w:val="multilevel"/>
    <w:tmpl w:val="18409B5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D"/>
    <w:rsid w:val="00027940"/>
    <w:rsid w:val="0003467B"/>
    <w:rsid w:val="00041535"/>
    <w:rsid w:val="000601FD"/>
    <w:rsid w:val="00077DF0"/>
    <w:rsid w:val="000851D3"/>
    <w:rsid w:val="000876A2"/>
    <w:rsid w:val="00093442"/>
    <w:rsid w:val="000938A1"/>
    <w:rsid w:val="000A2635"/>
    <w:rsid w:val="000A2F50"/>
    <w:rsid w:val="000B2CA9"/>
    <w:rsid w:val="000D5662"/>
    <w:rsid w:val="000D5F40"/>
    <w:rsid w:val="000D6085"/>
    <w:rsid w:val="000E0C33"/>
    <w:rsid w:val="000E7812"/>
    <w:rsid w:val="00103D51"/>
    <w:rsid w:val="00107403"/>
    <w:rsid w:val="00120C2B"/>
    <w:rsid w:val="001366F7"/>
    <w:rsid w:val="00142CD7"/>
    <w:rsid w:val="00142E86"/>
    <w:rsid w:val="00145FAF"/>
    <w:rsid w:val="00155355"/>
    <w:rsid w:val="00156F52"/>
    <w:rsid w:val="00161446"/>
    <w:rsid w:val="001661E5"/>
    <w:rsid w:val="001667D2"/>
    <w:rsid w:val="001710A4"/>
    <w:rsid w:val="00175271"/>
    <w:rsid w:val="00185649"/>
    <w:rsid w:val="001C4F4A"/>
    <w:rsid w:val="001D18F9"/>
    <w:rsid w:val="001D5B50"/>
    <w:rsid w:val="001E2A22"/>
    <w:rsid w:val="001F0C58"/>
    <w:rsid w:val="001F41A0"/>
    <w:rsid w:val="001F6C8D"/>
    <w:rsid w:val="00202B7A"/>
    <w:rsid w:val="00203969"/>
    <w:rsid w:val="002050E2"/>
    <w:rsid w:val="00205B6B"/>
    <w:rsid w:val="0021247C"/>
    <w:rsid w:val="002172EE"/>
    <w:rsid w:val="00232528"/>
    <w:rsid w:val="00235204"/>
    <w:rsid w:val="00237CCA"/>
    <w:rsid w:val="00243525"/>
    <w:rsid w:val="002535B3"/>
    <w:rsid w:val="0026723F"/>
    <w:rsid w:val="00294E46"/>
    <w:rsid w:val="002C0433"/>
    <w:rsid w:val="002C6494"/>
    <w:rsid w:val="002C78F6"/>
    <w:rsid w:val="002E1406"/>
    <w:rsid w:val="002E24BA"/>
    <w:rsid w:val="002F53C5"/>
    <w:rsid w:val="003142CF"/>
    <w:rsid w:val="00317E40"/>
    <w:rsid w:val="003251EC"/>
    <w:rsid w:val="00334CD9"/>
    <w:rsid w:val="00375FF5"/>
    <w:rsid w:val="0038158B"/>
    <w:rsid w:val="003856E3"/>
    <w:rsid w:val="00394D84"/>
    <w:rsid w:val="003A1248"/>
    <w:rsid w:val="003C305D"/>
    <w:rsid w:val="003C7E24"/>
    <w:rsid w:val="003D69B1"/>
    <w:rsid w:val="003F6FE7"/>
    <w:rsid w:val="0042770A"/>
    <w:rsid w:val="004376D2"/>
    <w:rsid w:val="00440F8C"/>
    <w:rsid w:val="00445670"/>
    <w:rsid w:val="004933DC"/>
    <w:rsid w:val="004B1028"/>
    <w:rsid w:val="004B2559"/>
    <w:rsid w:val="004D0548"/>
    <w:rsid w:val="004E1184"/>
    <w:rsid w:val="004F46A6"/>
    <w:rsid w:val="00503593"/>
    <w:rsid w:val="005047EA"/>
    <w:rsid w:val="00522F81"/>
    <w:rsid w:val="00527EEE"/>
    <w:rsid w:val="0055660B"/>
    <w:rsid w:val="005709A4"/>
    <w:rsid w:val="0057560B"/>
    <w:rsid w:val="0058078D"/>
    <w:rsid w:val="00590076"/>
    <w:rsid w:val="0059711A"/>
    <w:rsid w:val="005B2094"/>
    <w:rsid w:val="005D171F"/>
    <w:rsid w:val="005F61E1"/>
    <w:rsid w:val="00606F60"/>
    <w:rsid w:val="00611FB7"/>
    <w:rsid w:val="0061529F"/>
    <w:rsid w:val="00625E89"/>
    <w:rsid w:val="00631DBB"/>
    <w:rsid w:val="0063649E"/>
    <w:rsid w:val="00645F02"/>
    <w:rsid w:val="00664EF6"/>
    <w:rsid w:val="00665741"/>
    <w:rsid w:val="00685ECA"/>
    <w:rsid w:val="00686280"/>
    <w:rsid w:val="00695F94"/>
    <w:rsid w:val="006A248C"/>
    <w:rsid w:val="006A2F7D"/>
    <w:rsid w:val="006C3265"/>
    <w:rsid w:val="006E031B"/>
    <w:rsid w:val="006E0D15"/>
    <w:rsid w:val="006F3434"/>
    <w:rsid w:val="006F4823"/>
    <w:rsid w:val="006F60DE"/>
    <w:rsid w:val="00710D5F"/>
    <w:rsid w:val="0071479B"/>
    <w:rsid w:val="0079099F"/>
    <w:rsid w:val="007A7B55"/>
    <w:rsid w:val="007B7A8C"/>
    <w:rsid w:val="007D1760"/>
    <w:rsid w:val="007E15E2"/>
    <w:rsid w:val="007E1CCE"/>
    <w:rsid w:val="007E5A89"/>
    <w:rsid w:val="007F69F2"/>
    <w:rsid w:val="00803D96"/>
    <w:rsid w:val="00807484"/>
    <w:rsid w:val="00814BD2"/>
    <w:rsid w:val="00826333"/>
    <w:rsid w:val="00834974"/>
    <w:rsid w:val="008369FA"/>
    <w:rsid w:val="00843C16"/>
    <w:rsid w:val="008471A0"/>
    <w:rsid w:val="00854B82"/>
    <w:rsid w:val="00860C4E"/>
    <w:rsid w:val="00867F69"/>
    <w:rsid w:val="00871C8A"/>
    <w:rsid w:val="00881BE2"/>
    <w:rsid w:val="008917DE"/>
    <w:rsid w:val="0089249A"/>
    <w:rsid w:val="00893796"/>
    <w:rsid w:val="00895355"/>
    <w:rsid w:val="00896A20"/>
    <w:rsid w:val="008A5C5F"/>
    <w:rsid w:val="008A5D03"/>
    <w:rsid w:val="008C4161"/>
    <w:rsid w:val="008F0117"/>
    <w:rsid w:val="008F1956"/>
    <w:rsid w:val="008F3475"/>
    <w:rsid w:val="008F6070"/>
    <w:rsid w:val="0090298C"/>
    <w:rsid w:val="009049EF"/>
    <w:rsid w:val="009108E5"/>
    <w:rsid w:val="0091737C"/>
    <w:rsid w:val="00923B62"/>
    <w:rsid w:val="00926ECF"/>
    <w:rsid w:val="009312C3"/>
    <w:rsid w:val="00947E50"/>
    <w:rsid w:val="00972BBC"/>
    <w:rsid w:val="009763B7"/>
    <w:rsid w:val="009842F8"/>
    <w:rsid w:val="00984B0D"/>
    <w:rsid w:val="009875CB"/>
    <w:rsid w:val="009A6C4C"/>
    <w:rsid w:val="009B23EE"/>
    <w:rsid w:val="009B568D"/>
    <w:rsid w:val="009C0581"/>
    <w:rsid w:val="009C408C"/>
    <w:rsid w:val="009D02DA"/>
    <w:rsid w:val="009D087C"/>
    <w:rsid w:val="009D1332"/>
    <w:rsid w:val="009D64D4"/>
    <w:rsid w:val="009E2E00"/>
    <w:rsid w:val="009F7022"/>
    <w:rsid w:val="00A04DC7"/>
    <w:rsid w:val="00A11412"/>
    <w:rsid w:val="00A1439B"/>
    <w:rsid w:val="00A22D77"/>
    <w:rsid w:val="00A3491E"/>
    <w:rsid w:val="00A46F8E"/>
    <w:rsid w:val="00A81F5C"/>
    <w:rsid w:val="00A9631D"/>
    <w:rsid w:val="00AE21D2"/>
    <w:rsid w:val="00AF0035"/>
    <w:rsid w:val="00B0706B"/>
    <w:rsid w:val="00B12A95"/>
    <w:rsid w:val="00B527A4"/>
    <w:rsid w:val="00B7018A"/>
    <w:rsid w:val="00B70B6E"/>
    <w:rsid w:val="00B71767"/>
    <w:rsid w:val="00B73F63"/>
    <w:rsid w:val="00B9776B"/>
    <w:rsid w:val="00BB3151"/>
    <w:rsid w:val="00BB5BED"/>
    <w:rsid w:val="00BC5AC0"/>
    <w:rsid w:val="00BD4183"/>
    <w:rsid w:val="00BF06A0"/>
    <w:rsid w:val="00BF26EB"/>
    <w:rsid w:val="00C03EEC"/>
    <w:rsid w:val="00C20BA6"/>
    <w:rsid w:val="00C2264C"/>
    <w:rsid w:val="00C22B58"/>
    <w:rsid w:val="00C30D06"/>
    <w:rsid w:val="00C31A51"/>
    <w:rsid w:val="00C33445"/>
    <w:rsid w:val="00C43FB7"/>
    <w:rsid w:val="00C81350"/>
    <w:rsid w:val="00C87065"/>
    <w:rsid w:val="00CA07FD"/>
    <w:rsid w:val="00CA2726"/>
    <w:rsid w:val="00CA615E"/>
    <w:rsid w:val="00CB392C"/>
    <w:rsid w:val="00CC1572"/>
    <w:rsid w:val="00CC1A75"/>
    <w:rsid w:val="00CC1C7E"/>
    <w:rsid w:val="00CD38FA"/>
    <w:rsid w:val="00CE3401"/>
    <w:rsid w:val="00CF531E"/>
    <w:rsid w:val="00CF7C76"/>
    <w:rsid w:val="00D37AB4"/>
    <w:rsid w:val="00D408AB"/>
    <w:rsid w:val="00D43F9F"/>
    <w:rsid w:val="00D477EC"/>
    <w:rsid w:val="00D527DD"/>
    <w:rsid w:val="00D553FA"/>
    <w:rsid w:val="00D56292"/>
    <w:rsid w:val="00D659ED"/>
    <w:rsid w:val="00D71C86"/>
    <w:rsid w:val="00D82EFF"/>
    <w:rsid w:val="00D84123"/>
    <w:rsid w:val="00D87CDE"/>
    <w:rsid w:val="00D927BD"/>
    <w:rsid w:val="00D93EB3"/>
    <w:rsid w:val="00DA195D"/>
    <w:rsid w:val="00DA46B6"/>
    <w:rsid w:val="00DC2542"/>
    <w:rsid w:val="00DC29B7"/>
    <w:rsid w:val="00DD081C"/>
    <w:rsid w:val="00DD6D90"/>
    <w:rsid w:val="00DF2F7F"/>
    <w:rsid w:val="00DF4D3A"/>
    <w:rsid w:val="00E030C3"/>
    <w:rsid w:val="00E153DA"/>
    <w:rsid w:val="00E40DFB"/>
    <w:rsid w:val="00E44660"/>
    <w:rsid w:val="00E5001D"/>
    <w:rsid w:val="00E544DC"/>
    <w:rsid w:val="00E72513"/>
    <w:rsid w:val="00E9662D"/>
    <w:rsid w:val="00EC63BE"/>
    <w:rsid w:val="00EF13DE"/>
    <w:rsid w:val="00F11FC1"/>
    <w:rsid w:val="00F17A9C"/>
    <w:rsid w:val="00F27CA7"/>
    <w:rsid w:val="00F326A3"/>
    <w:rsid w:val="00F3351D"/>
    <w:rsid w:val="00F42713"/>
    <w:rsid w:val="00F45339"/>
    <w:rsid w:val="00F46354"/>
    <w:rsid w:val="00F51D6E"/>
    <w:rsid w:val="00F54D36"/>
    <w:rsid w:val="00F55C24"/>
    <w:rsid w:val="00F61F49"/>
    <w:rsid w:val="00F6626A"/>
    <w:rsid w:val="00F66D9E"/>
    <w:rsid w:val="00F74001"/>
    <w:rsid w:val="00F84A02"/>
    <w:rsid w:val="00FA5B43"/>
    <w:rsid w:val="00FB7E3D"/>
    <w:rsid w:val="00FC1DBB"/>
    <w:rsid w:val="00FE6C19"/>
    <w:rsid w:val="00F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51D9"/>
  <w15:chartTrackingRefBased/>
  <w15:docId w15:val="{C5BCF12B-E3E5-654D-BE88-B241ACF4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0F8C"/>
    <w:pPr>
      <w:numPr>
        <w:numId w:val="1"/>
      </w:num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F8C"/>
    <w:pPr>
      <w:keepNext/>
      <w:keepLines/>
      <w:numPr>
        <w:ilvl w:val="1"/>
        <w:numId w:val="1"/>
      </w:numPr>
      <w:spacing w:before="40" w:line="480" w:lineRule="auto"/>
      <w:outlineLvl w:val="1"/>
    </w:pPr>
    <w:rPr>
      <w:rFonts w:asciiTheme="majorBidi" w:eastAsiaTheme="majorEastAsia" w:hAnsiTheme="majorBidi" w:cstheme="majorBidi"/>
      <w:b/>
      <w:bCs/>
      <w:color w:val="000000" w:themeColor="tex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F8C"/>
    <w:pPr>
      <w:keepNext/>
      <w:keepLines/>
      <w:numPr>
        <w:ilvl w:val="2"/>
        <w:numId w:val="1"/>
      </w:numPr>
      <w:spacing w:before="40" w:line="480" w:lineRule="auto"/>
      <w:outlineLvl w:val="2"/>
    </w:pPr>
    <w:rPr>
      <w:rFonts w:asciiTheme="majorBidi" w:eastAsiaTheme="majorEastAsia" w:hAnsiTheme="majorBid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F8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F8C"/>
    <w:pPr>
      <w:keepNext/>
      <w:keepLines/>
      <w:numPr>
        <w:ilvl w:val="4"/>
        <w:numId w:val="1"/>
      </w:numPr>
      <w:spacing w:before="40"/>
      <w:ind w:left="3960" w:hanging="36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F8C"/>
    <w:pPr>
      <w:keepNext/>
      <w:keepLines/>
      <w:numPr>
        <w:ilvl w:val="5"/>
        <w:numId w:val="1"/>
      </w:numPr>
      <w:spacing w:before="40"/>
      <w:ind w:left="4680" w:hanging="36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F8C"/>
    <w:pPr>
      <w:keepNext/>
      <w:keepLines/>
      <w:numPr>
        <w:ilvl w:val="6"/>
        <w:numId w:val="1"/>
      </w:numPr>
      <w:spacing w:before="40"/>
      <w:ind w:left="5400" w:hanging="36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F8C"/>
    <w:pPr>
      <w:keepNext/>
      <w:keepLines/>
      <w:numPr>
        <w:ilvl w:val="7"/>
        <w:numId w:val="1"/>
      </w:numPr>
      <w:spacing w:before="40"/>
      <w:ind w:left="612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F8C"/>
    <w:pPr>
      <w:keepNext/>
      <w:keepLines/>
      <w:numPr>
        <w:ilvl w:val="8"/>
        <w:numId w:val="1"/>
      </w:numPr>
      <w:spacing w:before="40"/>
      <w:ind w:left="6840" w:hanging="3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A8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A8C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6144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96A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0F8C"/>
    <w:rPr>
      <w:rFonts w:ascii="Times New Roman" w:eastAsia="Times New Roman" w:hAnsi="Times New Roman" w:cs="Times New Roman"/>
      <w:b/>
      <w:bCs/>
      <w:kern w:val="36"/>
      <w:sz w:val="2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40F8C"/>
    <w:rPr>
      <w:rFonts w:asciiTheme="majorBidi" w:eastAsiaTheme="majorEastAsia" w:hAnsiTheme="majorBidi" w:cstheme="majorBidi"/>
      <w:b/>
      <w:bCs/>
      <w:color w:val="000000" w:themeColor="tex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40F8C"/>
    <w:rPr>
      <w:rFonts w:asciiTheme="majorBidi" w:eastAsiaTheme="majorEastAsia" w:hAnsiTheme="majorBid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F8C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F8C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F8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F8C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F8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F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2E24BA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2E24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590076"/>
  </w:style>
  <w:style w:type="character" w:styleId="CommentReference">
    <w:name w:val="annotation reference"/>
    <w:basedOn w:val="DefaultParagraphFont"/>
    <w:uiPriority w:val="99"/>
    <w:semiHidden/>
    <w:unhideWhenUsed/>
    <w:rsid w:val="00FC1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D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DB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62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.dittrich@utoronto.c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Dittrich</dc:creator>
  <cp:keywords/>
  <dc:description/>
  <cp:lastModifiedBy>Sineka Saravanan</cp:lastModifiedBy>
  <cp:revision>4</cp:revision>
  <dcterms:created xsi:type="dcterms:W3CDTF">2024-10-16T12:37:00Z</dcterms:created>
  <dcterms:modified xsi:type="dcterms:W3CDTF">2024-12-27T07:14:00Z</dcterms:modified>
</cp:coreProperties>
</file>