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Supplementary Document</w:t>
      </w:r>
    </w:p>
    <w:p w:rsidR="00000000" w:rsidDel="00000000" w:rsidP="00000000" w:rsidRDefault="00000000" w:rsidRPr="00000000" w14:paraId="0000000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color w:val="1f1f1f"/>
          <w:sz w:val="24"/>
          <w:szCs w:val="24"/>
        </w:rPr>
      </w:pPr>
      <w:r w:rsidDel="00000000" w:rsidR="00000000" w:rsidRPr="00000000">
        <w:rPr>
          <w:rFonts w:ascii="Times New Roman" w:cs="Times New Roman" w:eastAsia="Times New Roman" w:hAnsi="Times New Roman"/>
          <w:b w:val="1"/>
          <w:color w:val="1f1f1f"/>
          <w:sz w:val="24"/>
          <w:szCs w:val="24"/>
          <w:rtl w:val="0"/>
        </w:rPr>
        <w:t xml:space="preserve">Decoding the Hidden Mechanisms of Soil Carbon Cycling in Response to Climate Change</w:t>
      </w:r>
    </w:p>
    <w:p w:rsidR="00000000" w:rsidDel="00000000" w:rsidP="00000000" w:rsidRDefault="00000000" w:rsidRPr="00000000" w14:paraId="00000004">
      <w:pPr>
        <w:jc w:val="center"/>
        <w:rPr>
          <w:rFonts w:ascii="Times New Roman" w:cs="Times New Roman" w:eastAsia="Times New Roman" w:hAnsi="Times New Roman"/>
          <w:b w:val="1"/>
          <w:color w:val="1f1f1f"/>
          <w:sz w:val="24"/>
          <w:szCs w:val="24"/>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color w:val="1f1f1f"/>
          <w:vertAlign w:val="superscript"/>
        </w:rPr>
      </w:pPr>
      <w:r w:rsidDel="00000000" w:rsidR="00000000" w:rsidRPr="00000000">
        <w:rPr>
          <w:rFonts w:ascii="Times New Roman" w:cs="Times New Roman" w:eastAsia="Times New Roman" w:hAnsi="Times New Roman"/>
          <w:color w:val="1f1f1f"/>
          <w:rtl w:val="0"/>
        </w:rPr>
        <w:t xml:space="preserve">Yaxi Du</w:t>
      </w:r>
      <w:r w:rsidDel="00000000" w:rsidR="00000000" w:rsidRPr="00000000">
        <w:rPr>
          <w:rFonts w:ascii="Times New Roman" w:cs="Times New Roman" w:eastAsia="Times New Roman" w:hAnsi="Times New Roman"/>
          <w:color w:val="1f1f1f"/>
          <w:vertAlign w:val="superscript"/>
          <w:rtl w:val="0"/>
        </w:rPr>
        <w:t xml:space="preserve">1</w:t>
      </w:r>
      <w:r w:rsidDel="00000000" w:rsidR="00000000" w:rsidRPr="00000000">
        <w:rPr>
          <w:rFonts w:ascii="Times New Roman" w:cs="Times New Roman" w:eastAsia="Times New Roman" w:hAnsi="Times New Roman"/>
          <w:color w:val="1f1f1f"/>
          <w:rtl w:val="0"/>
        </w:rPr>
        <w:t xml:space="preserve">, Jacqueline Mohan</w:t>
      </w:r>
      <w:r w:rsidDel="00000000" w:rsidR="00000000" w:rsidRPr="00000000">
        <w:rPr>
          <w:rFonts w:ascii="Times New Roman" w:cs="Times New Roman" w:eastAsia="Times New Roman" w:hAnsi="Times New Roman"/>
          <w:color w:val="1f1f1f"/>
          <w:vertAlign w:val="superscript"/>
          <w:rtl w:val="0"/>
        </w:rPr>
        <w:t xml:space="preserve">2</w:t>
      </w:r>
      <w:r w:rsidDel="00000000" w:rsidR="00000000" w:rsidRPr="00000000">
        <w:rPr>
          <w:rFonts w:ascii="Times New Roman" w:cs="Times New Roman" w:eastAsia="Times New Roman" w:hAnsi="Times New Roman"/>
          <w:color w:val="1f1f1f"/>
          <w:rtl w:val="0"/>
        </w:rPr>
        <w:t xml:space="preserve">, Paul Frankson</w:t>
      </w:r>
      <w:r w:rsidDel="00000000" w:rsidR="00000000" w:rsidRPr="00000000">
        <w:rPr>
          <w:rFonts w:ascii="Times New Roman" w:cs="Times New Roman" w:eastAsia="Times New Roman" w:hAnsi="Times New Roman"/>
          <w:color w:val="1f1f1f"/>
          <w:vertAlign w:val="superscript"/>
          <w:rtl w:val="0"/>
        </w:rPr>
        <w:t xml:space="preserve">2</w:t>
      </w:r>
      <w:r w:rsidDel="00000000" w:rsidR="00000000" w:rsidRPr="00000000">
        <w:rPr>
          <w:rFonts w:ascii="Times New Roman" w:cs="Times New Roman" w:eastAsia="Times New Roman" w:hAnsi="Times New Roman"/>
          <w:color w:val="1f1f1f"/>
          <w:rtl w:val="0"/>
        </w:rPr>
        <w:t xml:space="preserve">, Greta Franke</w:t>
      </w:r>
      <w:r w:rsidDel="00000000" w:rsidR="00000000" w:rsidRPr="00000000">
        <w:rPr>
          <w:rFonts w:ascii="Times New Roman" w:cs="Times New Roman" w:eastAsia="Times New Roman" w:hAnsi="Times New Roman"/>
          <w:color w:val="1f1f1f"/>
          <w:vertAlign w:val="superscript"/>
          <w:rtl w:val="0"/>
        </w:rPr>
        <w:t xml:space="preserve">1</w:t>
      </w:r>
      <w:r w:rsidDel="00000000" w:rsidR="00000000" w:rsidRPr="00000000">
        <w:rPr>
          <w:rFonts w:ascii="Times New Roman" w:cs="Times New Roman" w:eastAsia="Times New Roman" w:hAnsi="Times New Roman"/>
          <w:color w:val="1f1f1f"/>
          <w:rtl w:val="0"/>
        </w:rPr>
        <w:t xml:space="preserve">, Zhilin Chen</w:t>
      </w:r>
      <w:r w:rsidDel="00000000" w:rsidR="00000000" w:rsidRPr="00000000">
        <w:rPr>
          <w:rFonts w:ascii="Times New Roman" w:cs="Times New Roman" w:eastAsia="Times New Roman" w:hAnsi="Times New Roman"/>
          <w:color w:val="1f1f1f"/>
          <w:vertAlign w:val="superscript"/>
          <w:rtl w:val="0"/>
        </w:rPr>
        <w:t xml:space="preserve">1</w:t>
      </w:r>
      <w:r w:rsidDel="00000000" w:rsidR="00000000" w:rsidRPr="00000000">
        <w:rPr>
          <w:rFonts w:ascii="Times New Roman" w:cs="Times New Roman" w:eastAsia="Times New Roman" w:hAnsi="Times New Roman"/>
          <w:color w:val="1f1f1f"/>
          <w:rtl w:val="0"/>
        </w:rPr>
        <w:t xml:space="preserve">, and Debjani Sihi</w:t>
      </w:r>
      <w:r w:rsidDel="00000000" w:rsidR="00000000" w:rsidRPr="00000000">
        <w:rPr>
          <w:rFonts w:ascii="Times New Roman" w:cs="Times New Roman" w:eastAsia="Times New Roman" w:hAnsi="Times New Roman"/>
          <w:color w:val="1f1f1f"/>
          <w:vertAlign w:val="superscript"/>
          <w:rtl w:val="0"/>
        </w:rPr>
        <w:t xml:space="preserve">1,3*</w:t>
      </w:r>
    </w:p>
    <w:p w:rsidR="00000000" w:rsidDel="00000000" w:rsidP="00000000" w:rsidRDefault="00000000" w:rsidRPr="00000000" w14:paraId="00000006">
      <w:pPr>
        <w:jc w:val="center"/>
        <w:rPr>
          <w:rFonts w:ascii="Times New Roman" w:cs="Times New Roman" w:eastAsia="Times New Roman" w:hAnsi="Times New Roman"/>
          <w:color w:val="1f1f1f"/>
          <w:vertAlign w:val="superscript"/>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vertAlign w:val="superscript"/>
          <w:rtl w:val="0"/>
        </w:rPr>
        <w:t xml:space="preserve">1</w:t>
      </w:r>
      <w:r w:rsidDel="00000000" w:rsidR="00000000" w:rsidRPr="00000000">
        <w:rPr>
          <w:rFonts w:ascii="Times New Roman" w:cs="Times New Roman" w:eastAsia="Times New Roman" w:hAnsi="Times New Roman"/>
          <w:color w:val="1f1f1f"/>
          <w:sz w:val="24"/>
          <w:szCs w:val="24"/>
          <w:rtl w:val="0"/>
        </w:rPr>
        <w:t xml:space="preserve">Department of Environmental Science, Emory University, Atlanta, Georgia, USA</w:t>
      </w:r>
    </w:p>
    <w:p w:rsidR="00000000" w:rsidDel="00000000" w:rsidP="00000000" w:rsidRDefault="00000000" w:rsidRPr="00000000" w14:paraId="00000008">
      <w:pPr>
        <w:jc w:val="center"/>
        <w:rPr>
          <w:rFonts w:ascii="Times New Roman" w:cs="Times New Roman" w:eastAsia="Times New Roman" w:hAnsi="Times New Roman"/>
          <w:color w:val="1f1f1f"/>
          <w:sz w:val="24"/>
          <w:szCs w:val="24"/>
        </w:rPr>
      </w:pPr>
      <w:r w:rsidDel="00000000" w:rsidR="00000000" w:rsidRPr="00000000">
        <w:rPr>
          <w:rFonts w:ascii="Times New Roman" w:cs="Times New Roman" w:eastAsia="Times New Roman" w:hAnsi="Times New Roman"/>
          <w:color w:val="1f1f1f"/>
          <w:sz w:val="24"/>
          <w:szCs w:val="24"/>
          <w:vertAlign w:val="superscript"/>
          <w:rtl w:val="0"/>
        </w:rPr>
        <w:t xml:space="preserve">2</w:t>
      </w:r>
      <w:r w:rsidDel="00000000" w:rsidR="00000000" w:rsidRPr="00000000">
        <w:rPr>
          <w:rFonts w:ascii="Times New Roman" w:cs="Times New Roman" w:eastAsia="Times New Roman" w:hAnsi="Times New Roman"/>
          <w:color w:val="1f1f1f"/>
          <w:sz w:val="24"/>
          <w:szCs w:val="24"/>
          <w:rtl w:val="0"/>
        </w:rPr>
        <w:t xml:space="preserve">Odum School of Ecology, University Georgia, Athens, Georgia, USA</w:t>
      </w:r>
    </w:p>
    <w:p w:rsidR="00000000" w:rsidDel="00000000" w:rsidP="00000000" w:rsidRDefault="00000000" w:rsidRPr="00000000" w14:paraId="00000009">
      <w:pPr>
        <w:widowControl w:val="0"/>
        <w:jc w:val="center"/>
        <w:rPr>
          <w:rFonts w:ascii="Times New Roman" w:cs="Times New Roman" w:eastAsia="Times New Roman" w:hAnsi="Times New Roman"/>
          <w:color w:val="1f1f1f"/>
          <w:sz w:val="26"/>
          <w:szCs w:val="26"/>
        </w:rPr>
      </w:pP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Departments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of Plant and Microbial Biology and Crop and Soil Sciences, N.C. Plant Sciences Initiative, North Carolina State University, Raleigh, NC, USA</w:t>
      </w:r>
      <w:r w:rsidDel="00000000" w:rsidR="00000000" w:rsidRPr="00000000">
        <w:rPr>
          <w:rtl w:val="0"/>
        </w:rPr>
      </w:r>
    </w:p>
    <w:p w:rsidR="00000000" w:rsidDel="00000000" w:rsidP="00000000" w:rsidRDefault="00000000" w:rsidRPr="00000000" w14:paraId="0000000A">
      <w:pPr>
        <w:ind w:left="720" w:firstLine="0"/>
        <w:jc w:val="center"/>
        <w:rPr>
          <w:rFonts w:ascii="Times New Roman" w:cs="Times New Roman" w:eastAsia="Times New Roman" w:hAnsi="Times New Roman"/>
          <w:color w:val="1f1f1f"/>
          <w:sz w:val="14"/>
          <w:szCs w:val="14"/>
          <w:vertAlign w:val="superscript"/>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Corresponding author (email: </w:t>
      </w:r>
      <w:hyperlink r:id="rId6">
        <w:r w:rsidDel="00000000" w:rsidR="00000000" w:rsidRPr="00000000">
          <w:rPr>
            <w:rFonts w:ascii="Times New Roman" w:cs="Times New Roman" w:eastAsia="Times New Roman" w:hAnsi="Times New Roman"/>
            <w:color w:val="1155cc"/>
            <w:u w:val="single"/>
            <w:rtl w:val="0"/>
          </w:rPr>
          <w:t xml:space="preserve">dsihi@ncsu.edu</w:t>
        </w:r>
      </w:hyperlink>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943600" cy="4826000"/>
            <wp:effectExtent b="0" l="0" r="0" t="0"/>
            <wp:docPr id="5" name="image9.png"/>
            <a:graphic>
              <a:graphicData uri="http://schemas.openxmlformats.org/drawingml/2006/picture">
                <pic:pic>
                  <pic:nvPicPr>
                    <pic:cNvPr id="0" name="image9.png"/>
                    <pic:cNvPicPr preferRelativeResize="0"/>
                  </pic:nvPicPr>
                  <pic:blipFill>
                    <a:blip r:embed="rId7"/>
                    <a:srcRect b="0" l="0" r="0" t="0"/>
                    <a:stretch>
                      <a:fillRect/>
                    </a:stretch>
                  </pic:blipFill>
                  <pic:spPr>
                    <a:xfrm>
                      <a:off x="0" y="0"/>
                      <a:ext cx="5943600" cy="48260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Fig. S1</w:t>
      </w:r>
      <w:r w:rsidDel="00000000" w:rsidR="00000000" w:rsidRPr="00000000">
        <w:rPr>
          <w:rFonts w:ascii="Times New Roman" w:cs="Times New Roman" w:eastAsia="Times New Roman" w:hAnsi="Times New Roman"/>
          <w:sz w:val="24"/>
          <w:szCs w:val="24"/>
          <w:rtl w:val="0"/>
        </w:rPr>
        <w:t xml:space="preserve">: U.S. map showing the study site. The soil samples were collected from a long-term warming experiment site at Whitehall Forest, Athens, GA. The map was made by using ArcGIS Pro 3.2. </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9050" distT="19050" distL="19050" distR="19050">
            <wp:extent cx="5943600" cy="4457700"/>
            <wp:effectExtent b="0" l="0" r="0" t="0"/>
            <wp:docPr id="8"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Fig. S2</w:t>
      </w:r>
      <w:r w:rsidDel="00000000" w:rsidR="00000000" w:rsidRPr="00000000">
        <w:rPr>
          <w:rFonts w:ascii="Times New Roman" w:cs="Times New Roman" w:eastAsia="Times New Roman" w:hAnsi="Times New Roman"/>
          <w:sz w:val="24"/>
          <w:szCs w:val="24"/>
          <w:rtl w:val="0"/>
        </w:rPr>
        <w:t xml:space="preserve">: A map of the Whitehall Forest soil warming experiment study site in Athens, Georgia. The numbers indicate actual plot numbers, and the colors represent the temperatures - brown represents the work shed; green represents the ambient (25°C) plots; yellow represents the 1.5°C above ambient (26.5°C) plots; red represents the 2.5°C above ambient (27.5°C) plots; gray represents the non-chambered (NCC) plots. More detailed information can be found in Table S1. Map source: Dr. Jacqueline Mohan’s Lab at the University of Georgia.</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9050" distT="19050" distL="19050" distR="19050">
            <wp:extent cx="4853785" cy="4157663"/>
            <wp:effectExtent b="0" l="0" r="0" t="0"/>
            <wp:docPr id="7"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853785" cy="4157663"/>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Fig. S3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Carbon content (g C kg⁻¹ soil) before-incubation in coarse mineral-associated organic carbon (MAOC), fine MAOC, free particulate organic carbon (fPOC), and occluded particulate organic carbon (oPOC) fractions at three temperature treatments (25, 26.5, and 27.5 °C) and non-chambered control (NCC). Bars represent mean values ± standard error for each temperature. The treatment differences were not significant (</w:t>
      </w:r>
      <w:r w:rsidDel="00000000" w:rsidR="00000000" w:rsidRPr="00000000">
        <w:rPr>
          <w:rFonts w:ascii="Times New Roman" w:cs="Times New Roman" w:eastAsia="Times New Roman" w:hAnsi="Times New Roman"/>
          <w:i w:val="1"/>
          <w:rtl w:val="0"/>
        </w:rPr>
        <w:t xml:space="preserve">p&gt;0.1</w:t>
      </w:r>
      <w:r w:rsidDel="00000000" w:rsidR="00000000" w:rsidRPr="00000000">
        <w:rPr>
          <w:rFonts w:ascii="Times New Roman" w:cs="Times New Roman" w:eastAsia="Times New Roman" w:hAnsi="Times New Roman"/>
          <w:rtl w:val="0"/>
        </w:rPr>
        <w:t xml:space="preserve">). Tukey HSD letters </w:t>
      </w:r>
      <w:r w:rsidDel="00000000" w:rsidR="00000000" w:rsidRPr="00000000">
        <w:rPr>
          <w:rFonts w:ascii="Times New Roman" w:cs="Times New Roman" w:eastAsia="Times New Roman" w:hAnsi="Times New Roman"/>
          <w:rtl w:val="0"/>
        </w:rPr>
        <w:t xml:space="preserve">are a for</w:t>
      </w:r>
      <w:r w:rsidDel="00000000" w:rsidR="00000000" w:rsidRPr="00000000">
        <w:rPr>
          <w:rFonts w:ascii="Times New Roman" w:cs="Times New Roman" w:eastAsia="Times New Roman" w:hAnsi="Times New Roman"/>
          <w:rtl w:val="0"/>
        </w:rPr>
        <w:t xml:space="preserve"> all. </w:t>
      </w:r>
    </w:p>
    <w:p w:rsidR="00000000" w:rsidDel="00000000" w:rsidP="00000000" w:rsidRDefault="00000000" w:rsidRPr="00000000" w14:paraId="0000001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9050" distT="19050" distL="19050" distR="19050">
            <wp:extent cx="4295775" cy="3973843"/>
            <wp:effectExtent b="0" l="0" r="0" t="0"/>
            <wp:docPr id="2"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295775" cy="3973843"/>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Fig. S4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Boxplots of microbial biomass carbon (mg C kg⁻¹ soil) before-incubation across three temperature treatments (25, 26.5, and 27.5 °C) and non-chambered control (NCC). Each box shows the interquartile range, the horizontal line within each box indicates the median. Bars represent mean values ± standard error for each temperature. The treatment differences were not significant (</w:t>
      </w:r>
      <w:r w:rsidDel="00000000" w:rsidR="00000000" w:rsidRPr="00000000">
        <w:rPr>
          <w:rFonts w:ascii="Times New Roman" w:cs="Times New Roman" w:eastAsia="Times New Roman" w:hAnsi="Times New Roman"/>
          <w:i w:val="1"/>
          <w:rtl w:val="0"/>
        </w:rPr>
        <w:t xml:space="preserve">p&gt;0.1</w:t>
      </w:r>
      <w:r w:rsidDel="00000000" w:rsidR="00000000" w:rsidRPr="00000000">
        <w:rPr>
          <w:rFonts w:ascii="Times New Roman" w:cs="Times New Roman" w:eastAsia="Times New Roman" w:hAnsi="Times New Roman"/>
          <w:rtl w:val="0"/>
        </w:rPr>
        <w:t xml:space="preserve">). Tukey HSD letters </w:t>
      </w:r>
      <w:r w:rsidDel="00000000" w:rsidR="00000000" w:rsidRPr="00000000">
        <w:rPr>
          <w:rFonts w:ascii="Times New Roman" w:cs="Times New Roman" w:eastAsia="Times New Roman" w:hAnsi="Times New Roman"/>
          <w:rtl w:val="0"/>
        </w:rPr>
        <w:t xml:space="preserve">are a for</w:t>
      </w:r>
      <w:r w:rsidDel="00000000" w:rsidR="00000000" w:rsidRPr="00000000">
        <w:rPr>
          <w:rFonts w:ascii="Times New Roman" w:cs="Times New Roman" w:eastAsia="Times New Roman" w:hAnsi="Times New Roman"/>
          <w:rtl w:val="0"/>
        </w:rPr>
        <w:t xml:space="preserve"> all. </w:t>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9050" distT="19050" distL="19050" distR="19050">
            <wp:extent cx="4848225" cy="2956650"/>
            <wp:effectExtent b="0" l="0" r="0" t="0"/>
            <wp:docPr id="6"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848225" cy="29566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Fig. S5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Bacterial C, fungal C, and microbial residual C in soil (mg C g⁻¹ soil) before-incubation for three temperature treatments (25, 26.5, and 27.5 °C) and non-chambered control (NCC). Bars represent mean values ± standard error for each temperature. The treatment differences were not significant (</w:t>
      </w:r>
      <w:r w:rsidDel="00000000" w:rsidR="00000000" w:rsidRPr="00000000">
        <w:rPr>
          <w:rFonts w:ascii="Times New Roman" w:cs="Times New Roman" w:eastAsia="Times New Roman" w:hAnsi="Times New Roman"/>
          <w:i w:val="1"/>
          <w:rtl w:val="0"/>
        </w:rPr>
        <w:t xml:space="preserve">p&gt;0.1</w:t>
      </w:r>
      <w:r w:rsidDel="00000000" w:rsidR="00000000" w:rsidRPr="00000000">
        <w:rPr>
          <w:rFonts w:ascii="Times New Roman" w:cs="Times New Roman" w:eastAsia="Times New Roman" w:hAnsi="Times New Roman"/>
          <w:rtl w:val="0"/>
        </w:rPr>
        <w:t xml:space="preserve">). Tukey HSD letters </w:t>
      </w:r>
      <w:r w:rsidDel="00000000" w:rsidR="00000000" w:rsidRPr="00000000">
        <w:rPr>
          <w:rFonts w:ascii="Times New Roman" w:cs="Times New Roman" w:eastAsia="Times New Roman" w:hAnsi="Times New Roman"/>
          <w:rtl w:val="0"/>
        </w:rPr>
        <w:t xml:space="preserve">are a for</w:t>
      </w:r>
      <w:r w:rsidDel="00000000" w:rsidR="00000000" w:rsidRPr="00000000">
        <w:rPr>
          <w:rFonts w:ascii="Times New Roman" w:cs="Times New Roman" w:eastAsia="Times New Roman" w:hAnsi="Times New Roman"/>
          <w:rtl w:val="0"/>
        </w:rPr>
        <w:t xml:space="preserve"> all. </w:t>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9050" distT="19050" distL="19050" distR="19050">
            <wp:extent cx="5605463" cy="3656127"/>
            <wp:effectExtent b="0" l="0" r="0" t="0"/>
            <wp:docPr id="9"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605463" cy="3656127"/>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S6: </w:t>
      </w:r>
      <w:r w:rsidDel="00000000" w:rsidR="00000000" w:rsidRPr="00000000">
        <w:rPr>
          <w:rFonts w:ascii="Times New Roman" w:cs="Times New Roman" w:eastAsia="Times New Roman" w:hAnsi="Times New Roman"/>
          <w:rtl w:val="0"/>
        </w:rPr>
        <w:t xml:space="preserve">Enzyme kinetic of maximum velocity (Vmax as µM hr</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g</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soil) for all six enzymes before incubation under three temperature treatments (25, 26.5, and 27.5 °C) and non-chambered control (NCC). Bars represent mean values ± standard error for each temperature. The treatment differences were not significant (</w:t>
      </w:r>
      <w:r w:rsidDel="00000000" w:rsidR="00000000" w:rsidRPr="00000000">
        <w:rPr>
          <w:rFonts w:ascii="Times New Roman" w:cs="Times New Roman" w:eastAsia="Times New Roman" w:hAnsi="Times New Roman"/>
          <w:i w:val="1"/>
          <w:rtl w:val="0"/>
        </w:rPr>
        <w:t xml:space="preserve">p&gt;0.1</w:t>
      </w:r>
      <w:r w:rsidDel="00000000" w:rsidR="00000000" w:rsidRPr="00000000">
        <w:rPr>
          <w:rFonts w:ascii="Times New Roman" w:cs="Times New Roman" w:eastAsia="Times New Roman" w:hAnsi="Times New Roman"/>
          <w:rtl w:val="0"/>
        </w:rPr>
        <w:t xml:space="preserve">). Tukey HSD letters </w:t>
      </w:r>
      <w:r w:rsidDel="00000000" w:rsidR="00000000" w:rsidRPr="00000000">
        <w:rPr>
          <w:rFonts w:ascii="Times New Roman" w:cs="Times New Roman" w:eastAsia="Times New Roman" w:hAnsi="Times New Roman"/>
          <w:rtl w:val="0"/>
        </w:rPr>
        <w:t xml:space="preserve">are a for</w:t>
      </w:r>
      <w:r w:rsidDel="00000000" w:rsidR="00000000" w:rsidRPr="00000000">
        <w:rPr>
          <w:rFonts w:ascii="Times New Roman" w:cs="Times New Roman" w:eastAsia="Times New Roman" w:hAnsi="Times New Roman"/>
          <w:rtl w:val="0"/>
        </w:rPr>
        <w:t xml:space="preserve"> all. </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Pr>
        <w:drawing>
          <wp:inline distB="114300" distT="114300" distL="114300" distR="114300">
            <wp:extent cx="5053013" cy="3325801"/>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053013" cy="3325801"/>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S7: </w:t>
      </w:r>
      <w:r w:rsidDel="00000000" w:rsidR="00000000" w:rsidRPr="00000000">
        <w:rPr>
          <w:rFonts w:ascii="Times New Roman" w:cs="Times New Roman" w:eastAsia="Times New Roman" w:hAnsi="Times New Roman"/>
          <w:rtl w:val="0"/>
        </w:rPr>
        <w:t xml:space="preserve">The Michaelis-Menten constant (Km as µM) of enzymes, indicating substrate affinity across warming treatments before incubation under three temperature treatments (25, 26.5, and 27.5 °C) and non-chambered control (NCC). Bars represent mean values ± standard error for each temperature. The treatment differences were not significant (</w:t>
      </w:r>
      <w:r w:rsidDel="00000000" w:rsidR="00000000" w:rsidRPr="00000000">
        <w:rPr>
          <w:rFonts w:ascii="Times New Roman" w:cs="Times New Roman" w:eastAsia="Times New Roman" w:hAnsi="Times New Roman"/>
          <w:i w:val="1"/>
          <w:rtl w:val="0"/>
        </w:rPr>
        <w:t xml:space="preserve">p&gt;0.1</w:t>
      </w:r>
      <w:r w:rsidDel="00000000" w:rsidR="00000000" w:rsidRPr="00000000">
        <w:rPr>
          <w:rFonts w:ascii="Times New Roman" w:cs="Times New Roman" w:eastAsia="Times New Roman" w:hAnsi="Times New Roman"/>
          <w:rtl w:val="0"/>
        </w:rPr>
        <w:t xml:space="preserve">). Tukey HSD letters </w:t>
      </w:r>
      <w:r w:rsidDel="00000000" w:rsidR="00000000" w:rsidRPr="00000000">
        <w:rPr>
          <w:rFonts w:ascii="Times New Roman" w:cs="Times New Roman" w:eastAsia="Times New Roman" w:hAnsi="Times New Roman"/>
          <w:rtl w:val="0"/>
        </w:rPr>
        <w:t xml:space="preserve">are a for</w:t>
      </w:r>
      <w:r w:rsidDel="00000000" w:rsidR="00000000" w:rsidRPr="00000000">
        <w:rPr>
          <w:rFonts w:ascii="Times New Roman" w:cs="Times New Roman" w:eastAsia="Times New Roman" w:hAnsi="Times New Roman"/>
          <w:rtl w:val="0"/>
        </w:rPr>
        <w:t xml:space="preserve"> all. </w:t>
      </w:r>
    </w:p>
    <w:p w:rsidR="00000000" w:rsidDel="00000000" w:rsidP="00000000" w:rsidRDefault="00000000" w:rsidRPr="00000000" w14:paraId="0000002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5943600" cy="3835400"/>
            <wp:effectExtent b="0" l="0" r="0" t="0"/>
            <wp:docPr id="1"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59436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S8</w:t>
      </w:r>
      <w:r w:rsidDel="00000000" w:rsidR="00000000" w:rsidRPr="00000000">
        <w:rPr>
          <w:rFonts w:ascii="Times New Roman" w:cs="Times New Roman" w:eastAsia="Times New Roman" w:hAnsi="Times New Roman"/>
          <w:rtl w:val="0"/>
        </w:rPr>
        <w:t xml:space="preserve">: Enzyme activity (µM hr</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g</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soil) for AG and PHD before incubation in response to warming treatments under three temperature treatments (25, 26.5, and 27.5 °C) and non-chambered control (NCC). Different letters above boxes denote statistically significant differences among treatment pairs, as determined by Tukey’s post hoc test. Symbols for ANOVA results: p &lt; 0.0001 “</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 p &lt; 0.001 “</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 p &lt; 0.01 “</w:t>
      </w: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 p &lt; 0.1 “</w:t>
      </w:r>
      <w:r w:rsidDel="00000000" w:rsidR="00000000" w:rsidRPr="00000000">
        <w:rPr>
          <w:rFonts w:ascii="Times New Roman" w:cs="Times New Roman" w:eastAsia="Times New Roman" w:hAnsi="Times New Roman"/>
          <w:b w:val="1"/>
          <w:vertAlign w:val="superscript"/>
          <w:rtl w:val="0"/>
        </w:rPr>
        <w:t xml:space="preserv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9050" distT="19050" distL="19050" distR="19050">
            <wp:extent cx="4376738" cy="4049877"/>
            <wp:effectExtent b="0" l="0" r="0" t="0"/>
            <wp:docPr id="3"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4376738" cy="4049877"/>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 S9</w:t>
      </w:r>
      <w:r w:rsidDel="00000000" w:rsidR="00000000" w:rsidRPr="00000000">
        <w:rPr>
          <w:rFonts w:ascii="Times New Roman" w:cs="Times New Roman" w:eastAsia="Times New Roman" w:hAnsi="Times New Roman"/>
          <w:rtl w:val="0"/>
        </w:rPr>
        <w:t xml:space="preserve">: Correlation matrix between measured soil properties before incubation. MRC refers to the microbial residual carbon (necromass). fPOC stands for free particulate organic carbon; oPOC stands for occluded particulate organic carbon; MAOC stands for fine mineral-associated organic carbon; C_silt stands for coarse mineral-associated organic carbon. MBC refers to microbial biomass carbon.</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S1:</w:t>
      </w:r>
      <w:r w:rsidDel="00000000" w:rsidR="00000000" w:rsidRPr="00000000">
        <w:rPr>
          <w:rFonts w:ascii="Times New Roman" w:cs="Times New Roman" w:eastAsia="Times New Roman" w:hAnsi="Times New Roman"/>
          <w:sz w:val="24"/>
          <w:szCs w:val="24"/>
          <w:rtl w:val="0"/>
        </w:rPr>
        <w:t xml:space="preserve"> detailed information for the field plots in Whitehall Forest, Athens, GA. NCC stands for non-chamber control, indicating no greenhouse plastic around the plot or buried soil warming cables, and the plots are surrounded by chicken wire. AMB (ambient control) plots have greenhouse plastic around the plot and buried soil warming cables that are not turned on. +1.5°C and +2.5°C (warming) plots have greenhouse plastic around the plot and buried soil warming cables are set to corresponding temperatures. For this study, we did not look at canopy effects, which can be a potential future direction.</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Plot</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Temperature</w:t>
            </w:r>
          </w:p>
        </w:tc>
        <w:tc>
          <w:tcPr>
            <w:tcBorders>
              <w:top w:color="000000" w:space="0" w:sz="6" w:val="single"/>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Canopy</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D">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1">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5">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9">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14</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D">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16</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1">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17</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AMB</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18</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+2.5°C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20</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21</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Gap</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22</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23</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r>
        <w:trPr>
          <w:cantSplit w:val="0"/>
          <w:tblHeader w:val="0"/>
        </w:trPr>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8">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24</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9">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NCC</w:t>
            </w:r>
          </w:p>
        </w:tc>
        <w:tc>
          <w:tcPr>
            <w:tcBorders>
              <w:top w:color="000000" w:space="0" w:sz="0" w:val="nil"/>
              <w:left w:color="000000" w:space="0" w:sz="0" w:val="nil"/>
              <w:bottom w:color="000000" w:space="0" w:sz="6" w:val="single"/>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A">
            <w:pPr>
              <w:widowControl w:val="0"/>
              <w:jc w:val="cente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Forest</w:t>
            </w:r>
          </w:p>
        </w:tc>
      </w:tr>
    </w:tbl>
    <w:p w:rsidR="00000000" w:rsidDel="00000000" w:rsidP="00000000" w:rsidRDefault="00000000" w:rsidRPr="00000000" w14:paraId="0000008B">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S2:</w:t>
      </w:r>
      <w:r w:rsidDel="00000000" w:rsidR="00000000" w:rsidRPr="00000000">
        <w:rPr>
          <w:rFonts w:ascii="Times New Roman" w:cs="Times New Roman" w:eastAsia="Times New Roman" w:hAnsi="Times New Roman"/>
          <w:sz w:val="24"/>
          <w:szCs w:val="24"/>
          <w:rtl w:val="0"/>
        </w:rPr>
        <w:t xml:space="preserve"> List of soil extracellular enzymes assayed in this study. The standard curves for each sample were determined using 7-amino-4-methylcoumann (MUC) or 4-methylumbelliferone (MUB).</w:t>
      </w:r>
    </w:p>
    <w:tbl>
      <w:tblPr>
        <w:tblStyle w:val="Table2"/>
        <w:tblW w:w="9120.0" w:type="dxa"/>
        <w:jc w:val="left"/>
        <w:tblLayout w:type="fixed"/>
        <w:tblLook w:val="0600"/>
      </w:tblPr>
      <w:tblGrid>
        <w:gridCol w:w="3360"/>
        <w:gridCol w:w="1425"/>
        <w:gridCol w:w="1755"/>
        <w:gridCol w:w="1290"/>
        <w:gridCol w:w="1290"/>
        <w:tblGridChange w:id="0">
          <w:tblGrid>
            <w:gridCol w:w="3360"/>
            <w:gridCol w:w="1425"/>
            <w:gridCol w:w="1755"/>
            <w:gridCol w:w="1290"/>
            <w:gridCol w:w="1290"/>
          </w:tblGrid>
        </w:tblGridChange>
      </w:tblGrid>
      <w:tr>
        <w:trPr>
          <w:cantSplit w:val="0"/>
          <w:trHeight w:val="563" w:hRule="atLeast"/>
          <w:tblHeader w:val="0"/>
        </w:trPr>
        <w:tc>
          <w:tcPr>
            <w:tcBorders>
              <w:top w:color="000000" w:space="0" w:sz="4" w:val="single"/>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Enzyme/Substrates</w:t>
            </w:r>
          </w:p>
        </w:tc>
        <w:tc>
          <w:tcPr>
            <w:tcBorders>
              <w:top w:color="000000" w:space="0" w:sz="4" w:val="single"/>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Abbreviation</w:t>
            </w:r>
          </w:p>
        </w:tc>
        <w:tc>
          <w:tcPr>
            <w:tcBorders>
              <w:top w:color="000000" w:space="0" w:sz="4" w:val="single"/>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8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Concentration(s)</w:t>
            </w:r>
          </w:p>
        </w:tc>
        <w:tc>
          <w:tcPr>
            <w:tcBorders>
              <w:top w:color="000000" w:space="0" w:sz="4" w:val="single"/>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 element</w:t>
            </w:r>
          </w:p>
        </w:tc>
        <w:tc>
          <w:tcPr>
            <w:tcBorders>
              <w:top w:color="000000" w:space="0" w:sz="4" w:val="single"/>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 Used </w:t>
            </w:r>
          </w:p>
        </w:tc>
      </w:tr>
      <w:tr>
        <w:trPr>
          <w:cantSplit w:val="0"/>
          <w:tblHeader w:val="0"/>
        </w:trPr>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β-D-glucopyranoside</w:t>
            </w:r>
            <w:r w:rsidDel="00000000" w:rsidR="00000000" w:rsidRPr="00000000">
              <w:rPr>
                <w:rFonts w:ascii="Times New Roman" w:cs="Times New Roman" w:eastAsia="Times New Roman" w:hAnsi="Times New Roman"/>
                <w:rtl w:val="0"/>
              </w:rPr>
              <w:t xml:space="preserve"> </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BG</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Labile C  </w:t>
            </w:r>
          </w:p>
        </w:tc>
        <w:tc>
          <w:tcPr>
            <w:tcBorders>
              <w:top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9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β-D-cellobioside</w:t>
            </w:r>
            <w:r w:rsidDel="00000000" w:rsidR="00000000" w:rsidRPr="00000000">
              <w:rPr>
                <w:rFonts w:ascii="Times New Roman" w:cs="Times New Roman" w:eastAsia="Times New Roman" w:hAnsi="Times New Roman"/>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9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w:t>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Labile C  </w:t>
            </w:r>
          </w:p>
        </w:tc>
        <w:tc>
          <w:tcPr>
            <w:shd w:fill="auto" w:val="clear"/>
            <w:tcMar>
              <w:top w:w="100.0" w:type="dxa"/>
              <w:left w:w="100.0" w:type="dxa"/>
              <w:bottom w:w="100.0" w:type="dxa"/>
              <w:right w:w="100.0" w:type="dxa"/>
            </w:tcMar>
          </w:tcPr>
          <w:p w:rsidR="00000000" w:rsidDel="00000000" w:rsidP="00000000" w:rsidRDefault="00000000" w:rsidRPr="00000000" w14:paraId="0000009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N-acetyl-β-D-glucosaminide</w:t>
            </w:r>
            <w:r w:rsidDel="00000000" w:rsidR="00000000" w:rsidRPr="00000000">
              <w:rPr>
                <w:rFonts w:ascii="Times New Roman" w:cs="Times New Roman" w:eastAsia="Times New Roman" w:hAnsi="Times New Roman"/>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9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NAG</w:t>
            </w:r>
          </w:p>
        </w:tc>
        <w:tc>
          <w:tcPr>
            <w:shd w:fill="auto" w:val="clear"/>
            <w:tcMar>
              <w:top w:w="100.0" w:type="dxa"/>
              <w:left w:w="100.0" w:type="dxa"/>
              <w:bottom w:w="100.0" w:type="dxa"/>
              <w:right w:w="100.0" w:type="dxa"/>
            </w:tcMar>
          </w:tcPr>
          <w:p w:rsidR="00000000" w:rsidDel="00000000" w:rsidP="00000000" w:rsidRDefault="00000000" w:rsidRPr="00000000" w14:paraId="0000009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(&amp; some C) </w:t>
            </w:r>
          </w:p>
        </w:tc>
        <w:tc>
          <w:tcPr>
            <w:shd w:fill="auto" w:val="clear"/>
            <w:tcMar>
              <w:top w:w="100.0" w:type="dxa"/>
              <w:left w:w="100.0" w:type="dxa"/>
              <w:bottom w:w="100.0" w:type="dxa"/>
              <w:right w:w="100.0" w:type="dxa"/>
            </w:tcMar>
          </w:tcPr>
          <w:p w:rsidR="00000000" w:rsidDel="00000000" w:rsidP="00000000" w:rsidRDefault="00000000" w:rsidRPr="00000000" w14:paraId="000000A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phosphate</w:t>
            </w:r>
            <w:r w:rsidDel="00000000" w:rsidR="00000000" w:rsidRPr="00000000">
              <w:rPr>
                <w:rFonts w:ascii="Times New Roman" w:cs="Times New Roman" w:eastAsia="Times New Roman" w:hAnsi="Times New Roman"/>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A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PHOS</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p>
        </w:tc>
        <w:tc>
          <w:tcPr>
            <w:shd w:fill="auto" w:val="clear"/>
            <w:tcMar>
              <w:top w:w="100.0" w:type="dxa"/>
              <w:left w:w="100.0" w:type="dxa"/>
              <w:bottom w:w="100.0" w:type="dxa"/>
              <w:right w:w="100.0" w:type="dxa"/>
            </w:tcMar>
          </w:tcPr>
          <w:p w:rsidR="00000000" w:rsidDel="00000000" w:rsidP="00000000" w:rsidRDefault="00000000" w:rsidRPr="00000000" w14:paraId="000000A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r w:rsidDel="00000000" w:rsidR="00000000" w:rsidRPr="00000000">
              <w:rPr>
                <w:rFonts w:ascii="Times New Roman" w:cs="Times New Roman" w:eastAsia="Times New Roman" w:hAnsi="Times New Roman"/>
                <w:i w:val="1"/>
                <w:rtl w:val="0"/>
              </w:rPr>
              <w:t xml:space="preserve">hosphodiesterase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PHD</w:t>
            </w:r>
          </w:p>
        </w:tc>
        <w:tc>
          <w:tcPr>
            <w:shd w:fill="auto" w:val="clear"/>
            <w:tcMar>
              <w:top w:w="100.0" w:type="dxa"/>
              <w:left w:w="100.0" w:type="dxa"/>
              <w:bottom w:w="100.0" w:type="dxa"/>
              <w:right w:w="100.0" w:type="dxa"/>
            </w:tcMar>
          </w:tcPr>
          <w:p w:rsidR="00000000" w:rsidDel="00000000" w:rsidP="00000000" w:rsidRDefault="00000000" w:rsidRPr="00000000" w14:paraId="000000A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 µM</w:t>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β-D-xylopyranoside</w:t>
            </w:r>
            <w:r w:rsidDel="00000000" w:rsidR="00000000" w:rsidRPr="00000000">
              <w:rPr>
                <w:rFonts w:ascii="Times New Roman" w:cs="Times New Roman" w:eastAsia="Times New Roman" w:hAnsi="Times New Roman"/>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AC">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XYL</w:t>
            </w:r>
          </w:p>
        </w:tc>
        <w:tc>
          <w:tcPr>
            <w:shd w:fill="auto" w:val="clear"/>
            <w:tcMar>
              <w:top w:w="100.0" w:type="dxa"/>
              <w:left w:w="100.0" w:type="dxa"/>
              <w:bottom w:w="100.0" w:type="dxa"/>
              <w:right w:w="100.0" w:type="dxa"/>
            </w:tcMar>
          </w:tcPr>
          <w:p w:rsidR="00000000" w:rsidDel="00000000" w:rsidP="00000000" w:rsidRDefault="00000000" w:rsidRPr="00000000" w14:paraId="000000A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shd w:fill="auto" w:val="clear"/>
            <w:tcMar>
              <w:top w:w="100.0" w:type="dxa"/>
              <w:left w:w="100.0" w:type="dxa"/>
              <w:bottom w:w="100.0" w:type="dxa"/>
              <w:right w:w="100.0" w:type="dxa"/>
            </w:tcMar>
          </w:tcPr>
          <w:p w:rsidR="00000000" w:rsidDel="00000000" w:rsidP="00000000" w:rsidRDefault="00000000" w:rsidRPr="00000000" w14:paraId="000000AE">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C  </w:t>
            </w:r>
          </w:p>
        </w:tc>
        <w:tc>
          <w:tcPr>
            <w:shd w:fill="auto" w:val="clear"/>
            <w:tcMar>
              <w:top w:w="100.0" w:type="dxa"/>
              <w:left w:w="100.0" w:type="dxa"/>
              <w:bottom w:w="100.0" w:type="dxa"/>
              <w:right w:w="100.0" w:type="dxa"/>
            </w:tcMar>
          </w:tcPr>
          <w:p w:rsidR="00000000" w:rsidDel="00000000" w:rsidP="00000000" w:rsidRDefault="00000000" w:rsidRPr="00000000" w14:paraId="000000AF">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4-Methylumbelliferyl α-D-glucopyranoside</w:t>
            </w:r>
            <w:r w:rsidDel="00000000" w:rsidR="00000000" w:rsidRPr="00000000">
              <w:rPr>
                <w:rFonts w:ascii="Times New Roman" w:cs="Times New Roman" w:eastAsia="Times New Roman" w:hAnsi="Times New Roman"/>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B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w:t>
            </w:r>
          </w:p>
        </w:tc>
        <w:tc>
          <w:tcPr>
            <w:shd w:fill="auto" w:val="clear"/>
            <w:tcMar>
              <w:top w:w="100.0" w:type="dxa"/>
              <w:left w:w="100.0" w:type="dxa"/>
              <w:bottom w:w="100.0" w:type="dxa"/>
              <w:right w:w="100.0" w:type="dxa"/>
            </w:tcMar>
          </w:tcPr>
          <w:p w:rsidR="00000000" w:rsidDel="00000000" w:rsidP="00000000" w:rsidRDefault="00000000" w:rsidRPr="00000000" w14:paraId="000000B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 µM</w:t>
            </w:r>
          </w:p>
        </w:tc>
        <w:tc>
          <w:tcPr>
            <w:shd w:fill="auto" w:val="clear"/>
            <w:tcMar>
              <w:top w:w="100.0" w:type="dxa"/>
              <w:left w:w="100.0" w:type="dxa"/>
              <w:bottom w:w="100.0" w:type="dxa"/>
              <w:right w:w="100.0" w:type="dxa"/>
            </w:tcMar>
          </w:tcPr>
          <w:p w:rsidR="00000000" w:rsidDel="00000000" w:rsidP="00000000" w:rsidRDefault="00000000" w:rsidRPr="00000000" w14:paraId="000000B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C  </w:t>
            </w:r>
          </w:p>
        </w:tc>
        <w:tc>
          <w:tcPr>
            <w:shd w:fill="auto" w:val="clear"/>
            <w:tcMar>
              <w:top w:w="100.0" w:type="dxa"/>
              <w:left w:w="100.0" w:type="dxa"/>
              <w:bottom w:w="100.0" w:type="dxa"/>
              <w:right w:w="100.0" w:type="dxa"/>
            </w:tcMar>
          </w:tcPr>
          <w:p w:rsidR="00000000" w:rsidDel="00000000" w:rsidP="00000000" w:rsidRDefault="00000000" w:rsidRPr="00000000" w14:paraId="000000B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MUB</w:t>
            </w:r>
          </w:p>
        </w:tc>
      </w:tr>
      <w:tr>
        <w:trPr>
          <w:cantSplit w:val="0"/>
          <w:tblHeader w:val="0"/>
        </w:trPr>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B5">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L-Leucine-7-amido-4-methylcoumarin hydrochloride</w:t>
            </w:r>
            <w:r w:rsidDel="00000000" w:rsidR="00000000" w:rsidRPr="00000000">
              <w:rPr>
                <w:rtl w:val="0"/>
              </w:rPr>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B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LAP</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B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100-2000 µM</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B8">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bottom w:color="000000" w:space="0" w:sz="4" w:val="single"/>
            </w:tcBorders>
            <w:shd w:fill="auto" w:val="clear"/>
            <w:tcMar>
              <w:top w:w="100.0" w:type="dxa"/>
              <w:left w:w="100.0" w:type="dxa"/>
              <w:bottom w:w="100.0" w:type="dxa"/>
              <w:right w:w="100.0" w:type="dxa"/>
            </w:tcMar>
          </w:tcPr>
          <w:p w:rsidR="00000000" w:rsidDel="00000000" w:rsidP="00000000" w:rsidRDefault="00000000" w:rsidRPr="00000000" w14:paraId="000000B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MUC</w:t>
            </w:r>
          </w:p>
        </w:tc>
      </w:tr>
    </w:tbl>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sz w:val="24"/>
          <w:szCs w:val="24"/>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S3:</w:t>
      </w:r>
      <w:r w:rsidDel="00000000" w:rsidR="00000000" w:rsidRPr="00000000">
        <w:rPr>
          <w:rFonts w:ascii="Times New Roman" w:cs="Times New Roman" w:eastAsia="Times New Roman" w:hAnsi="Times New Roman"/>
          <w:sz w:val="24"/>
          <w:szCs w:val="24"/>
          <w:rtl w:val="0"/>
        </w:rPr>
        <w:t xml:space="preserve"> Detailed statistical information for path analysis. Total CO</w:t>
      </w:r>
      <w:r w:rsidDel="00000000" w:rsidR="00000000" w:rsidRPr="00000000">
        <w:rPr>
          <w:rFonts w:ascii="Times New Roman" w:cs="Times New Roman" w:eastAsia="Times New Roman" w:hAnsi="Times New Roman"/>
          <w:sz w:val="24"/>
          <w:szCs w:val="24"/>
          <w:vertAlign w:val="subscript"/>
          <w:rtl w:val="0"/>
        </w:rPr>
        <w:t xml:space="preserve">2</w:t>
      </w:r>
      <w:r w:rsidDel="00000000" w:rsidR="00000000" w:rsidRPr="00000000">
        <w:rPr>
          <w:rFonts w:ascii="Times New Roman" w:cs="Times New Roman" w:eastAsia="Times New Roman" w:hAnsi="Times New Roman"/>
          <w:sz w:val="24"/>
          <w:szCs w:val="24"/>
          <w:rtl w:val="0"/>
        </w:rPr>
        <w:t xml:space="preserve"> is the dependent variable. The variables include Total_MRC, oPOC, fPOC, MAOC, MBC, and Substrate addition treatments. MRC stands for microbial residual C; oPOC is occluded-particulate organic C; fPOC is free-particulate organic C; MAOC is the fine mineral-associated organic C; MBC stands for microbial biomass C. A negative estimate indicates a decrease in the outcome variable with an increase in the predictor variable. In other words, a negative estimate suggests that the response variable rises while the predictor variable falls.</w:t>
      </w:r>
    </w:p>
    <w:tbl>
      <w:tblPr>
        <w:tblStyle w:val="Table3"/>
        <w:tblW w:w="93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1815"/>
        <w:gridCol w:w="1965"/>
        <w:gridCol w:w="1395"/>
        <w:gridCol w:w="1215"/>
        <w:tblGridChange w:id="0">
          <w:tblGrid>
            <w:gridCol w:w="2985"/>
            <w:gridCol w:w="1815"/>
            <w:gridCol w:w="1965"/>
            <w:gridCol w:w="1395"/>
            <w:gridCol w:w="1215"/>
          </w:tblGrid>
        </w:tblGridChange>
      </w:tblGrid>
      <w:tr>
        <w:trPr>
          <w:cantSplit w:val="0"/>
          <w:trHeight w:val="570" w:hRule="atLeast"/>
          <w:tblHeader w:val="0"/>
        </w:trPr>
        <w:tc>
          <w:tcPr>
            <w:tcBorders>
              <w:top w:color="000000" w:space="0" w:sz="6" w:val="single"/>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CO2 ~</w:t>
            </w:r>
          </w:p>
        </w:tc>
        <w:tc>
          <w:tcPr>
            <w:tcBorders>
              <w:top w:color="000000" w:space="0" w:sz="6" w:val="single"/>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Estimate</w:t>
            </w:r>
          </w:p>
        </w:tc>
        <w:tc>
          <w:tcPr>
            <w:tcBorders>
              <w:top w:color="000000" w:space="0" w:sz="6" w:val="single"/>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 Error</w:t>
            </w:r>
          </w:p>
        </w:tc>
        <w:tc>
          <w:tcPr>
            <w:tcBorders>
              <w:top w:color="000000" w:space="0" w:sz="6" w:val="single"/>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z-value</w:t>
            </w:r>
          </w:p>
        </w:tc>
        <w:tc>
          <w:tcPr>
            <w:tcBorders>
              <w:top w:color="000000" w:space="0" w:sz="6" w:val="single"/>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p-value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Total_MRC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0.13</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0.92</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oPOC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0.36</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1.73</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B">
            <w:pPr>
              <w:jc w:val="center"/>
              <w:rPr>
                <w:rFonts w:ascii="Times New Roman" w:cs="Times New Roman" w:eastAsia="Times New Roman" w:hAnsi="Times New Roman"/>
                <w:b w:val="1"/>
                <w:vertAlign w:val="superscript"/>
              </w:rPr>
            </w:pPr>
            <w:r w:rsidDel="00000000" w:rsidR="00000000" w:rsidRPr="00000000">
              <w:rPr>
                <w:rFonts w:ascii="Times New Roman" w:cs="Times New Roman" w:eastAsia="Times New Roman" w:hAnsi="Times New Roman"/>
                <w:rtl w:val="0"/>
              </w:rPr>
              <w:t xml:space="preserve">0.08</w:t>
            </w:r>
            <w:r w:rsidDel="00000000" w:rsidR="00000000" w:rsidRPr="00000000">
              <w:rPr>
                <w:rFonts w:ascii="Times New Roman" w:cs="Times New Roman" w:eastAsia="Times New Roman" w:hAnsi="Times New Roman"/>
                <w:b w:val="1"/>
                <w:vertAlign w:val="superscript"/>
                <w:rtl w:val="0"/>
              </w:rPr>
              <w:t xml:space="preserv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fPOC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0.27</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0.01*</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MAOC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-0.37</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5">
            <w:pPr>
              <w:jc w:val="center"/>
              <w:rPr>
                <w:rFonts w:ascii="Times New Roman" w:cs="Times New Roman" w:eastAsia="Times New Roman" w:hAnsi="Times New Roman"/>
                <w:b w:val="1"/>
                <w:vertAlign w:val="superscript"/>
              </w:rPr>
            </w:pPr>
            <w:r w:rsidDel="00000000" w:rsidR="00000000" w:rsidRPr="00000000">
              <w:rPr>
                <w:rFonts w:ascii="Times New Roman" w:cs="Times New Roman" w:eastAsia="Times New Roman" w:hAnsi="Times New Roman"/>
                <w:rtl w:val="0"/>
              </w:rPr>
              <w:t xml:space="preserve">0.08</w:t>
            </w:r>
            <w:r w:rsidDel="00000000" w:rsidR="00000000" w:rsidRPr="00000000">
              <w:rPr>
                <w:rFonts w:ascii="Times New Roman" w:cs="Times New Roman" w:eastAsia="Times New Roman" w:hAnsi="Times New Roman"/>
                <w:b w:val="1"/>
                <w:vertAlign w:val="superscript"/>
                <w:rtl w:val="0"/>
              </w:rPr>
              <w:t xml:space="preserv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MBC</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0.11</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0.29</w:t>
            </w:r>
          </w:p>
        </w:tc>
      </w:tr>
      <w:tr>
        <w:trPr>
          <w:cantSplit w:val="0"/>
          <w:trHeight w:val="390" w:hRule="atLeast"/>
          <w:tblHeader w:val="0"/>
        </w:trPr>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Substrate addition treatment</w:t>
            </w:r>
          </w:p>
        </w:tc>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0.66</w:t>
            </w:r>
          </w:p>
        </w:tc>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0.10</w:t>
            </w:r>
          </w:p>
        </w:tc>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6.55</w:t>
            </w:r>
          </w:p>
        </w:tc>
        <w:tc>
          <w:tcPr>
            <w:tcBorders>
              <w:top w:color="000000" w:space="0" w:sz="0" w:val="nil"/>
              <w:left w:color="000000" w:space="0" w:sz="0" w:val="nil"/>
              <w:bottom w:color="000000" w:space="0" w:sz="6"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0.000***</w:t>
            </w:r>
          </w:p>
        </w:tc>
      </w:tr>
    </w:tbl>
    <w:p w:rsidR="00000000" w:rsidDel="00000000" w:rsidP="00000000" w:rsidRDefault="00000000" w:rsidRPr="00000000" w14:paraId="000000E0">
      <w:pPr>
        <w:spacing w:after="160" w:line="301.09090909090907"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Symbols: p &lt; 0.0001 “</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p &lt; 0.001 “</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p &lt; 0.01 “</w:t>
      </w:r>
      <w:r w:rsidDel="00000000" w:rsidR="00000000" w:rsidRPr="00000000">
        <w:rPr>
          <w:rFonts w:ascii="Times New Roman" w:cs="Times New Roman" w:eastAsia="Times New Roman" w:hAnsi="Times New Roman"/>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p &lt; 0.1 “</w:t>
      </w:r>
      <w:r w:rsidDel="00000000" w:rsidR="00000000" w:rsidRPr="00000000">
        <w:rPr>
          <w:rFonts w:ascii="Times New Roman" w:cs="Times New Roman" w:eastAsia="Times New Roman" w:hAnsi="Times New Roman"/>
          <w:b w:val="1"/>
          <w:sz w:val="24"/>
          <w:szCs w:val="24"/>
          <w:vertAlign w:val="superscript"/>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4.pn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8.png"/><Relationship Id="rId14" Type="http://schemas.openxmlformats.org/officeDocument/2006/relationships/image" Target="media/image7.png"/><Relationship Id="rId5" Type="http://schemas.openxmlformats.org/officeDocument/2006/relationships/styles" Target="styles.xml"/><Relationship Id="rId6" Type="http://schemas.openxmlformats.org/officeDocument/2006/relationships/hyperlink" Target="mailto:dsihi@ncsu.edu" TargetMode="External"/><Relationship Id="rId7" Type="http://schemas.openxmlformats.org/officeDocument/2006/relationships/image" Target="media/image9.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