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578F" w:rsidRPr="0037477C" w:rsidRDefault="006D578F" w:rsidP="006D578F">
      <w:pPr>
        <w:spacing w:line="360" w:lineRule="auto"/>
        <w:jc w:val="both"/>
        <w:rPr>
          <w:b/>
          <w:bCs/>
          <w:sz w:val="36"/>
          <w:szCs w:val="32"/>
          <w:lang w:val="en-GB"/>
        </w:rPr>
      </w:pPr>
    </w:p>
    <w:p w:rsidR="006D578F" w:rsidRPr="00715C4F" w:rsidRDefault="006D578F" w:rsidP="006D578F">
      <w:pPr>
        <w:spacing w:line="360" w:lineRule="auto"/>
        <w:jc w:val="both"/>
        <w:rPr>
          <w:b/>
          <w:bCs/>
          <w:sz w:val="36"/>
          <w:szCs w:val="32"/>
          <w:lang w:val="en-GB"/>
        </w:rPr>
      </w:pPr>
      <w:r w:rsidRPr="0037477C">
        <w:rPr>
          <w:b/>
          <w:bCs/>
          <w:sz w:val="36"/>
          <w:szCs w:val="32"/>
          <w:lang w:val="en-GB"/>
        </w:rPr>
        <w:t xml:space="preserve">Spatial patterns of sediment phosphorus contents and release in a deep </w:t>
      </w:r>
      <w:proofErr w:type="spellStart"/>
      <w:r w:rsidRPr="0037477C">
        <w:rPr>
          <w:b/>
          <w:bCs/>
          <w:sz w:val="36"/>
          <w:szCs w:val="32"/>
          <w:lang w:val="en-GB"/>
        </w:rPr>
        <w:t>clearwater</w:t>
      </w:r>
      <w:proofErr w:type="spellEnd"/>
      <w:r w:rsidRPr="0037477C">
        <w:rPr>
          <w:b/>
          <w:bCs/>
          <w:sz w:val="36"/>
          <w:szCs w:val="32"/>
          <w:lang w:val="en-GB"/>
        </w:rPr>
        <w:t xml:space="preserve"> lake undergoing rapid eutrophication</w:t>
      </w:r>
    </w:p>
    <w:p w:rsidR="006D578F" w:rsidRDefault="006D578F" w:rsidP="006D578F">
      <w:pPr>
        <w:rPr>
          <w:b/>
          <w:bCs/>
          <w:sz w:val="36"/>
          <w:szCs w:val="32"/>
          <w:lang w:val="en-GB"/>
        </w:rPr>
      </w:pPr>
    </w:p>
    <w:p w:rsidR="006D578F" w:rsidRDefault="006D578F" w:rsidP="006D578F">
      <w:pPr>
        <w:rPr>
          <w:b/>
          <w:bCs/>
          <w:sz w:val="36"/>
          <w:szCs w:val="32"/>
          <w:lang w:val="en-GB"/>
        </w:rPr>
      </w:pPr>
      <w:r>
        <w:rPr>
          <w:b/>
          <w:bCs/>
          <w:sz w:val="36"/>
          <w:szCs w:val="32"/>
          <w:lang w:val="en-GB"/>
        </w:rPr>
        <w:t>Supporting Information</w:t>
      </w:r>
    </w:p>
    <w:p w:rsidR="006D578F" w:rsidRPr="001E46D2" w:rsidRDefault="006D578F" w:rsidP="006D578F">
      <w:pPr>
        <w:rPr>
          <w:lang w:val="en-GB"/>
        </w:rPr>
      </w:pPr>
    </w:p>
    <w:p w:rsidR="006D578F" w:rsidRPr="002057FB" w:rsidRDefault="006D578F" w:rsidP="006D578F">
      <w:pPr>
        <w:spacing w:before="240" w:line="720" w:lineRule="auto"/>
        <w:jc w:val="both"/>
        <w:rPr>
          <w:vertAlign w:val="superscript"/>
          <w:lang w:val="en-GB"/>
        </w:rPr>
      </w:pPr>
      <w:r w:rsidRPr="002057FB">
        <w:rPr>
          <w:lang w:val="en-GB"/>
        </w:rPr>
        <w:t>Johann Holdt</w:t>
      </w:r>
      <w:r w:rsidRPr="002057FB">
        <w:rPr>
          <w:vertAlign w:val="superscript"/>
          <w:lang w:val="en-GB"/>
        </w:rPr>
        <w:t>1</w:t>
      </w:r>
      <w:r>
        <w:rPr>
          <w:vertAlign w:val="superscript"/>
          <w:lang w:val="en-GB"/>
        </w:rPr>
        <w:t>*</w:t>
      </w:r>
      <w:r w:rsidRPr="002057FB">
        <w:rPr>
          <w:lang w:val="en-GB"/>
        </w:rPr>
        <w:t>, Andreas Reimer</w:t>
      </w:r>
      <w:r w:rsidRPr="002057FB">
        <w:rPr>
          <w:vertAlign w:val="superscript"/>
          <w:lang w:val="en-GB"/>
        </w:rPr>
        <w:t>1</w:t>
      </w:r>
      <w:r w:rsidRPr="002057FB">
        <w:rPr>
          <w:lang w:val="en-GB"/>
        </w:rPr>
        <w:t>, Thomas Gonsiorczyk</w:t>
      </w:r>
      <w:r w:rsidRPr="002057FB">
        <w:rPr>
          <w:vertAlign w:val="superscript"/>
          <w:lang w:val="en-GB"/>
        </w:rPr>
        <w:t>2</w:t>
      </w:r>
      <w:r w:rsidRPr="002057FB">
        <w:rPr>
          <w:lang w:val="en-GB"/>
        </w:rPr>
        <w:t>, Mark O. Gessner</w:t>
      </w:r>
      <w:r w:rsidRPr="002057FB">
        <w:rPr>
          <w:vertAlign w:val="superscript"/>
          <w:lang w:val="en-GB"/>
        </w:rPr>
        <w:t>2,3</w:t>
      </w:r>
      <w:r w:rsidRPr="002057FB">
        <w:rPr>
          <w:lang w:val="en-GB"/>
        </w:rPr>
        <w:t>, Volker Thiel</w:t>
      </w:r>
      <w:r w:rsidRPr="002057FB">
        <w:rPr>
          <w:vertAlign w:val="superscript"/>
          <w:lang w:val="en-GB"/>
        </w:rPr>
        <w:t>1</w:t>
      </w:r>
    </w:p>
    <w:p w:rsidR="006D578F" w:rsidRPr="00491074" w:rsidRDefault="006D578F" w:rsidP="006D578F">
      <w:pPr>
        <w:spacing w:before="240" w:line="480" w:lineRule="auto"/>
        <w:jc w:val="both"/>
        <w:rPr>
          <w:sz w:val="22"/>
          <w:szCs w:val="22"/>
          <w:lang w:val="en-GB"/>
        </w:rPr>
      </w:pPr>
      <w:r w:rsidRPr="00491074">
        <w:rPr>
          <w:sz w:val="22"/>
          <w:szCs w:val="22"/>
          <w:vertAlign w:val="superscript"/>
          <w:lang w:val="en-GB"/>
        </w:rPr>
        <w:t>1</w:t>
      </w:r>
      <w:r w:rsidRPr="00491074">
        <w:rPr>
          <w:sz w:val="22"/>
          <w:szCs w:val="22"/>
          <w:lang w:val="en-GB"/>
        </w:rPr>
        <w:t xml:space="preserve">Geoscience Centre of the University of </w:t>
      </w:r>
      <w:proofErr w:type="spellStart"/>
      <w:r w:rsidRPr="00491074">
        <w:rPr>
          <w:sz w:val="22"/>
          <w:szCs w:val="22"/>
          <w:lang w:val="en-GB"/>
        </w:rPr>
        <w:t>Göttingen</w:t>
      </w:r>
      <w:proofErr w:type="spellEnd"/>
      <w:r w:rsidRPr="00491074">
        <w:rPr>
          <w:sz w:val="22"/>
          <w:szCs w:val="22"/>
          <w:lang w:val="en-GB"/>
        </w:rPr>
        <w:t xml:space="preserve">, Department of </w:t>
      </w:r>
      <w:proofErr w:type="spellStart"/>
      <w:r w:rsidRPr="00491074">
        <w:rPr>
          <w:sz w:val="22"/>
          <w:szCs w:val="22"/>
          <w:lang w:val="en-GB"/>
        </w:rPr>
        <w:t>Geobiology</w:t>
      </w:r>
      <w:proofErr w:type="spellEnd"/>
      <w:r w:rsidRPr="00491074">
        <w:rPr>
          <w:sz w:val="22"/>
          <w:szCs w:val="22"/>
          <w:lang w:val="en-GB"/>
        </w:rPr>
        <w:t xml:space="preserve">, </w:t>
      </w:r>
      <w:proofErr w:type="spellStart"/>
      <w:r w:rsidRPr="00491074">
        <w:rPr>
          <w:sz w:val="22"/>
          <w:szCs w:val="22"/>
          <w:lang w:val="en-GB"/>
        </w:rPr>
        <w:t>Göttingen</w:t>
      </w:r>
      <w:proofErr w:type="spellEnd"/>
      <w:r w:rsidRPr="00491074">
        <w:rPr>
          <w:sz w:val="22"/>
          <w:szCs w:val="22"/>
          <w:lang w:val="en-GB"/>
        </w:rPr>
        <w:t>, Germany</w:t>
      </w:r>
    </w:p>
    <w:p w:rsidR="006D578F" w:rsidRPr="00491074" w:rsidRDefault="006D578F" w:rsidP="006D578F">
      <w:pPr>
        <w:spacing w:line="480" w:lineRule="auto"/>
        <w:jc w:val="both"/>
        <w:rPr>
          <w:sz w:val="22"/>
          <w:szCs w:val="22"/>
          <w:lang w:val="en-GB"/>
        </w:rPr>
      </w:pPr>
      <w:r w:rsidRPr="00491074">
        <w:rPr>
          <w:sz w:val="22"/>
          <w:szCs w:val="22"/>
          <w:vertAlign w:val="superscript"/>
          <w:lang w:val="en-GB"/>
        </w:rPr>
        <w:t>2</w:t>
      </w:r>
      <w:r w:rsidRPr="00491074">
        <w:rPr>
          <w:sz w:val="22"/>
          <w:szCs w:val="22"/>
          <w:lang w:val="en-GB"/>
        </w:rPr>
        <w:t xml:space="preserve">Leibniz Institute of Freshwater Ecology and Inland Fisheries, Department of Plankton and Microbial Ecology, </w:t>
      </w:r>
      <w:proofErr w:type="spellStart"/>
      <w:r w:rsidRPr="00491074">
        <w:rPr>
          <w:sz w:val="22"/>
          <w:szCs w:val="22"/>
          <w:lang w:val="en-GB"/>
        </w:rPr>
        <w:t>Stechlin</w:t>
      </w:r>
      <w:proofErr w:type="spellEnd"/>
      <w:r w:rsidRPr="00491074">
        <w:rPr>
          <w:sz w:val="22"/>
          <w:szCs w:val="22"/>
          <w:lang w:val="en-GB"/>
        </w:rPr>
        <w:t>, Germany</w:t>
      </w:r>
    </w:p>
    <w:p w:rsidR="006D578F" w:rsidRDefault="006D578F" w:rsidP="006D578F">
      <w:pPr>
        <w:spacing w:line="480" w:lineRule="auto"/>
        <w:rPr>
          <w:iCs/>
          <w:sz w:val="22"/>
          <w:szCs w:val="22"/>
          <w:lang w:val="en-US"/>
        </w:rPr>
      </w:pPr>
      <w:r w:rsidRPr="00491074">
        <w:rPr>
          <w:iCs/>
          <w:sz w:val="22"/>
          <w:szCs w:val="22"/>
          <w:vertAlign w:val="superscript"/>
          <w:lang w:val="en-US"/>
        </w:rPr>
        <w:t>3</w:t>
      </w:r>
      <w:r w:rsidRPr="00491074">
        <w:rPr>
          <w:iCs/>
          <w:sz w:val="22"/>
          <w:szCs w:val="22"/>
          <w:lang w:val="en-US"/>
        </w:rPr>
        <w:t xml:space="preserve">Berlin Institute of Technology (TU Berlin), </w:t>
      </w:r>
      <w:r>
        <w:rPr>
          <w:iCs/>
          <w:sz w:val="22"/>
          <w:szCs w:val="22"/>
          <w:lang w:val="en-US"/>
        </w:rPr>
        <w:t>Institute</w:t>
      </w:r>
      <w:r w:rsidRPr="00491074">
        <w:rPr>
          <w:iCs/>
          <w:sz w:val="22"/>
          <w:szCs w:val="22"/>
          <w:lang w:val="en-US"/>
        </w:rPr>
        <w:t xml:space="preserve"> of Ecology, Berlin, Germany </w:t>
      </w:r>
    </w:p>
    <w:p w:rsidR="006D578F" w:rsidRDefault="006D578F" w:rsidP="006D578F">
      <w:pPr>
        <w:spacing w:line="480" w:lineRule="auto"/>
        <w:rPr>
          <w:iCs/>
          <w:sz w:val="22"/>
          <w:szCs w:val="22"/>
          <w:lang w:val="en-US"/>
        </w:rPr>
      </w:pPr>
      <w:r w:rsidRPr="00491074">
        <w:rPr>
          <w:iCs/>
          <w:sz w:val="22"/>
          <w:szCs w:val="22"/>
          <w:lang w:val="en-US"/>
        </w:rPr>
        <w:t xml:space="preserve">*Corresponding author: </w:t>
      </w:r>
      <w:hyperlink r:id="rId4" w:history="1">
        <w:r w:rsidRPr="00033F82">
          <w:rPr>
            <w:rStyle w:val="Hyperlink"/>
            <w:iCs/>
            <w:sz w:val="22"/>
            <w:szCs w:val="22"/>
            <w:lang w:val="en-US"/>
          </w:rPr>
          <w:t>johann.holdt@uni-goettingen.de</w:t>
        </w:r>
      </w:hyperlink>
    </w:p>
    <w:p w:rsidR="006D578F" w:rsidRPr="00491074" w:rsidRDefault="006D578F" w:rsidP="006D578F">
      <w:pPr>
        <w:spacing w:line="480" w:lineRule="auto"/>
        <w:rPr>
          <w:iCs/>
          <w:sz w:val="22"/>
          <w:szCs w:val="22"/>
          <w:lang w:val="en-US"/>
        </w:rPr>
      </w:pPr>
    </w:p>
    <w:p w:rsidR="006D578F" w:rsidRPr="00491074" w:rsidRDefault="006D578F" w:rsidP="006D578F">
      <w:pPr>
        <w:spacing w:line="480" w:lineRule="auto"/>
        <w:rPr>
          <w:sz w:val="22"/>
          <w:szCs w:val="22"/>
          <w:lang w:val="en-US"/>
        </w:rPr>
      </w:pPr>
      <w:r w:rsidRPr="00491074">
        <w:rPr>
          <w:sz w:val="22"/>
          <w:szCs w:val="22"/>
          <w:lang w:val="en-US"/>
        </w:rPr>
        <w:t>ORCID ID Numbers</w:t>
      </w:r>
    </w:p>
    <w:p w:rsidR="006D578F" w:rsidRPr="00491074" w:rsidRDefault="006D578F" w:rsidP="006D578F">
      <w:pPr>
        <w:spacing w:line="480" w:lineRule="auto"/>
        <w:rPr>
          <w:iCs/>
          <w:color w:val="000000" w:themeColor="text1"/>
          <w:sz w:val="22"/>
          <w:szCs w:val="22"/>
          <w:lang w:val="en-US"/>
        </w:rPr>
      </w:pPr>
      <w:r w:rsidRPr="00491074">
        <w:rPr>
          <w:iCs/>
          <w:sz w:val="22"/>
          <w:szCs w:val="22"/>
          <w:lang w:val="en-US"/>
        </w:rPr>
        <w:t xml:space="preserve">Johann </w:t>
      </w:r>
      <w:proofErr w:type="spellStart"/>
      <w:r w:rsidRPr="00491074">
        <w:rPr>
          <w:iCs/>
          <w:sz w:val="22"/>
          <w:szCs w:val="22"/>
          <w:lang w:val="en-US"/>
        </w:rPr>
        <w:t>Holdt</w:t>
      </w:r>
      <w:proofErr w:type="spellEnd"/>
      <w:r w:rsidRPr="00491074">
        <w:rPr>
          <w:iCs/>
          <w:color w:val="000000" w:themeColor="text1"/>
          <w:sz w:val="22"/>
          <w:szCs w:val="22"/>
          <w:lang w:val="en-US"/>
        </w:rPr>
        <w:t xml:space="preserve">: </w:t>
      </w:r>
      <w:r w:rsidRPr="00491074">
        <w:rPr>
          <w:color w:val="000000" w:themeColor="text1"/>
          <w:sz w:val="22"/>
          <w:szCs w:val="22"/>
          <w:lang w:val="en-US"/>
        </w:rPr>
        <w:t>0009-0000-9261-7128</w:t>
      </w:r>
    </w:p>
    <w:p w:rsidR="006D578F" w:rsidRPr="00491074" w:rsidRDefault="006D578F" w:rsidP="006D578F">
      <w:pPr>
        <w:spacing w:line="480" w:lineRule="auto"/>
        <w:rPr>
          <w:iCs/>
          <w:sz w:val="22"/>
          <w:szCs w:val="22"/>
        </w:rPr>
      </w:pPr>
      <w:r w:rsidRPr="00491074">
        <w:rPr>
          <w:iCs/>
          <w:sz w:val="22"/>
          <w:szCs w:val="22"/>
        </w:rPr>
        <w:t>Andreas Reimer:</w:t>
      </w:r>
    </w:p>
    <w:p w:rsidR="006D578F" w:rsidRPr="00491074" w:rsidRDefault="006D578F" w:rsidP="006D578F">
      <w:pPr>
        <w:spacing w:line="480" w:lineRule="auto"/>
        <w:rPr>
          <w:iCs/>
          <w:sz w:val="22"/>
          <w:szCs w:val="22"/>
        </w:rPr>
      </w:pPr>
      <w:r w:rsidRPr="00491074">
        <w:rPr>
          <w:iCs/>
          <w:sz w:val="22"/>
          <w:szCs w:val="22"/>
        </w:rPr>
        <w:t>Thomas Gonsiorczyk: 0009-0004-4726-9709</w:t>
      </w:r>
    </w:p>
    <w:p w:rsidR="006D578F" w:rsidRDefault="006D578F" w:rsidP="006D578F">
      <w:pPr>
        <w:pStyle w:val="NormalWeb"/>
        <w:spacing w:line="480" w:lineRule="auto"/>
        <w:rPr>
          <w:rFonts w:eastAsia="Times New Roman"/>
          <w:sz w:val="22"/>
          <w:szCs w:val="22"/>
          <w:lang w:eastAsia="de-DE"/>
        </w:rPr>
      </w:pPr>
      <w:r w:rsidRPr="00491074">
        <w:rPr>
          <w:iCs/>
          <w:sz w:val="22"/>
          <w:szCs w:val="22"/>
        </w:rPr>
        <w:t xml:space="preserve">Mark O. Gessner: </w:t>
      </w:r>
      <w:r w:rsidRPr="00491074">
        <w:rPr>
          <w:rFonts w:eastAsia="Times New Roman"/>
          <w:sz w:val="22"/>
          <w:szCs w:val="22"/>
          <w:lang w:eastAsia="de-DE"/>
        </w:rPr>
        <w:t xml:space="preserve">0000-0003-2516-7416 </w:t>
      </w:r>
    </w:p>
    <w:p w:rsidR="006D578F" w:rsidRDefault="006D578F" w:rsidP="006D578F">
      <w:pPr>
        <w:pStyle w:val="NormalWeb"/>
        <w:spacing w:line="480" w:lineRule="auto"/>
        <w:rPr>
          <w:sz w:val="22"/>
          <w:szCs w:val="22"/>
        </w:rPr>
      </w:pPr>
      <w:r w:rsidRPr="00491074">
        <w:rPr>
          <w:sz w:val="22"/>
          <w:szCs w:val="22"/>
        </w:rPr>
        <w:t>Volker Thiel: 0000-0003-4758-2784</w:t>
      </w:r>
    </w:p>
    <w:p w:rsidR="006D578F" w:rsidRDefault="006D578F" w:rsidP="006D578F">
      <w:pPr>
        <w:rPr>
          <w:sz w:val="20"/>
          <w:szCs w:val="20"/>
        </w:rPr>
      </w:pPr>
    </w:p>
    <w:p w:rsidR="006D578F" w:rsidRPr="00671148" w:rsidRDefault="006D578F" w:rsidP="006D578F">
      <w:pPr>
        <w:rPr>
          <w:sz w:val="20"/>
          <w:szCs w:val="20"/>
        </w:rPr>
      </w:pPr>
    </w:p>
    <w:p w:rsidR="006D578F" w:rsidRPr="00671148" w:rsidRDefault="006D578F" w:rsidP="006D578F">
      <w:pPr>
        <w:rPr>
          <w:sz w:val="20"/>
          <w:szCs w:val="20"/>
        </w:rPr>
      </w:pPr>
    </w:p>
    <w:p w:rsidR="006D578F" w:rsidRPr="00671148" w:rsidRDefault="006D578F" w:rsidP="006D578F">
      <w:pPr>
        <w:rPr>
          <w:sz w:val="20"/>
          <w:szCs w:val="20"/>
        </w:rPr>
      </w:pPr>
    </w:p>
    <w:p w:rsidR="006D578F" w:rsidRPr="00671148" w:rsidRDefault="006D578F" w:rsidP="006D578F">
      <w:pPr>
        <w:rPr>
          <w:sz w:val="20"/>
          <w:szCs w:val="20"/>
        </w:rPr>
      </w:pPr>
    </w:p>
    <w:p w:rsidR="006D578F" w:rsidRPr="00671148" w:rsidRDefault="006D578F" w:rsidP="006D578F">
      <w:pPr>
        <w:rPr>
          <w:sz w:val="20"/>
          <w:szCs w:val="20"/>
        </w:rPr>
      </w:pPr>
    </w:p>
    <w:p w:rsidR="006D578F" w:rsidRPr="00671148" w:rsidRDefault="006D578F" w:rsidP="006D578F">
      <w:pPr>
        <w:rPr>
          <w:sz w:val="20"/>
          <w:szCs w:val="20"/>
        </w:rPr>
      </w:pPr>
    </w:p>
    <w:p w:rsidR="006D578F" w:rsidRPr="00671148" w:rsidRDefault="006D578F" w:rsidP="006D578F">
      <w:pPr>
        <w:rPr>
          <w:sz w:val="20"/>
          <w:szCs w:val="20"/>
        </w:rPr>
      </w:pPr>
    </w:p>
    <w:p w:rsidR="006D578F" w:rsidRPr="00671148" w:rsidRDefault="006D578F" w:rsidP="006D578F">
      <w:pPr>
        <w:rPr>
          <w:sz w:val="20"/>
          <w:szCs w:val="20"/>
        </w:rPr>
      </w:pPr>
    </w:p>
    <w:p w:rsidR="006D578F" w:rsidRPr="00671148" w:rsidRDefault="006D578F" w:rsidP="006D578F">
      <w:pPr>
        <w:rPr>
          <w:sz w:val="20"/>
          <w:szCs w:val="20"/>
        </w:rPr>
      </w:pPr>
    </w:p>
    <w:p w:rsidR="006D578F" w:rsidRPr="00671148" w:rsidRDefault="006D578F" w:rsidP="006D578F">
      <w:pPr>
        <w:rPr>
          <w:sz w:val="20"/>
          <w:szCs w:val="20"/>
        </w:rPr>
      </w:pPr>
    </w:p>
    <w:p w:rsidR="006D578F" w:rsidRDefault="006D578F" w:rsidP="006D578F"/>
    <w:p w:rsidR="006D578F" w:rsidRPr="00FB16BE" w:rsidRDefault="006D578F" w:rsidP="006D578F">
      <w:pPr>
        <w:rPr>
          <w:b/>
          <w:bCs/>
          <w:lang w:val="en-GB"/>
        </w:rPr>
      </w:pPr>
    </w:p>
    <w:p w:rsidR="006D578F" w:rsidRDefault="006D578F" w:rsidP="006D578F">
      <w:pPr>
        <w:rPr>
          <w:b/>
          <w:bCs/>
        </w:rPr>
      </w:pPr>
    </w:p>
    <w:p w:rsidR="006D578F" w:rsidRDefault="006D578F" w:rsidP="006D578F">
      <w:pPr>
        <w:rPr>
          <w:b/>
          <w:bCs/>
        </w:rPr>
      </w:pPr>
    </w:p>
    <w:p w:rsidR="006D578F" w:rsidRDefault="006D578F" w:rsidP="006D578F">
      <w:pPr>
        <w:rPr>
          <w:b/>
          <w:bCs/>
        </w:rPr>
      </w:pPr>
    </w:p>
    <w:p w:rsidR="006D578F" w:rsidRPr="00D90458" w:rsidRDefault="006D578F" w:rsidP="006D578F">
      <w:pPr>
        <w:spacing w:before="100" w:beforeAutospacing="1" w:after="100" w:afterAutospacing="1"/>
        <w:rPr>
          <w:b/>
          <w:bCs/>
          <w:color w:val="000000"/>
        </w:rPr>
      </w:pPr>
      <w:r w:rsidRPr="00D90458">
        <w:rPr>
          <w:b/>
          <w:bCs/>
          <w:color w:val="000000"/>
        </w:rPr>
        <w:t>Introduction</w:t>
      </w:r>
    </w:p>
    <w:p w:rsidR="006D578F" w:rsidRPr="00C82AD2" w:rsidRDefault="006D578F" w:rsidP="006D578F">
      <w:pPr>
        <w:spacing w:line="360" w:lineRule="auto"/>
        <w:jc w:val="both"/>
      </w:pPr>
      <w:r w:rsidRPr="00C82AD2">
        <w:t>The Supplementary Information provides additional data and figures that complement the main manuscript by illustrating spatial and temporal patterns of phosphorus dynamics in Lake Stechlin. In particular, vertical water column profiles of temperature, oxygen, and soluble reactive phosphorus (SRP) are presented for different lake basins and seasons. These profiles highlight that phosphorus accumulation in the hypolimnion is not solely attributable to sedimentary release under anoxic conditions. Instead, they demonstrate that water column remineralization of settling organic matter is also a significant source of phosphorus to deep waters. Together, these results underscore the importance of considering both sedimentary and pelagic processes in driving internal phosphorus loading, thereby refining the interpretation of eutrophication dynamics in deep clearwater lakes.</w:t>
      </w:r>
    </w:p>
    <w:p w:rsidR="006D578F" w:rsidRPr="00C82AD2" w:rsidRDefault="006D578F" w:rsidP="006D578F">
      <w:pPr>
        <w:spacing w:line="360" w:lineRule="auto"/>
        <w:jc w:val="both"/>
      </w:pPr>
    </w:p>
    <w:p w:rsidR="006D578F" w:rsidRDefault="006D578F" w:rsidP="006D578F">
      <w:pPr>
        <w:rPr>
          <w:b/>
          <w:bCs/>
          <w:lang w:val="en-GB"/>
        </w:rPr>
      </w:pPr>
      <w:r>
        <w:rPr>
          <w:noProof/>
          <w:lang w:val="en-IN" w:eastAsia="en-IN"/>
        </w:rPr>
        <w:drawing>
          <wp:inline distT="0" distB="0" distL="0" distR="0" wp14:anchorId="34D3AE20" wp14:editId="37CBC6DC">
            <wp:extent cx="5584372" cy="3224893"/>
            <wp:effectExtent l="0" t="0" r="3810" b="1270"/>
            <wp:docPr id="264571424" name="Diagramm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4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6D578F" w:rsidRPr="00BF09FF" w:rsidRDefault="006D578F" w:rsidP="006D578F">
      <w:pPr>
        <w:jc w:val="both"/>
        <w:rPr>
          <w:sz w:val="20"/>
          <w:szCs w:val="20"/>
          <w:lang w:val="en-GB"/>
        </w:rPr>
      </w:pPr>
      <w:r w:rsidRPr="00BF09FF">
        <w:rPr>
          <w:b/>
          <w:bCs/>
          <w:lang w:val="en-GB"/>
        </w:rPr>
        <w:t>Fig. S1:</w:t>
      </w:r>
      <w:r w:rsidRPr="00BF09FF">
        <w:rPr>
          <w:lang w:val="en-GB"/>
        </w:rPr>
        <w:t xml:space="preserve"> </w:t>
      </w:r>
      <w:bookmarkStart w:id="0" w:name="_Hlk206582232"/>
      <w:r>
        <w:rPr>
          <w:lang w:val="en-GB"/>
        </w:rPr>
        <w:t xml:space="preserve">Relationship between </w:t>
      </w:r>
      <w:r w:rsidRPr="00BF09FF">
        <w:rPr>
          <w:lang w:val="en-GB"/>
        </w:rPr>
        <w:t xml:space="preserve">TP </w:t>
      </w:r>
      <w:r>
        <w:rPr>
          <w:lang w:val="en-GB"/>
        </w:rPr>
        <w:t>contents in dry matter</w:t>
      </w:r>
      <w:r w:rsidRPr="00BF09FF">
        <w:rPr>
          <w:lang w:val="en-GB"/>
        </w:rPr>
        <w:t xml:space="preserve"> (mg kg⁻¹) in surface sediments of Lake </w:t>
      </w:r>
      <w:proofErr w:type="spellStart"/>
      <w:r w:rsidRPr="00BF09FF">
        <w:rPr>
          <w:lang w:val="en-GB"/>
        </w:rPr>
        <w:t>Stechlin</w:t>
      </w:r>
      <w:proofErr w:type="spellEnd"/>
      <w:r w:rsidRPr="00BF09FF">
        <w:rPr>
          <w:lang w:val="en-GB"/>
        </w:rPr>
        <w:t xml:space="preserve"> </w:t>
      </w:r>
      <w:r>
        <w:rPr>
          <w:lang w:val="en-GB"/>
        </w:rPr>
        <w:t>(</w:t>
      </w:r>
      <w:r w:rsidRPr="00BF09FF">
        <w:rPr>
          <w:lang w:val="en-GB"/>
        </w:rPr>
        <w:t>measured in June 2021</w:t>
      </w:r>
      <w:r>
        <w:rPr>
          <w:lang w:val="en-GB"/>
        </w:rPr>
        <w:t>) and the</w:t>
      </w:r>
      <w:r w:rsidRPr="00BF09FF">
        <w:rPr>
          <w:lang w:val="en-GB"/>
        </w:rPr>
        <w:t xml:space="preserve"> water depth</w:t>
      </w:r>
      <w:r>
        <w:rPr>
          <w:lang w:val="en-GB"/>
        </w:rPr>
        <w:t xml:space="preserve"> at the sampling sites. </w:t>
      </w:r>
      <w:bookmarkEnd w:id="0"/>
      <w:r w:rsidRPr="00BF09FF">
        <w:rPr>
          <w:lang w:val="en-GB"/>
        </w:rPr>
        <w:t>Black dots represent the 0-2 cm sediment depth, and red bars represent the 2-5 cm sediment depth.</w:t>
      </w:r>
    </w:p>
    <w:p w:rsidR="006D578F" w:rsidRPr="006D6785" w:rsidRDefault="006D578F" w:rsidP="006D578F">
      <w:pPr>
        <w:rPr>
          <w:sz w:val="20"/>
          <w:szCs w:val="20"/>
          <w:lang w:val="en-GB"/>
        </w:rPr>
      </w:pPr>
      <w:r>
        <w:rPr>
          <w:noProof/>
          <w:lang w:val="en-IN" w:eastAsia="en-IN"/>
        </w:rPr>
        <w:lastRenderedPageBreak/>
        <w:drawing>
          <wp:anchor distT="0" distB="0" distL="114300" distR="114300" simplePos="0" relativeHeight="251659264" behindDoc="0" locked="0" layoutInCell="1" allowOverlap="1" wp14:anchorId="1F98B978" wp14:editId="410FF860">
            <wp:simplePos x="0" y="0"/>
            <wp:positionH relativeFrom="column">
              <wp:posOffset>10464</wp:posOffset>
            </wp:positionH>
            <wp:positionV relativeFrom="paragraph">
              <wp:posOffset>236441</wp:posOffset>
            </wp:positionV>
            <wp:extent cx="5292725" cy="3036570"/>
            <wp:effectExtent l="0" t="0" r="3175" b="0"/>
            <wp:wrapTopAndBottom/>
            <wp:docPr id="239579342" name="Diagramm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4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p>
    <w:p w:rsidR="006D578F" w:rsidRDefault="006D578F" w:rsidP="006D578F">
      <w:pPr>
        <w:rPr>
          <w:lang w:val="en-GB"/>
        </w:rPr>
      </w:pPr>
      <w:r w:rsidRPr="009435BF">
        <w:rPr>
          <w:b/>
          <w:bCs/>
          <w:lang w:val="en-GB"/>
        </w:rPr>
        <w:t>Fig. S</w:t>
      </w:r>
      <w:r>
        <w:rPr>
          <w:b/>
          <w:bCs/>
          <w:lang w:val="en-GB"/>
        </w:rPr>
        <w:t>2</w:t>
      </w:r>
      <w:r w:rsidRPr="009435BF">
        <w:rPr>
          <w:b/>
          <w:bCs/>
          <w:lang w:val="en-GB"/>
        </w:rPr>
        <w:t>:</w:t>
      </w:r>
      <w:r w:rsidRPr="009435BF">
        <w:rPr>
          <w:lang w:val="en-GB"/>
        </w:rPr>
        <w:t xml:space="preserve"> </w:t>
      </w:r>
      <w:r>
        <w:rPr>
          <w:lang w:val="en-GB"/>
        </w:rPr>
        <w:t xml:space="preserve">Relationship between sedimentary </w:t>
      </w:r>
      <w:r w:rsidRPr="009435BF">
        <w:rPr>
          <w:lang w:val="en-GB"/>
        </w:rPr>
        <w:t>TP con</w:t>
      </w:r>
      <w:r>
        <w:rPr>
          <w:lang w:val="en-GB"/>
        </w:rPr>
        <w:t>centration</w:t>
      </w:r>
      <w:r w:rsidRPr="009435BF">
        <w:rPr>
          <w:lang w:val="en-GB"/>
        </w:rPr>
        <w:t xml:space="preserve"> </w:t>
      </w:r>
      <w:r>
        <w:rPr>
          <w:lang w:val="en-GB"/>
        </w:rPr>
        <w:t>(expressed in mg L</w:t>
      </w:r>
      <w:r w:rsidRPr="009B7D54">
        <w:rPr>
          <w:vertAlign w:val="superscript"/>
          <w:lang w:val="en-GB"/>
        </w:rPr>
        <w:t>-1</w:t>
      </w:r>
      <w:r>
        <w:rPr>
          <w:lang w:val="en-GB"/>
        </w:rPr>
        <w:t xml:space="preserve"> of fresh sediment) of the upper </w:t>
      </w:r>
      <w:r w:rsidRPr="00A638EF">
        <w:rPr>
          <w:lang w:val="en-US"/>
        </w:rPr>
        <w:t xml:space="preserve">sediment </w:t>
      </w:r>
      <w:r>
        <w:rPr>
          <w:lang w:val="en-US"/>
        </w:rPr>
        <w:t>layer (0-</w:t>
      </w:r>
      <w:r w:rsidRPr="009435BF">
        <w:rPr>
          <w:lang w:val="en-GB"/>
        </w:rPr>
        <w:t>2 cm</w:t>
      </w:r>
      <w:r>
        <w:rPr>
          <w:lang w:val="en-GB"/>
        </w:rPr>
        <w:t xml:space="preserve">) and </w:t>
      </w:r>
      <w:r w:rsidRPr="009435BF">
        <w:rPr>
          <w:lang w:val="en-GB"/>
        </w:rPr>
        <w:t xml:space="preserve">SRP </w:t>
      </w:r>
      <w:proofErr w:type="spellStart"/>
      <w:r>
        <w:rPr>
          <w:lang w:val="en-GB"/>
        </w:rPr>
        <w:t>porewater</w:t>
      </w:r>
      <w:proofErr w:type="spellEnd"/>
      <w:r>
        <w:rPr>
          <w:lang w:val="en-GB"/>
        </w:rPr>
        <w:t xml:space="preserve"> </w:t>
      </w:r>
      <w:r w:rsidRPr="009435BF">
        <w:rPr>
          <w:lang w:val="en-GB"/>
        </w:rPr>
        <w:t>flux</w:t>
      </w:r>
      <w:r>
        <w:rPr>
          <w:lang w:val="en-GB"/>
        </w:rPr>
        <w:t xml:space="preserve"> across the water-sediment interface of Lake </w:t>
      </w:r>
      <w:proofErr w:type="spellStart"/>
      <w:r>
        <w:rPr>
          <w:lang w:val="en-GB"/>
        </w:rPr>
        <w:t>Stechlin</w:t>
      </w:r>
      <w:proofErr w:type="spellEnd"/>
      <w:r>
        <w:rPr>
          <w:lang w:val="en-GB"/>
        </w:rPr>
        <w:t xml:space="preserve"> in October 2021</w:t>
      </w:r>
    </w:p>
    <w:p w:rsidR="006D578F" w:rsidRDefault="006D578F" w:rsidP="006D578F">
      <w:pPr>
        <w:rPr>
          <w:lang w:val="en-GB"/>
        </w:rPr>
      </w:pPr>
      <w:r>
        <w:rPr>
          <w:noProof/>
          <w:lang w:val="en-IN" w:eastAsia="en-IN"/>
        </w:rPr>
        <w:lastRenderedPageBreak/>
        <mc:AlternateContent>
          <mc:Choice Requires="wps">
            <w:drawing>
              <wp:anchor distT="0" distB="0" distL="114300" distR="114300" simplePos="0" relativeHeight="251663360" behindDoc="0" locked="0" layoutInCell="1" allowOverlap="1" wp14:anchorId="1CB8552B" wp14:editId="66A80160">
                <wp:simplePos x="0" y="0"/>
                <wp:positionH relativeFrom="column">
                  <wp:posOffset>1270</wp:posOffset>
                </wp:positionH>
                <wp:positionV relativeFrom="paragraph">
                  <wp:posOffset>7174865</wp:posOffset>
                </wp:positionV>
                <wp:extent cx="6231890" cy="635"/>
                <wp:effectExtent l="0" t="0" r="3810" b="12065"/>
                <wp:wrapTopAndBottom/>
                <wp:docPr id="1802088747" name="Textfeld 1"/>
                <wp:cNvGraphicFramePr/>
                <a:graphic xmlns:a="http://schemas.openxmlformats.org/drawingml/2006/main">
                  <a:graphicData uri="http://schemas.microsoft.com/office/word/2010/wordprocessingShape">
                    <wps:wsp>
                      <wps:cNvSpPr txBox="1"/>
                      <wps:spPr>
                        <a:xfrm>
                          <a:off x="0" y="0"/>
                          <a:ext cx="6231890" cy="635"/>
                        </a:xfrm>
                        <a:prstGeom prst="rect">
                          <a:avLst/>
                        </a:prstGeom>
                        <a:solidFill>
                          <a:prstClr val="white"/>
                        </a:solidFill>
                        <a:ln>
                          <a:noFill/>
                        </a:ln>
                      </wps:spPr>
                      <wps:txbx>
                        <w:txbxContent>
                          <w:p w:rsidR="006D578F" w:rsidRPr="00736EAE" w:rsidRDefault="006D578F" w:rsidP="006D578F">
                            <w:pPr>
                              <w:pStyle w:val="CitaviBibliographyEntry"/>
                              <w:tabs>
                                <w:tab w:val="left" w:pos="0"/>
                              </w:tabs>
                              <w:spacing w:before="240"/>
                              <w:jc w:val="both"/>
                              <w:rPr>
                                <w:rFonts w:ascii="Times New Roman" w:hAnsi="Times New Roman" w:cs="Times New Roman"/>
                                <w:b/>
                                <w:bCs/>
                                <w:lang w:val="en-US"/>
                              </w:rPr>
                            </w:pPr>
                            <w:r w:rsidRPr="00EA5704">
                              <w:rPr>
                                <w:rFonts w:ascii="Times New Roman" w:hAnsi="Times New Roman" w:cs="Times New Roman"/>
                                <w:b/>
                                <w:bCs/>
                              </w:rPr>
                              <w:t>Fig</w:t>
                            </w:r>
                            <w:r>
                              <w:rPr>
                                <w:rFonts w:ascii="Times New Roman" w:hAnsi="Times New Roman" w:cs="Times New Roman"/>
                                <w:b/>
                                <w:bCs/>
                              </w:rPr>
                              <w:t>.</w:t>
                            </w:r>
                            <w:r w:rsidRPr="00EA5704">
                              <w:rPr>
                                <w:rFonts w:ascii="Times New Roman" w:hAnsi="Times New Roman" w:cs="Times New Roman"/>
                                <w:b/>
                                <w:bCs/>
                              </w:rPr>
                              <w:t xml:space="preserve"> S</w:t>
                            </w:r>
                            <w:r>
                              <w:rPr>
                                <w:rFonts w:ascii="Times New Roman" w:hAnsi="Times New Roman" w:cs="Times New Roman"/>
                                <w:b/>
                                <w:bCs/>
                              </w:rPr>
                              <w:t>4</w:t>
                            </w:r>
                            <w:r w:rsidRPr="00EA5704">
                              <w:rPr>
                                <w:rFonts w:ascii="Times New Roman" w:hAnsi="Times New Roman" w:cs="Times New Roman"/>
                                <w:b/>
                                <w:bCs/>
                              </w:rPr>
                              <w:t>:</w:t>
                            </w:r>
                            <w:r w:rsidRPr="00EA5704">
                              <w:rPr>
                                <w:rFonts w:ascii="Times New Roman" w:hAnsi="Times New Roman" w:cs="Times New Roman"/>
                              </w:rPr>
                              <w:t xml:space="preserve"> </w:t>
                            </w:r>
                            <w:r w:rsidRPr="00736EAE">
                              <w:rPr>
                                <w:rFonts w:ascii="Times New Roman" w:hAnsi="Times New Roman" w:cs="Times New Roman"/>
                                <w:iCs/>
                                <w:color w:val="000000" w:themeColor="text1"/>
                                <w:lang w:val="en-US"/>
                              </w:rPr>
                              <w:t>Vertical profiles of</w:t>
                            </w:r>
                            <w:r w:rsidRPr="00736EAE">
                              <w:rPr>
                                <w:rFonts w:ascii="Times New Roman" w:hAnsi="Times New Roman" w:cs="Times New Roman"/>
                                <w:color w:val="000000" w:themeColor="text1"/>
                                <w:lang w:val="en-US"/>
                              </w:rPr>
                              <w:t xml:space="preserve"> temperature, oxygen concentration and SRP concentration </w:t>
                            </w:r>
                            <w:r w:rsidRPr="00736EAE">
                              <w:rPr>
                                <w:rFonts w:ascii="Times New Roman" w:hAnsi="Times New Roman" w:cs="Times New Roman"/>
                                <w:iCs/>
                                <w:color w:val="000000" w:themeColor="text1"/>
                                <w:lang w:val="en-US"/>
                              </w:rPr>
                              <w:t xml:space="preserve">in the water column of the </w:t>
                            </w:r>
                            <w:r>
                              <w:rPr>
                                <w:rFonts w:ascii="Times New Roman" w:hAnsi="Times New Roman" w:cs="Times New Roman"/>
                                <w:iCs/>
                                <w:color w:val="000000" w:themeColor="text1"/>
                                <w:lang w:val="en-US"/>
                              </w:rPr>
                              <w:t>west</w:t>
                            </w:r>
                            <w:r w:rsidRPr="00736EAE">
                              <w:rPr>
                                <w:rFonts w:ascii="Times New Roman" w:hAnsi="Times New Roman" w:cs="Times New Roman"/>
                                <w:iCs/>
                                <w:color w:val="000000" w:themeColor="text1"/>
                                <w:lang w:val="en-US"/>
                              </w:rPr>
                              <w:t xml:space="preserve"> basin of Lake </w:t>
                            </w:r>
                            <w:proofErr w:type="spellStart"/>
                            <w:r w:rsidRPr="00736EAE">
                              <w:rPr>
                                <w:rFonts w:ascii="Times New Roman" w:hAnsi="Times New Roman" w:cs="Times New Roman"/>
                                <w:iCs/>
                                <w:color w:val="000000" w:themeColor="text1"/>
                                <w:lang w:val="en-US"/>
                              </w:rPr>
                              <w:t>Stechlin</w:t>
                            </w:r>
                            <w:proofErr w:type="spellEnd"/>
                            <w:r w:rsidRPr="00736EAE">
                              <w:rPr>
                                <w:rFonts w:ascii="Times New Roman" w:hAnsi="Times New Roman" w:cs="Times New Roman"/>
                                <w:iCs/>
                                <w:color w:val="000000" w:themeColor="text1"/>
                                <w:lang w:val="en-US"/>
                              </w:rPr>
                              <w:t xml:space="preserve"> on</w:t>
                            </w:r>
                            <w:r w:rsidRPr="00736EAE">
                              <w:rPr>
                                <w:rFonts w:ascii="Times New Roman" w:hAnsi="Times New Roman" w:cs="Times New Roman"/>
                                <w:color w:val="000000" w:themeColor="text1"/>
                                <w:lang w:val="en-US"/>
                              </w:rPr>
                              <w:t xml:space="preserve"> 07 July (blue lines) and 08 September (orange lines) 2021.</w:t>
                            </w:r>
                            <w:r>
                              <w:rPr>
                                <w:rFonts w:ascii="Times New Roman" w:hAnsi="Times New Roman" w:cs="Times New Roman"/>
                                <w:color w:val="000000" w:themeColor="text1"/>
                                <w:lang w:val="en-US"/>
                              </w:rPr>
                              <w:t xml:space="preserve"> Monitoring data for June and October (months of sediment coring) are only available in the main basin. </w:t>
                            </w:r>
                          </w:p>
                          <w:p w:rsidR="006D578F" w:rsidRPr="007D5B17" w:rsidRDefault="006D578F" w:rsidP="006D578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CB8552B" id="_x0000_t202" coordsize="21600,21600" o:spt="202" path="m,l,21600r21600,l21600,xe">
                <v:stroke joinstyle="miter"/>
                <v:path gradientshapeok="t" o:connecttype="rect"/>
              </v:shapetype>
              <v:shape id="Textfeld 1" o:spid="_x0000_s1026" type="#_x0000_t202" style="position:absolute;margin-left:.1pt;margin-top:564.95pt;width:490.7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" stroked="f">
                <v:textbox style="mso-fit-shape-to-text:t" inset="0,0,0,0">
                  <w:txbxContent>
                    <w:p w:rsidR="006D578F" w:rsidRPr="00736EAE" w:rsidRDefault="006D578F" w:rsidP="006D578F">
                      <w:pPr>
                        <w:pStyle w:val="CitaviBibliographyEntry"/>
                        <w:tabs>
                          <w:tab w:val="left" w:pos="0"/>
                        </w:tabs>
                        <w:spacing w:before="240"/>
                        <w:jc w:val="both"/>
                        <w:rPr>
                          <w:rFonts w:ascii="Times New Roman" w:hAnsi="Times New Roman" w:cs="Times New Roman"/>
                          <w:b/>
                          <w:bCs/>
                          <w:lang w:val="en-US"/>
                        </w:rPr>
                      </w:pPr>
                      <w:r w:rsidRPr="00EA5704">
                        <w:rPr>
                          <w:rFonts w:ascii="Times New Roman" w:hAnsi="Times New Roman" w:cs="Times New Roman"/>
                          <w:b/>
                          <w:bCs/>
                        </w:rPr>
                        <w:t>Fig</w:t>
                      </w:r>
                      <w:r>
                        <w:rPr>
                          <w:rFonts w:ascii="Times New Roman" w:hAnsi="Times New Roman" w:cs="Times New Roman"/>
                          <w:b/>
                          <w:bCs/>
                        </w:rPr>
                        <w:t>.</w:t>
                      </w:r>
                      <w:r w:rsidRPr="00EA5704">
                        <w:rPr>
                          <w:rFonts w:ascii="Times New Roman" w:hAnsi="Times New Roman" w:cs="Times New Roman"/>
                          <w:b/>
                          <w:bCs/>
                        </w:rPr>
                        <w:t xml:space="preserve"> S</w:t>
                      </w:r>
                      <w:r>
                        <w:rPr>
                          <w:rFonts w:ascii="Times New Roman" w:hAnsi="Times New Roman" w:cs="Times New Roman"/>
                          <w:b/>
                          <w:bCs/>
                        </w:rPr>
                        <w:t>4</w:t>
                      </w:r>
                      <w:r w:rsidRPr="00EA5704">
                        <w:rPr>
                          <w:rFonts w:ascii="Times New Roman" w:hAnsi="Times New Roman" w:cs="Times New Roman"/>
                          <w:b/>
                          <w:bCs/>
                        </w:rPr>
                        <w:t>:</w:t>
                      </w:r>
                      <w:r w:rsidRPr="00EA5704">
                        <w:rPr>
                          <w:rFonts w:ascii="Times New Roman" w:hAnsi="Times New Roman" w:cs="Times New Roman"/>
                        </w:rPr>
                        <w:t xml:space="preserve"> </w:t>
                      </w:r>
                      <w:r w:rsidRPr="00736EAE">
                        <w:rPr>
                          <w:rFonts w:ascii="Times New Roman" w:hAnsi="Times New Roman" w:cs="Times New Roman"/>
                          <w:iCs/>
                          <w:color w:val="000000" w:themeColor="text1"/>
                          <w:lang w:val="en-US"/>
                        </w:rPr>
                        <w:t>Vertical profiles of</w:t>
                      </w:r>
                      <w:r w:rsidRPr="00736EAE">
                        <w:rPr>
                          <w:rFonts w:ascii="Times New Roman" w:hAnsi="Times New Roman" w:cs="Times New Roman"/>
                          <w:color w:val="000000" w:themeColor="text1"/>
                          <w:lang w:val="en-US"/>
                        </w:rPr>
                        <w:t xml:space="preserve"> temperature, oxygen concentration and SRP concentration </w:t>
                      </w:r>
                      <w:r w:rsidRPr="00736EAE">
                        <w:rPr>
                          <w:rFonts w:ascii="Times New Roman" w:hAnsi="Times New Roman" w:cs="Times New Roman"/>
                          <w:iCs/>
                          <w:color w:val="000000" w:themeColor="text1"/>
                          <w:lang w:val="en-US"/>
                        </w:rPr>
                        <w:t xml:space="preserve">in the water column of the </w:t>
                      </w:r>
                      <w:r>
                        <w:rPr>
                          <w:rFonts w:ascii="Times New Roman" w:hAnsi="Times New Roman" w:cs="Times New Roman"/>
                          <w:iCs/>
                          <w:color w:val="000000" w:themeColor="text1"/>
                          <w:lang w:val="en-US"/>
                        </w:rPr>
                        <w:t>west</w:t>
                      </w:r>
                      <w:r w:rsidRPr="00736EAE">
                        <w:rPr>
                          <w:rFonts w:ascii="Times New Roman" w:hAnsi="Times New Roman" w:cs="Times New Roman"/>
                          <w:iCs/>
                          <w:color w:val="000000" w:themeColor="text1"/>
                          <w:lang w:val="en-US"/>
                        </w:rPr>
                        <w:t xml:space="preserve"> basin of Lake </w:t>
                      </w:r>
                      <w:proofErr w:type="spellStart"/>
                      <w:r w:rsidRPr="00736EAE">
                        <w:rPr>
                          <w:rFonts w:ascii="Times New Roman" w:hAnsi="Times New Roman" w:cs="Times New Roman"/>
                          <w:iCs/>
                          <w:color w:val="000000" w:themeColor="text1"/>
                          <w:lang w:val="en-US"/>
                        </w:rPr>
                        <w:t>Stechlin</w:t>
                      </w:r>
                      <w:proofErr w:type="spellEnd"/>
                      <w:r w:rsidRPr="00736EAE">
                        <w:rPr>
                          <w:rFonts w:ascii="Times New Roman" w:hAnsi="Times New Roman" w:cs="Times New Roman"/>
                          <w:iCs/>
                          <w:color w:val="000000" w:themeColor="text1"/>
                          <w:lang w:val="en-US"/>
                        </w:rPr>
                        <w:t xml:space="preserve"> on</w:t>
                      </w:r>
                      <w:r w:rsidRPr="00736EAE">
                        <w:rPr>
                          <w:rFonts w:ascii="Times New Roman" w:hAnsi="Times New Roman" w:cs="Times New Roman"/>
                          <w:color w:val="000000" w:themeColor="text1"/>
                          <w:lang w:val="en-US"/>
                        </w:rPr>
                        <w:t xml:space="preserve"> 07 July (blue lines) and 08 September (orange lines) 2021.</w:t>
                      </w:r>
                      <w:r>
                        <w:rPr>
                          <w:rFonts w:ascii="Times New Roman" w:hAnsi="Times New Roman" w:cs="Times New Roman"/>
                          <w:color w:val="000000" w:themeColor="text1"/>
                          <w:lang w:val="en-US"/>
                        </w:rPr>
                        <w:t xml:space="preserve"> Monitoring data for June and October (months of sediment coring) are only available in the main basin. </w:t>
                      </w:r>
                    </w:p>
                    <w:p w:rsidR="006D578F" w:rsidRPr="007D5B17" w:rsidRDefault="006D578F" w:rsidP="006D578F">
                      <w:pPr>
                        <w:pStyle w:val="Caption"/>
                        <w:rPr>
                          <w:noProof/>
                        </w:rPr>
                      </w:pPr>
                    </w:p>
                  </w:txbxContent>
                </v:textbox>
                <w10:wrap type="topAndBottom"/>
              </v:shape>
            </w:pict>
          </mc:Fallback>
        </mc:AlternateContent>
      </w:r>
      <w:r>
        <w:rPr>
          <w:noProof/>
          <w:lang w:val="en-IN" w:eastAsia="en-IN"/>
        </w:rPr>
        <w:drawing>
          <wp:anchor distT="0" distB="0" distL="114300" distR="114300" simplePos="0" relativeHeight="251661312" behindDoc="0" locked="0" layoutInCell="1" allowOverlap="1" wp14:anchorId="5649A6E6" wp14:editId="6294BC64">
            <wp:simplePos x="0" y="0"/>
            <wp:positionH relativeFrom="column">
              <wp:posOffset>1355</wp:posOffset>
            </wp:positionH>
            <wp:positionV relativeFrom="paragraph">
              <wp:posOffset>4193467</wp:posOffset>
            </wp:positionV>
            <wp:extent cx="6231890" cy="2924850"/>
            <wp:effectExtent l="0" t="0" r="0" b="0"/>
            <wp:wrapTopAndBottom/>
            <wp:docPr id="6652269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226991" name=""/>
                    <pic:cNvPicPr/>
                  </pic:nvPicPr>
                  <pic:blipFill>
                    <a:blip r:embed="rId7"/>
                    <a:stretch>
                      <a:fillRect/>
                    </a:stretch>
                  </pic:blipFill>
                  <pic:spPr>
                    <a:xfrm>
                      <a:off x="0" y="0"/>
                      <a:ext cx="6231890" cy="2924850"/>
                    </a:xfrm>
                    <a:prstGeom prst="rect">
                      <a:avLst/>
                    </a:prstGeom>
                  </pic:spPr>
                </pic:pic>
              </a:graphicData>
            </a:graphic>
            <wp14:sizeRelH relativeFrom="page">
              <wp14:pctWidth>0</wp14:pctWidth>
            </wp14:sizeRelH>
            <wp14:sizeRelV relativeFrom="page">
              <wp14:pctHeight>0</wp14:pctHeight>
            </wp14:sizeRelV>
          </wp:anchor>
        </w:drawing>
      </w:r>
      <w:r>
        <w:rPr>
          <w:noProof/>
          <w:lang w:val="en-IN" w:eastAsia="en-IN"/>
        </w:rPr>
        <mc:AlternateContent>
          <mc:Choice Requires="wps">
            <w:drawing>
              <wp:anchor distT="0" distB="0" distL="114300" distR="114300" simplePos="0" relativeHeight="251662336" behindDoc="0" locked="0" layoutInCell="1" allowOverlap="1" wp14:anchorId="7F0C2550" wp14:editId="100057DD">
                <wp:simplePos x="0" y="0"/>
                <wp:positionH relativeFrom="column">
                  <wp:posOffset>141605</wp:posOffset>
                </wp:positionH>
                <wp:positionV relativeFrom="paragraph">
                  <wp:posOffset>2927350</wp:posOffset>
                </wp:positionV>
                <wp:extent cx="6093460" cy="635"/>
                <wp:effectExtent l="0" t="0" r="2540" b="5080"/>
                <wp:wrapTopAndBottom/>
                <wp:docPr id="675996410" name="Textfeld 1"/>
                <wp:cNvGraphicFramePr/>
                <a:graphic xmlns:a="http://schemas.openxmlformats.org/drawingml/2006/main">
                  <a:graphicData uri="http://schemas.microsoft.com/office/word/2010/wordprocessingShape">
                    <wps:wsp>
                      <wps:cNvSpPr txBox="1"/>
                      <wps:spPr>
                        <a:xfrm>
                          <a:off x="0" y="0"/>
                          <a:ext cx="6093460" cy="635"/>
                        </a:xfrm>
                        <a:prstGeom prst="rect">
                          <a:avLst/>
                        </a:prstGeom>
                        <a:solidFill>
                          <a:prstClr val="white"/>
                        </a:solidFill>
                        <a:ln>
                          <a:noFill/>
                        </a:ln>
                      </wps:spPr>
                      <wps:txbx>
                        <w:txbxContent>
                          <w:p w:rsidR="006D578F" w:rsidRPr="00736EAE" w:rsidRDefault="006D578F" w:rsidP="006D578F">
                            <w:pPr>
                              <w:pStyle w:val="CitaviBibliographyEntry"/>
                              <w:tabs>
                                <w:tab w:val="left" w:pos="0"/>
                              </w:tabs>
                              <w:spacing w:before="240"/>
                              <w:jc w:val="both"/>
                              <w:rPr>
                                <w:rFonts w:ascii="Times New Roman" w:hAnsi="Times New Roman" w:cs="Times New Roman"/>
                                <w:b/>
                                <w:bCs/>
                                <w:lang w:val="en-US"/>
                              </w:rPr>
                            </w:pPr>
                            <w:r w:rsidRPr="009B7D54">
                              <w:rPr>
                                <w:rFonts w:ascii="Times New Roman" w:hAnsi="Times New Roman" w:cs="Times New Roman"/>
                                <w:b/>
                                <w:bCs/>
                              </w:rPr>
                              <w:t>Fig</w:t>
                            </w:r>
                            <w:r>
                              <w:rPr>
                                <w:rFonts w:ascii="Times New Roman" w:hAnsi="Times New Roman" w:cs="Times New Roman"/>
                                <w:b/>
                                <w:bCs/>
                              </w:rPr>
                              <w:t>.</w:t>
                            </w:r>
                            <w:r w:rsidRPr="009B7D54">
                              <w:rPr>
                                <w:rFonts w:ascii="Times New Roman" w:hAnsi="Times New Roman" w:cs="Times New Roman"/>
                                <w:b/>
                                <w:bCs/>
                              </w:rPr>
                              <w:t xml:space="preserve"> S3:</w:t>
                            </w:r>
                            <w:r w:rsidRPr="009B7D54">
                              <w:rPr>
                                <w:rFonts w:ascii="Times New Roman" w:hAnsi="Times New Roman" w:cs="Times New Roman"/>
                              </w:rPr>
                              <w:t xml:space="preserve"> </w:t>
                            </w:r>
                            <w:r w:rsidRPr="00736EAE">
                              <w:rPr>
                                <w:rFonts w:ascii="Times New Roman" w:hAnsi="Times New Roman" w:cs="Times New Roman"/>
                                <w:iCs/>
                                <w:color w:val="000000" w:themeColor="text1"/>
                                <w:lang w:val="en-US"/>
                              </w:rPr>
                              <w:t>Vertical profiles of</w:t>
                            </w:r>
                            <w:r w:rsidRPr="00736EAE">
                              <w:rPr>
                                <w:rFonts w:ascii="Times New Roman" w:hAnsi="Times New Roman" w:cs="Times New Roman"/>
                                <w:color w:val="000000" w:themeColor="text1"/>
                                <w:lang w:val="en-US"/>
                              </w:rPr>
                              <w:t xml:space="preserve"> temperature, oxygen concentration and SRP concentration </w:t>
                            </w:r>
                            <w:r w:rsidRPr="00736EAE">
                              <w:rPr>
                                <w:rFonts w:ascii="Times New Roman" w:hAnsi="Times New Roman" w:cs="Times New Roman"/>
                                <w:iCs/>
                                <w:color w:val="000000" w:themeColor="text1"/>
                                <w:lang w:val="en-US"/>
                              </w:rPr>
                              <w:t xml:space="preserve">in the water column of the south basin of Lake </w:t>
                            </w:r>
                            <w:proofErr w:type="spellStart"/>
                            <w:r w:rsidRPr="00736EAE">
                              <w:rPr>
                                <w:rFonts w:ascii="Times New Roman" w:hAnsi="Times New Roman" w:cs="Times New Roman"/>
                                <w:iCs/>
                                <w:color w:val="000000" w:themeColor="text1"/>
                                <w:lang w:val="en-US"/>
                              </w:rPr>
                              <w:t>Stechlin</w:t>
                            </w:r>
                            <w:proofErr w:type="spellEnd"/>
                            <w:r w:rsidRPr="00736EAE">
                              <w:rPr>
                                <w:rFonts w:ascii="Times New Roman" w:hAnsi="Times New Roman" w:cs="Times New Roman"/>
                                <w:iCs/>
                                <w:color w:val="000000" w:themeColor="text1"/>
                                <w:lang w:val="en-US"/>
                              </w:rPr>
                              <w:t xml:space="preserve"> on</w:t>
                            </w:r>
                            <w:r w:rsidRPr="00736EAE">
                              <w:rPr>
                                <w:rFonts w:ascii="Times New Roman" w:hAnsi="Times New Roman" w:cs="Times New Roman"/>
                                <w:color w:val="000000" w:themeColor="text1"/>
                                <w:lang w:val="en-US"/>
                              </w:rPr>
                              <w:t xml:space="preserve"> 07 July (blue lines) and 08 September (orange lines) 2021.</w:t>
                            </w:r>
                            <w:r>
                              <w:rPr>
                                <w:rFonts w:ascii="Times New Roman" w:hAnsi="Times New Roman" w:cs="Times New Roman"/>
                                <w:color w:val="000000" w:themeColor="text1"/>
                                <w:lang w:val="en-US"/>
                              </w:rPr>
                              <w:t xml:space="preserve"> Monitoring data for June and October (months of sediment coring) are only available in the main basin. </w:t>
                            </w:r>
                          </w:p>
                          <w:p w:rsidR="006D578F" w:rsidRPr="002D1EE4" w:rsidRDefault="006D578F" w:rsidP="006D578F">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F0C2550" id="_x0000_s1027" type="#_x0000_t202" style="position:absolute;margin-left:11.15pt;margin-top:230.5pt;width:479.8pt;height:.0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" stroked="f">
                <v:textbox style="mso-fit-shape-to-text:t" inset="0,0,0,0">
                  <w:txbxContent>
                    <w:p w:rsidR="006D578F" w:rsidRPr="00736EAE" w:rsidRDefault="006D578F" w:rsidP="006D578F">
                      <w:pPr>
                        <w:pStyle w:val="CitaviBibliographyEntry"/>
                        <w:tabs>
                          <w:tab w:val="left" w:pos="0"/>
                        </w:tabs>
                        <w:spacing w:before="240"/>
                        <w:jc w:val="both"/>
                        <w:rPr>
                          <w:rFonts w:ascii="Times New Roman" w:hAnsi="Times New Roman" w:cs="Times New Roman"/>
                          <w:b/>
                          <w:bCs/>
                          <w:lang w:val="en-US"/>
                        </w:rPr>
                      </w:pPr>
                      <w:r w:rsidRPr="009B7D54">
                        <w:rPr>
                          <w:rFonts w:ascii="Times New Roman" w:hAnsi="Times New Roman" w:cs="Times New Roman"/>
                          <w:b/>
                          <w:bCs/>
                        </w:rPr>
                        <w:t>Fig</w:t>
                      </w:r>
                      <w:r>
                        <w:rPr>
                          <w:rFonts w:ascii="Times New Roman" w:hAnsi="Times New Roman" w:cs="Times New Roman"/>
                          <w:b/>
                          <w:bCs/>
                        </w:rPr>
                        <w:t>.</w:t>
                      </w:r>
                      <w:r w:rsidRPr="009B7D54">
                        <w:rPr>
                          <w:rFonts w:ascii="Times New Roman" w:hAnsi="Times New Roman" w:cs="Times New Roman"/>
                          <w:b/>
                          <w:bCs/>
                        </w:rPr>
                        <w:t xml:space="preserve"> S3:</w:t>
                      </w:r>
                      <w:r w:rsidRPr="009B7D54">
                        <w:rPr>
                          <w:rFonts w:ascii="Times New Roman" w:hAnsi="Times New Roman" w:cs="Times New Roman"/>
                        </w:rPr>
                        <w:t xml:space="preserve"> </w:t>
                      </w:r>
                      <w:r w:rsidRPr="00736EAE">
                        <w:rPr>
                          <w:rFonts w:ascii="Times New Roman" w:hAnsi="Times New Roman" w:cs="Times New Roman"/>
                          <w:iCs/>
                          <w:color w:val="000000" w:themeColor="text1"/>
                          <w:lang w:val="en-US"/>
                        </w:rPr>
                        <w:t>Vertical profiles of</w:t>
                      </w:r>
                      <w:r w:rsidRPr="00736EAE">
                        <w:rPr>
                          <w:rFonts w:ascii="Times New Roman" w:hAnsi="Times New Roman" w:cs="Times New Roman"/>
                          <w:color w:val="000000" w:themeColor="text1"/>
                          <w:lang w:val="en-US"/>
                        </w:rPr>
                        <w:t xml:space="preserve"> temperature, oxygen concentration and SRP concentration </w:t>
                      </w:r>
                      <w:r w:rsidRPr="00736EAE">
                        <w:rPr>
                          <w:rFonts w:ascii="Times New Roman" w:hAnsi="Times New Roman" w:cs="Times New Roman"/>
                          <w:iCs/>
                          <w:color w:val="000000" w:themeColor="text1"/>
                          <w:lang w:val="en-US"/>
                        </w:rPr>
                        <w:t xml:space="preserve">in the water column of the south basin of Lake </w:t>
                      </w:r>
                      <w:proofErr w:type="spellStart"/>
                      <w:r w:rsidRPr="00736EAE">
                        <w:rPr>
                          <w:rFonts w:ascii="Times New Roman" w:hAnsi="Times New Roman" w:cs="Times New Roman"/>
                          <w:iCs/>
                          <w:color w:val="000000" w:themeColor="text1"/>
                          <w:lang w:val="en-US"/>
                        </w:rPr>
                        <w:t>Stechlin</w:t>
                      </w:r>
                      <w:proofErr w:type="spellEnd"/>
                      <w:r w:rsidRPr="00736EAE">
                        <w:rPr>
                          <w:rFonts w:ascii="Times New Roman" w:hAnsi="Times New Roman" w:cs="Times New Roman"/>
                          <w:iCs/>
                          <w:color w:val="000000" w:themeColor="text1"/>
                          <w:lang w:val="en-US"/>
                        </w:rPr>
                        <w:t xml:space="preserve"> on</w:t>
                      </w:r>
                      <w:r w:rsidRPr="00736EAE">
                        <w:rPr>
                          <w:rFonts w:ascii="Times New Roman" w:hAnsi="Times New Roman" w:cs="Times New Roman"/>
                          <w:color w:val="000000" w:themeColor="text1"/>
                          <w:lang w:val="en-US"/>
                        </w:rPr>
                        <w:t xml:space="preserve"> 07 July (blue lines) and 08 September (orange lines) 2021.</w:t>
                      </w:r>
                      <w:r>
                        <w:rPr>
                          <w:rFonts w:ascii="Times New Roman" w:hAnsi="Times New Roman" w:cs="Times New Roman"/>
                          <w:color w:val="000000" w:themeColor="text1"/>
                          <w:lang w:val="en-US"/>
                        </w:rPr>
                        <w:t xml:space="preserve"> Monitoring data for June and October (months of sediment coring) are only available in the main basin. </w:t>
                      </w:r>
                    </w:p>
                    <w:p w:rsidR="006D578F" w:rsidRPr="002D1EE4" w:rsidRDefault="006D578F" w:rsidP="006D578F">
                      <w:pPr>
                        <w:pStyle w:val="Caption"/>
                        <w:rPr>
                          <w:noProof/>
                        </w:rPr>
                      </w:pPr>
                    </w:p>
                  </w:txbxContent>
                </v:textbox>
                <w10:wrap type="topAndBottom"/>
              </v:shape>
            </w:pict>
          </mc:Fallback>
        </mc:AlternateContent>
      </w:r>
      <w:r>
        <w:rPr>
          <w:noProof/>
          <w:lang w:val="en-IN" w:eastAsia="en-IN"/>
        </w:rPr>
        <w:drawing>
          <wp:anchor distT="0" distB="0" distL="114300" distR="114300" simplePos="0" relativeHeight="251660288" behindDoc="0" locked="0" layoutInCell="1" allowOverlap="1" wp14:anchorId="78377F0A" wp14:editId="0411A6F6">
            <wp:simplePos x="0" y="0"/>
            <wp:positionH relativeFrom="column">
              <wp:posOffset>1270</wp:posOffset>
            </wp:positionH>
            <wp:positionV relativeFrom="paragraph">
              <wp:posOffset>1270</wp:posOffset>
            </wp:positionV>
            <wp:extent cx="6232358" cy="2870074"/>
            <wp:effectExtent l="0" t="0" r="0" b="635"/>
            <wp:wrapTopAndBottom/>
            <wp:docPr id="7928917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891728" name=""/>
                    <pic:cNvPicPr/>
                  </pic:nvPicPr>
                  <pic:blipFill>
                    <a:blip r:embed="rId8"/>
                    <a:stretch>
                      <a:fillRect/>
                    </a:stretch>
                  </pic:blipFill>
                  <pic:spPr>
                    <a:xfrm>
                      <a:off x="0" y="0"/>
                      <a:ext cx="6232358" cy="2870074"/>
                    </a:xfrm>
                    <a:prstGeom prst="rect">
                      <a:avLst/>
                    </a:prstGeom>
                  </pic:spPr>
                </pic:pic>
              </a:graphicData>
            </a:graphic>
            <wp14:sizeRelH relativeFrom="page">
              <wp14:pctWidth>0</wp14:pctWidth>
            </wp14:sizeRelH>
            <wp14:sizeRelV relativeFrom="page">
              <wp14:pctHeight>0</wp14:pctHeight>
            </wp14:sizeRelV>
          </wp:anchor>
        </w:drawing>
      </w:r>
    </w:p>
    <w:p w:rsidR="006D578F" w:rsidRDefault="006D578F" w:rsidP="006D578F">
      <w:pPr>
        <w:rPr>
          <w:lang w:val="en-GB"/>
        </w:rPr>
      </w:pPr>
    </w:p>
    <w:p w:rsidR="006D578F" w:rsidRDefault="006D578F" w:rsidP="006D578F">
      <w:pPr>
        <w:rPr>
          <w:lang w:val="en-GB"/>
        </w:rPr>
      </w:pPr>
    </w:p>
    <w:p w:rsidR="006D578F" w:rsidRDefault="006D578F" w:rsidP="006D578F">
      <w:pPr>
        <w:rPr>
          <w:lang w:val="en-GB"/>
        </w:rPr>
      </w:pPr>
    </w:p>
    <w:p w:rsidR="006D578F" w:rsidRDefault="006D578F" w:rsidP="006D578F">
      <w:pPr>
        <w:rPr>
          <w:lang w:val="en-GB"/>
        </w:rPr>
      </w:pPr>
    </w:p>
    <w:p w:rsidR="00B017F3" w:rsidRDefault="00B017F3">
      <w:bookmarkStart w:id="1" w:name="_GoBack"/>
      <w:bookmarkEnd w:id="1"/>
    </w:p>
    <w:sectPr w:rsidR="00B017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CDE"/>
    <w:rsid w:val="00000688"/>
    <w:rsid w:val="000070A8"/>
    <w:rsid w:val="000127FB"/>
    <w:rsid w:val="00026472"/>
    <w:rsid w:val="0002698C"/>
    <w:rsid w:val="00026AEE"/>
    <w:rsid w:val="000427B9"/>
    <w:rsid w:val="00043277"/>
    <w:rsid w:val="00046F32"/>
    <w:rsid w:val="000476EA"/>
    <w:rsid w:val="00053FFE"/>
    <w:rsid w:val="00056807"/>
    <w:rsid w:val="000569D1"/>
    <w:rsid w:val="00075091"/>
    <w:rsid w:val="0007611E"/>
    <w:rsid w:val="00077A6F"/>
    <w:rsid w:val="000858A6"/>
    <w:rsid w:val="00087299"/>
    <w:rsid w:val="000B535F"/>
    <w:rsid w:val="000B6E02"/>
    <w:rsid w:val="000C625D"/>
    <w:rsid w:val="000C6C7D"/>
    <w:rsid w:val="000D2CD7"/>
    <w:rsid w:val="000F07E7"/>
    <w:rsid w:val="000F29A2"/>
    <w:rsid w:val="000F5CD2"/>
    <w:rsid w:val="000F7576"/>
    <w:rsid w:val="00101F6E"/>
    <w:rsid w:val="00107EF6"/>
    <w:rsid w:val="00116E43"/>
    <w:rsid w:val="001331BE"/>
    <w:rsid w:val="00151649"/>
    <w:rsid w:val="001546F7"/>
    <w:rsid w:val="0017417A"/>
    <w:rsid w:val="00182DB8"/>
    <w:rsid w:val="00185B97"/>
    <w:rsid w:val="00192AA9"/>
    <w:rsid w:val="001957F6"/>
    <w:rsid w:val="001B2A57"/>
    <w:rsid w:val="001B38BD"/>
    <w:rsid w:val="001C0AE0"/>
    <w:rsid w:val="001D4CF5"/>
    <w:rsid w:val="001D7EC2"/>
    <w:rsid w:val="001E3CC5"/>
    <w:rsid w:val="00200933"/>
    <w:rsid w:val="00216C37"/>
    <w:rsid w:val="00217FCE"/>
    <w:rsid w:val="00221940"/>
    <w:rsid w:val="00223CD8"/>
    <w:rsid w:val="00232331"/>
    <w:rsid w:val="00232831"/>
    <w:rsid w:val="00256709"/>
    <w:rsid w:val="00256A02"/>
    <w:rsid w:val="0026408A"/>
    <w:rsid w:val="00265D28"/>
    <w:rsid w:val="002771CA"/>
    <w:rsid w:val="002779CB"/>
    <w:rsid w:val="00284FA4"/>
    <w:rsid w:val="00291158"/>
    <w:rsid w:val="002933CD"/>
    <w:rsid w:val="002A6681"/>
    <w:rsid w:val="002C30D7"/>
    <w:rsid w:val="002D4F6F"/>
    <w:rsid w:val="002D53F8"/>
    <w:rsid w:val="002E3DF1"/>
    <w:rsid w:val="002E43FE"/>
    <w:rsid w:val="002E45E8"/>
    <w:rsid w:val="002F4A1E"/>
    <w:rsid w:val="00304DD6"/>
    <w:rsid w:val="00306A9E"/>
    <w:rsid w:val="003116E2"/>
    <w:rsid w:val="0031538D"/>
    <w:rsid w:val="003175B1"/>
    <w:rsid w:val="00330C24"/>
    <w:rsid w:val="00340ABA"/>
    <w:rsid w:val="003512D5"/>
    <w:rsid w:val="00353CA6"/>
    <w:rsid w:val="00356F0F"/>
    <w:rsid w:val="0037574C"/>
    <w:rsid w:val="0037775D"/>
    <w:rsid w:val="00380471"/>
    <w:rsid w:val="003A54A2"/>
    <w:rsid w:val="003B2D68"/>
    <w:rsid w:val="003C24C0"/>
    <w:rsid w:val="003D4001"/>
    <w:rsid w:val="003E4DF6"/>
    <w:rsid w:val="003E5AF8"/>
    <w:rsid w:val="003F043B"/>
    <w:rsid w:val="003F08CD"/>
    <w:rsid w:val="003F3C18"/>
    <w:rsid w:val="00401143"/>
    <w:rsid w:val="00403847"/>
    <w:rsid w:val="00404A52"/>
    <w:rsid w:val="004102C0"/>
    <w:rsid w:val="00420308"/>
    <w:rsid w:val="00420959"/>
    <w:rsid w:val="00424EA1"/>
    <w:rsid w:val="00426FFD"/>
    <w:rsid w:val="004310D7"/>
    <w:rsid w:val="004311B3"/>
    <w:rsid w:val="004379D0"/>
    <w:rsid w:val="00451A89"/>
    <w:rsid w:val="0045471B"/>
    <w:rsid w:val="00465C67"/>
    <w:rsid w:val="0046799A"/>
    <w:rsid w:val="0047567A"/>
    <w:rsid w:val="004865AC"/>
    <w:rsid w:val="00492E5A"/>
    <w:rsid w:val="004A658E"/>
    <w:rsid w:val="004B4918"/>
    <w:rsid w:val="004B4BFA"/>
    <w:rsid w:val="004C090F"/>
    <w:rsid w:val="004D50F3"/>
    <w:rsid w:val="004D627C"/>
    <w:rsid w:val="0050121C"/>
    <w:rsid w:val="00502739"/>
    <w:rsid w:val="0050384F"/>
    <w:rsid w:val="00506D28"/>
    <w:rsid w:val="0053113E"/>
    <w:rsid w:val="00542E16"/>
    <w:rsid w:val="005501C6"/>
    <w:rsid w:val="0056309D"/>
    <w:rsid w:val="0056602F"/>
    <w:rsid w:val="00572163"/>
    <w:rsid w:val="00582477"/>
    <w:rsid w:val="005867B2"/>
    <w:rsid w:val="00586A0E"/>
    <w:rsid w:val="00594417"/>
    <w:rsid w:val="00594702"/>
    <w:rsid w:val="005A1943"/>
    <w:rsid w:val="005A66FC"/>
    <w:rsid w:val="005B2C58"/>
    <w:rsid w:val="005B3F33"/>
    <w:rsid w:val="005B5DDC"/>
    <w:rsid w:val="005B62B6"/>
    <w:rsid w:val="005C6CDE"/>
    <w:rsid w:val="005E0DB6"/>
    <w:rsid w:val="005F049F"/>
    <w:rsid w:val="005F1595"/>
    <w:rsid w:val="005F1ABE"/>
    <w:rsid w:val="005F3F27"/>
    <w:rsid w:val="00601358"/>
    <w:rsid w:val="006128D9"/>
    <w:rsid w:val="00634CB0"/>
    <w:rsid w:val="006433E5"/>
    <w:rsid w:val="0065386A"/>
    <w:rsid w:val="00654DCC"/>
    <w:rsid w:val="00674F8B"/>
    <w:rsid w:val="00682611"/>
    <w:rsid w:val="0069024D"/>
    <w:rsid w:val="00692F92"/>
    <w:rsid w:val="006C6C0A"/>
    <w:rsid w:val="006D578F"/>
    <w:rsid w:val="006D5FF6"/>
    <w:rsid w:val="006E0A22"/>
    <w:rsid w:val="006E5BAA"/>
    <w:rsid w:val="006E7BD6"/>
    <w:rsid w:val="006F2D81"/>
    <w:rsid w:val="006F780F"/>
    <w:rsid w:val="00705E8A"/>
    <w:rsid w:val="00706C1E"/>
    <w:rsid w:val="00710397"/>
    <w:rsid w:val="00722620"/>
    <w:rsid w:val="00732F1C"/>
    <w:rsid w:val="007330A8"/>
    <w:rsid w:val="00734F78"/>
    <w:rsid w:val="00742B84"/>
    <w:rsid w:val="00754600"/>
    <w:rsid w:val="00755913"/>
    <w:rsid w:val="007709BF"/>
    <w:rsid w:val="007906D8"/>
    <w:rsid w:val="00791A48"/>
    <w:rsid w:val="007A1842"/>
    <w:rsid w:val="007A4B01"/>
    <w:rsid w:val="007C3EAB"/>
    <w:rsid w:val="007C5F01"/>
    <w:rsid w:val="007C7E96"/>
    <w:rsid w:val="00805CC4"/>
    <w:rsid w:val="00820E19"/>
    <w:rsid w:val="008212BB"/>
    <w:rsid w:val="00833D38"/>
    <w:rsid w:val="00841B27"/>
    <w:rsid w:val="00845C85"/>
    <w:rsid w:val="0085461B"/>
    <w:rsid w:val="0085705A"/>
    <w:rsid w:val="008608E2"/>
    <w:rsid w:val="008610AC"/>
    <w:rsid w:val="00865739"/>
    <w:rsid w:val="00877868"/>
    <w:rsid w:val="00887E4B"/>
    <w:rsid w:val="00890EB7"/>
    <w:rsid w:val="00897EB1"/>
    <w:rsid w:val="008B37B8"/>
    <w:rsid w:val="008C35CA"/>
    <w:rsid w:val="008C3EC9"/>
    <w:rsid w:val="008D08A5"/>
    <w:rsid w:val="008D218C"/>
    <w:rsid w:val="008E18B5"/>
    <w:rsid w:val="008E64A6"/>
    <w:rsid w:val="008F1C6D"/>
    <w:rsid w:val="008F3075"/>
    <w:rsid w:val="008F377B"/>
    <w:rsid w:val="0091015C"/>
    <w:rsid w:val="009149B5"/>
    <w:rsid w:val="00917255"/>
    <w:rsid w:val="00917842"/>
    <w:rsid w:val="0092065E"/>
    <w:rsid w:val="00925495"/>
    <w:rsid w:val="009315E2"/>
    <w:rsid w:val="0093570C"/>
    <w:rsid w:val="00944A2D"/>
    <w:rsid w:val="00947E5F"/>
    <w:rsid w:val="00962EE0"/>
    <w:rsid w:val="00967489"/>
    <w:rsid w:val="00974698"/>
    <w:rsid w:val="00982962"/>
    <w:rsid w:val="009934B7"/>
    <w:rsid w:val="009973AF"/>
    <w:rsid w:val="009A3916"/>
    <w:rsid w:val="009B3B87"/>
    <w:rsid w:val="009C464E"/>
    <w:rsid w:val="009D1870"/>
    <w:rsid w:val="009D2257"/>
    <w:rsid w:val="009D76E5"/>
    <w:rsid w:val="009D771D"/>
    <w:rsid w:val="009E3153"/>
    <w:rsid w:val="009E5DFE"/>
    <w:rsid w:val="00A068D4"/>
    <w:rsid w:val="00A075B5"/>
    <w:rsid w:val="00A11A0F"/>
    <w:rsid w:val="00A14615"/>
    <w:rsid w:val="00A14ABC"/>
    <w:rsid w:val="00A165EE"/>
    <w:rsid w:val="00A30F10"/>
    <w:rsid w:val="00A32016"/>
    <w:rsid w:val="00A40BFE"/>
    <w:rsid w:val="00A45DA7"/>
    <w:rsid w:val="00A5777D"/>
    <w:rsid w:val="00A62C63"/>
    <w:rsid w:val="00A70808"/>
    <w:rsid w:val="00A763E6"/>
    <w:rsid w:val="00A920AF"/>
    <w:rsid w:val="00A97E36"/>
    <w:rsid w:val="00AA1A51"/>
    <w:rsid w:val="00AD1F51"/>
    <w:rsid w:val="00AD655C"/>
    <w:rsid w:val="00AF6D8D"/>
    <w:rsid w:val="00B017F3"/>
    <w:rsid w:val="00B021C1"/>
    <w:rsid w:val="00B10328"/>
    <w:rsid w:val="00B13B87"/>
    <w:rsid w:val="00B17B24"/>
    <w:rsid w:val="00B243B4"/>
    <w:rsid w:val="00B32C16"/>
    <w:rsid w:val="00B36ADC"/>
    <w:rsid w:val="00B44059"/>
    <w:rsid w:val="00B46CC3"/>
    <w:rsid w:val="00B53F5B"/>
    <w:rsid w:val="00B63B4A"/>
    <w:rsid w:val="00B71789"/>
    <w:rsid w:val="00BA17AA"/>
    <w:rsid w:val="00BA52B6"/>
    <w:rsid w:val="00BA7504"/>
    <w:rsid w:val="00BB19C4"/>
    <w:rsid w:val="00BB78C6"/>
    <w:rsid w:val="00BC111A"/>
    <w:rsid w:val="00BC494B"/>
    <w:rsid w:val="00BC7602"/>
    <w:rsid w:val="00BC790E"/>
    <w:rsid w:val="00BC7C1B"/>
    <w:rsid w:val="00BD2365"/>
    <w:rsid w:val="00BD29FA"/>
    <w:rsid w:val="00BF23DE"/>
    <w:rsid w:val="00BF2D04"/>
    <w:rsid w:val="00C0288D"/>
    <w:rsid w:val="00C02987"/>
    <w:rsid w:val="00C11E54"/>
    <w:rsid w:val="00C122B7"/>
    <w:rsid w:val="00C127B5"/>
    <w:rsid w:val="00C246D9"/>
    <w:rsid w:val="00C406EA"/>
    <w:rsid w:val="00C52055"/>
    <w:rsid w:val="00C5532C"/>
    <w:rsid w:val="00C61C15"/>
    <w:rsid w:val="00C6787C"/>
    <w:rsid w:val="00C76DFA"/>
    <w:rsid w:val="00CA6B7C"/>
    <w:rsid w:val="00CB07E0"/>
    <w:rsid w:val="00CB2F6C"/>
    <w:rsid w:val="00CB3A05"/>
    <w:rsid w:val="00CB40CF"/>
    <w:rsid w:val="00CB4D9D"/>
    <w:rsid w:val="00CB5174"/>
    <w:rsid w:val="00CB739A"/>
    <w:rsid w:val="00CC0219"/>
    <w:rsid w:val="00CD64A8"/>
    <w:rsid w:val="00CD7560"/>
    <w:rsid w:val="00CE414E"/>
    <w:rsid w:val="00CE78B4"/>
    <w:rsid w:val="00CF45A2"/>
    <w:rsid w:val="00D04E7F"/>
    <w:rsid w:val="00D13EEB"/>
    <w:rsid w:val="00D17BBE"/>
    <w:rsid w:val="00D20076"/>
    <w:rsid w:val="00D307DF"/>
    <w:rsid w:val="00D37C60"/>
    <w:rsid w:val="00D42219"/>
    <w:rsid w:val="00D51C67"/>
    <w:rsid w:val="00D65571"/>
    <w:rsid w:val="00D66503"/>
    <w:rsid w:val="00D671D0"/>
    <w:rsid w:val="00D750C4"/>
    <w:rsid w:val="00D855FD"/>
    <w:rsid w:val="00D94598"/>
    <w:rsid w:val="00D96D37"/>
    <w:rsid w:val="00DA08B2"/>
    <w:rsid w:val="00DB06A4"/>
    <w:rsid w:val="00DB4F5A"/>
    <w:rsid w:val="00DB5190"/>
    <w:rsid w:val="00DB5922"/>
    <w:rsid w:val="00DC1608"/>
    <w:rsid w:val="00DC1D00"/>
    <w:rsid w:val="00DD29E8"/>
    <w:rsid w:val="00DE10FE"/>
    <w:rsid w:val="00DE2E1F"/>
    <w:rsid w:val="00DE38DB"/>
    <w:rsid w:val="00E1723D"/>
    <w:rsid w:val="00E23512"/>
    <w:rsid w:val="00E25B45"/>
    <w:rsid w:val="00E2697D"/>
    <w:rsid w:val="00E3013E"/>
    <w:rsid w:val="00E53E2A"/>
    <w:rsid w:val="00E54D32"/>
    <w:rsid w:val="00E649D5"/>
    <w:rsid w:val="00E66849"/>
    <w:rsid w:val="00E673BA"/>
    <w:rsid w:val="00E72F35"/>
    <w:rsid w:val="00E77851"/>
    <w:rsid w:val="00E829B7"/>
    <w:rsid w:val="00E879A2"/>
    <w:rsid w:val="00E91E2B"/>
    <w:rsid w:val="00E93CF8"/>
    <w:rsid w:val="00EA3151"/>
    <w:rsid w:val="00EA415E"/>
    <w:rsid w:val="00EA4177"/>
    <w:rsid w:val="00EA4662"/>
    <w:rsid w:val="00EA5417"/>
    <w:rsid w:val="00EA572C"/>
    <w:rsid w:val="00EA611E"/>
    <w:rsid w:val="00EA6388"/>
    <w:rsid w:val="00EB076E"/>
    <w:rsid w:val="00EB4B62"/>
    <w:rsid w:val="00EC1D58"/>
    <w:rsid w:val="00EC1E17"/>
    <w:rsid w:val="00EC614B"/>
    <w:rsid w:val="00ED233F"/>
    <w:rsid w:val="00ED2E61"/>
    <w:rsid w:val="00EE7FD4"/>
    <w:rsid w:val="00EF4EF1"/>
    <w:rsid w:val="00F11AC5"/>
    <w:rsid w:val="00F16E99"/>
    <w:rsid w:val="00F50D90"/>
    <w:rsid w:val="00F51FF1"/>
    <w:rsid w:val="00F547BC"/>
    <w:rsid w:val="00F62842"/>
    <w:rsid w:val="00F72220"/>
    <w:rsid w:val="00F77445"/>
    <w:rsid w:val="00F825B7"/>
    <w:rsid w:val="00F9384B"/>
    <w:rsid w:val="00F94828"/>
    <w:rsid w:val="00F96AD5"/>
    <w:rsid w:val="00F96E38"/>
    <w:rsid w:val="00FA051D"/>
    <w:rsid w:val="00FA797B"/>
    <w:rsid w:val="00FB216A"/>
    <w:rsid w:val="00FB2DF3"/>
    <w:rsid w:val="00FD0199"/>
    <w:rsid w:val="00FD6D30"/>
    <w:rsid w:val="00FE33E5"/>
    <w:rsid w:val="00FF0DFE"/>
    <w:rsid w:val="00FF1E3E"/>
    <w:rsid w:val="00FF66B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AC7615-B07B-473F-8C54-D22D97EE4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578F"/>
    <w:pPr>
      <w:spacing w:after="0" w:line="240" w:lineRule="auto"/>
    </w:pPr>
    <w:rPr>
      <w:rFonts w:ascii="Times New Roman" w:eastAsia="Times New Roman" w:hAnsi="Times New Roman" w:cs="Times New Roman"/>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aviBibliographyEntry">
    <w:name w:val="Citavi Bibliography Entry"/>
    <w:basedOn w:val="Normal"/>
    <w:link w:val="CitaviBibliographyEntryZchn"/>
    <w:uiPriority w:val="99"/>
    <w:rsid w:val="006D578F"/>
    <w:pPr>
      <w:spacing w:after="120"/>
    </w:pPr>
    <w:rPr>
      <w:rFonts w:asciiTheme="minorHAnsi" w:eastAsiaTheme="minorHAnsi" w:hAnsiTheme="minorHAnsi" w:cstheme="minorBidi"/>
      <w:lang w:eastAsia="en-US"/>
    </w:rPr>
  </w:style>
  <w:style w:type="character" w:customStyle="1" w:styleId="CitaviBibliographyEntryZchn">
    <w:name w:val="Citavi Bibliography Entry Zchn"/>
    <w:basedOn w:val="DefaultParagraphFont"/>
    <w:link w:val="CitaviBibliographyEntry"/>
    <w:uiPriority w:val="99"/>
    <w:rsid w:val="006D578F"/>
    <w:rPr>
      <w:sz w:val="24"/>
      <w:szCs w:val="24"/>
      <w:lang w:val="de-DE"/>
    </w:rPr>
  </w:style>
  <w:style w:type="paragraph" w:styleId="NormalWeb">
    <w:name w:val="Normal (Web)"/>
    <w:basedOn w:val="Normal"/>
    <w:uiPriority w:val="99"/>
    <w:unhideWhenUsed/>
    <w:rsid w:val="006D578F"/>
    <w:rPr>
      <w:rFonts w:eastAsiaTheme="minorHAnsi"/>
      <w:lang w:eastAsia="en-US"/>
    </w:rPr>
  </w:style>
  <w:style w:type="character" w:styleId="Hyperlink">
    <w:name w:val="Hyperlink"/>
    <w:basedOn w:val="DefaultParagraphFont"/>
    <w:uiPriority w:val="99"/>
    <w:unhideWhenUsed/>
    <w:rsid w:val="006D578F"/>
    <w:rPr>
      <w:color w:val="0563C1" w:themeColor="hyperlink"/>
      <w:u w:val="single"/>
    </w:rPr>
  </w:style>
  <w:style w:type="paragraph" w:styleId="Caption">
    <w:name w:val="caption"/>
    <w:basedOn w:val="Normal"/>
    <w:next w:val="Normal"/>
    <w:uiPriority w:val="35"/>
    <w:unhideWhenUsed/>
    <w:qFormat/>
    <w:rsid w:val="006D578F"/>
    <w:pPr>
      <w:spacing w:after="200"/>
    </w:pPr>
    <w:rPr>
      <w:rFonts w:asciiTheme="minorHAnsi" w:eastAsiaTheme="minorHAnsi" w:hAnsiTheme="minorHAnsi" w:cstheme="minorBidi"/>
      <w:i/>
      <w:iCs/>
      <w:color w:val="44546A" w:themeColor="text2"/>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webSettings" Target="webSettings.xml"/><Relationship Id="rId7" Type="http://schemas.openxmlformats.org/officeDocument/2006/relationships/image" Target="media/image1.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2.xml"/><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hyperlink" Target="mailto:johann.holdt@uni-goettingen.de" TargetMode="Externa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Users\johannholdt\Documents\Projekt%20Stechlinsee\Masterfile%20Stechlinse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johannholdt\Library\Containers\com.apple.mail\Data\Library\Mail%20Downloads\7D8C51F0-1988-40B6-BCD3-FA5E52BCDAD8\Masterfile%20Stechlinsee.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320810071951169"/>
          <c:y val="8.4133314504518095E-2"/>
          <c:w val="0.76771725088571685"/>
          <c:h val="0.73375254666593248"/>
        </c:manualLayout>
      </c:layout>
      <c:scatterChart>
        <c:scatterStyle val="lineMarker"/>
        <c:varyColors val="0"/>
        <c:ser>
          <c:idx val="0"/>
          <c:order val="0"/>
          <c:spPr>
            <a:ln w="25400" cap="rnd">
              <a:noFill/>
              <a:round/>
            </a:ln>
            <a:effectLst/>
          </c:spPr>
          <c:marker>
            <c:symbol val="circle"/>
            <c:size val="5"/>
            <c:spPr>
              <a:solidFill>
                <a:schemeClr val="tx1"/>
              </a:solidFill>
              <a:ln w="9525">
                <a:solidFill>
                  <a:schemeClr val="tx1"/>
                </a:solidFill>
              </a:ln>
              <a:effectLst/>
            </c:spPr>
          </c:marker>
          <c:xVal>
            <c:numRef>
              <c:f>'Sediment Plots'!$B$5:$B$114</c:f>
              <c:numCache>
                <c:formatCode>0</c:formatCode>
                <c:ptCount val="110"/>
                <c:pt idx="0">
                  <c:v>69</c:v>
                </c:pt>
                <c:pt idx="1">
                  <c:v>69</c:v>
                </c:pt>
                <c:pt idx="2">
                  <c:v>65</c:v>
                </c:pt>
                <c:pt idx="3">
                  <c:v>65</c:v>
                </c:pt>
                <c:pt idx="4">
                  <c:v>55</c:v>
                </c:pt>
                <c:pt idx="5">
                  <c:v>55</c:v>
                </c:pt>
                <c:pt idx="6">
                  <c:v>45</c:v>
                </c:pt>
                <c:pt idx="7">
                  <c:v>45</c:v>
                </c:pt>
                <c:pt idx="8">
                  <c:v>35</c:v>
                </c:pt>
                <c:pt idx="9">
                  <c:v>35</c:v>
                </c:pt>
                <c:pt idx="10">
                  <c:v>25</c:v>
                </c:pt>
                <c:pt idx="11">
                  <c:v>25</c:v>
                </c:pt>
                <c:pt idx="13">
                  <c:v>15</c:v>
                </c:pt>
                <c:pt idx="14">
                  <c:v>65</c:v>
                </c:pt>
                <c:pt idx="15">
                  <c:v>65</c:v>
                </c:pt>
                <c:pt idx="16">
                  <c:v>55</c:v>
                </c:pt>
                <c:pt idx="17">
                  <c:v>55</c:v>
                </c:pt>
                <c:pt idx="18">
                  <c:v>45</c:v>
                </c:pt>
                <c:pt idx="19">
                  <c:v>45</c:v>
                </c:pt>
                <c:pt idx="20">
                  <c:v>35</c:v>
                </c:pt>
                <c:pt idx="21">
                  <c:v>35</c:v>
                </c:pt>
                <c:pt idx="22">
                  <c:v>25</c:v>
                </c:pt>
                <c:pt idx="23">
                  <c:v>25</c:v>
                </c:pt>
                <c:pt idx="24">
                  <c:v>15</c:v>
                </c:pt>
                <c:pt idx="25">
                  <c:v>15</c:v>
                </c:pt>
                <c:pt idx="26">
                  <c:v>5</c:v>
                </c:pt>
                <c:pt idx="27">
                  <c:v>5</c:v>
                </c:pt>
                <c:pt idx="28">
                  <c:v>65</c:v>
                </c:pt>
                <c:pt idx="29">
                  <c:v>65</c:v>
                </c:pt>
                <c:pt idx="30">
                  <c:v>55</c:v>
                </c:pt>
                <c:pt idx="31">
                  <c:v>55</c:v>
                </c:pt>
                <c:pt idx="32">
                  <c:v>45</c:v>
                </c:pt>
                <c:pt idx="33">
                  <c:v>45</c:v>
                </c:pt>
                <c:pt idx="34">
                  <c:v>35</c:v>
                </c:pt>
                <c:pt idx="35">
                  <c:v>35</c:v>
                </c:pt>
                <c:pt idx="36">
                  <c:v>25</c:v>
                </c:pt>
                <c:pt idx="37">
                  <c:v>25</c:v>
                </c:pt>
                <c:pt idx="38">
                  <c:v>15</c:v>
                </c:pt>
                <c:pt idx="39">
                  <c:v>15</c:v>
                </c:pt>
                <c:pt idx="40">
                  <c:v>5</c:v>
                </c:pt>
                <c:pt idx="41">
                  <c:v>5</c:v>
                </c:pt>
                <c:pt idx="42">
                  <c:v>65</c:v>
                </c:pt>
                <c:pt idx="43">
                  <c:v>65</c:v>
                </c:pt>
                <c:pt idx="44">
                  <c:v>55</c:v>
                </c:pt>
                <c:pt idx="45">
                  <c:v>55</c:v>
                </c:pt>
                <c:pt idx="46">
                  <c:v>45</c:v>
                </c:pt>
                <c:pt idx="47">
                  <c:v>45</c:v>
                </c:pt>
                <c:pt idx="48">
                  <c:v>35</c:v>
                </c:pt>
                <c:pt idx="49">
                  <c:v>35</c:v>
                </c:pt>
                <c:pt idx="50">
                  <c:v>25</c:v>
                </c:pt>
                <c:pt idx="51">
                  <c:v>25</c:v>
                </c:pt>
                <c:pt idx="52">
                  <c:v>5</c:v>
                </c:pt>
                <c:pt idx="53">
                  <c:v>5</c:v>
                </c:pt>
                <c:pt idx="54">
                  <c:v>40</c:v>
                </c:pt>
                <c:pt idx="55">
                  <c:v>40</c:v>
                </c:pt>
                <c:pt idx="56">
                  <c:v>35</c:v>
                </c:pt>
                <c:pt idx="57">
                  <c:v>35</c:v>
                </c:pt>
                <c:pt idx="58">
                  <c:v>25</c:v>
                </c:pt>
                <c:pt idx="59">
                  <c:v>25</c:v>
                </c:pt>
                <c:pt idx="60">
                  <c:v>5</c:v>
                </c:pt>
                <c:pt idx="61">
                  <c:v>5</c:v>
                </c:pt>
                <c:pt idx="62">
                  <c:v>35</c:v>
                </c:pt>
                <c:pt idx="63">
                  <c:v>35</c:v>
                </c:pt>
                <c:pt idx="64">
                  <c:v>25</c:v>
                </c:pt>
                <c:pt idx="65">
                  <c:v>25</c:v>
                </c:pt>
                <c:pt idx="66">
                  <c:v>15</c:v>
                </c:pt>
                <c:pt idx="67">
                  <c:v>15</c:v>
                </c:pt>
                <c:pt idx="68">
                  <c:v>5</c:v>
                </c:pt>
                <c:pt idx="69">
                  <c:v>5</c:v>
                </c:pt>
                <c:pt idx="70">
                  <c:v>35</c:v>
                </c:pt>
                <c:pt idx="71">
                  <c:v>35</c:v>
                </c:pt>
                <c:pt idx="72">
                  <c:v>25</c:v>
                </c:pt>
                <c:pt idx="73">
                  <c:v>25</c:v>
                </c:pt>
                <c:pt idx="74">
                  <c:v>15</c:v>
                </c:pt>
                <c:pt idx="75">
                  <c:v>15</c:v>
                </c:pt>
                <c:pt idx="76">
                  <c:v>5</c:v>
                </c:pt>
                <c:pt idx="77">
                  <c:v>5</c:v>
                </c:pt>
                <c:pt idx="78">
                  <c:v>35</c:v>
                </c:pt>
                <c:pt idx="79">
                  <c:v>35</c:v>
                </c:pt>
                <c:pt idx="80">
                  <c:v>25</c:v>
                </c:pt>
                <c:pt idx="81">
                  <c:v>25</c:v>
                </c:pt>
                <c:pt idx="82">
                  <c:v>5</c:v>
                </c:pt>
                <c:pt idx="83">
                  <c:v>5</c:v>
                </c:pt>
                <c:pt idx="84">
                  <c:v>35</c:v>
                </c:pt>
                <c:pt idx="85">
                  <c:v>35</c:v>
                </c:pt>
                <c:pt idx="88">
                  <c:v>15</c:v>
                </c:pt>
                <c:pt idx="89">
                  <c:v>15</c:v>
                </c:pt>
                <c:pt idx="90">
                  <c:v>5</c:v>
                </c:pt>
                <c:pt idx="91">
                  <c:v>5</c:v>
                </c:pt>
                <c:pt idx="92">
                  <c:v>25</c:v>
                </c:pt>
                <c:pt idx="93">
                  <c:v>25</c:v>
                </c:pt>
                <c:pt idx="94">
                  <c:v>15</c:v>
                </c:pt>
                <c:pt idx="95">
                  <c:v>15</c:v>
                </c:pt>
                <c:pt idx="96">
                  <c:v>5</c:v>
                </c:pt>
                <c:pt idx="97">
                  <c:v>5</c:v>
                </c:pt>
                <c:pt idx="98">
                  <c:v>25</c:v>
                </c:pt>
                <c:pt idx="99">
                  <c:v>25</c:v>
                </c:pt>
                <c:pt idx="100">
                  <c:v>15</c:v>
                </c:pt>
                <c:pt idx="101">
                  <c:v>15</c:v>
                </c:pt>
                <c:pt idx="102">
                  <c:v>5</c:v>
                </c:pt>
                <c:pt idx="103">
                  <c:v>5</c:v>
                </c:pt>
                <c:pt idx="104">
                  <c:v>25</c:v>
                </c:pt>
                <c:pt idx="105">
                  <c:v>25</c:v>
                </c:pt>
                <c:pt idx="106">
                  <c:v>15</c:v>
                </c:pt>
                <c:pt idx="107">
                  <c:v>15</c:v>
                </c:pt>
                <c:pt idx="108">
                  <c:v>5</c:v>
                </c:pt>
                <c:pt idx="109">
                  <c:v>5</c:v>
                </c:pt>
              </c:numCache>
            </c:numRef>
          </c:xVal>
          <c:yVal>
            <c:numRef>
              <c:f>'Sediment Plots'!$S$5:$S$114</c:f>
              <c:numCache>
                <c:formatCode>General</c:formatCode>
                <c:ptCount val="110"/>
                <c:pt idx="0" formatCode="0">
                  <c:v>3866.9090909090905</c:v>
                </c:pt>
                <c:pt idx="2" formatCode="0">
                  <c:v>3982.1091865818903</c:v>
                </c:pt>
                <c:pt idx="4" formatCode="0">
                  <c:v>3166.958277254374</c:v>
                </c:pt>
                <c:pt idx="6" formatCode="0">
                  <c:v>2222.8632990184346</c:v>
                </c:pt>
                <c:pt idx="8" formatCode="0">
                  <c:v>2718.5482024272956</c:v>
                </c:pt>
                <c:pt idx="10" formatCode="0">
                  <c:v>1615.7820667470851</c:v>
                </c:pt>
                <c:pt idx="12" formatCode="0">
                  <c:v>200.52273915316255</c:v>
                </c:pt>
                <c:pt idx="14" formatCode="0">
                  <c:v>3953.4646243617794</c:v>
                </c:pt>
                <c:pt idx="16" formatCode="0">
                  <c:v>2519.0531852717709</c:v>
                </c:pt>
                <c:pt idx="18" formatCode="0">
                  <c:v>3585.6652587117214</c:v>
                </c:pt>
                <c:pt idx="20" formatCode="0">
                  <c:v>2252.0677432059865</c:v>
                </c:pt>
                <c:pt idx="22" formatCode="0">
                  <c:v>2155.9901447489992</c:v>
                </c:pt>
                <c:pt idx="24" formatCode="0">
                  <c:v>1344.993876301286</c:v>
                </c:pt>
                <c:pt idx="26" formatCode="0">
                  <c:v>403.61052876776148</c:v>
                </c:pt>
                <c:pt idx="28" formatCode="0">
                  <c:v>2806.3623118018459</c:v>
                </c:pt>
                <c:pt idx="30" formatCode="0">
                  <c:v>2174.2772592761216</c:v>
                </c:pt>
                <c:pt idx="32" formatCode="0">
                  <c:v>3395.8980044345894</c:v>
                </c:pt>
                <c:pt idx="34" formatCode="0">
                  <c:v>1879.1234384924835</c:v>
                </c:pt>
                <c:pt idx="36" formatCode="0">
                  <c:v>1879.519896193772</c:v>
                </c:pt>
                <c:pt idx="38" formatCode="0">
                  <c:v>2444.7940865892288</c:v>
                </c:pt>
                <c:pt idx="40" formatCode="0">
                  <c:v>1617.2743939702586</c:v>
                </c:pt>
                <c:pt idx="42" formatCode="0">
                  <c:v>5674.3038420867106</c:v>
                </c:pt>
                <c:pt idx="44" formatCode="0">
                  <c:v>4069.9168726128969</c:v>
                </c:pt>
                <c:pt idx="46" formatCode="0">
                  <c:v>3110.0279106858056</c:v>
                </c:pt>
                <c:pt idx="48" formatCode="0">
                  <c:v>1591.8591055247005</c:v>
                </c:pt>
                <c:pt idx="50" formatCode="0">
                  <c:v>2171.7146433041303</c:v>
                </c:pt>
                <c:pt idx="52" formatCode="0">
                  <c:v>74.994666097717086</c:v>
                </c:pt>
                <c:pt idx="54" formatCode="0">
                  <c:v>2208.671241422333</c:v>
                </c:pt>
                <c:pt idx="56" formatCode="0">
                  <c:v>2206.7520946278955</c:v>
                </c:pt>
                <c:pt idx="58" formatCode="0">
                  <c:v>2529.8316251830161</c:v>
                </c:pt>
                <c:pt idx="60" formatCode="0">
                  <c:v>1120.2749140893468</c:v>
                </c:pt>
                <c:pt idx="62" formatCode="0">
                  <c:v>3652.9373789541642</c:v>
                </c:pt>
                <c:pt idx="64" formatCode="0">
                  <c:v>1822.2513948145718</c:v>
                </c:pt>
                <c:pt idx="66" formatCode="0">
                  <c:v>1694.0009915716412</c:v>
                </c:pt>
                <c:pt idx="68" formatCode="0">
                  <c:v>250.99296648738101</c:v>
                </c:pt>
                <c:pt idx="70" formatCode="0">
                  <c:v>2469.0210334977933</c:v>
                </c:pt>
                <c:pt idx="72" formatCode="0">
                  <c:v>2244.6157439850504</c:v>
                </c:pt>
                <c:pt idx="74" formatCode="0">
                  <c:v>1583.7404171866644</c:v>
                </c:pt>
                <c:pt idx="76" formatCode="0">
                  <c:v>1059.1213553979512</c:v>
                </c:pt>
                <c:pt idx="78" formatCode="0">
                  <c:v>2769.0336233247122</c:v>
                </c:pt>
                <c:pt idx="80" formatCode="0">
                  <c:v>4041.5432742440044</c:v>
                </c:pt>
                <c:pt idx="82" formatCode="0">
                  <c:v>291.9767838852851</c:v>
                </c:pt>
                <c:pt idx="84" formatCode="0">
                  <c:v>1852.2712594187299</c:v>
                </c:pt>
                <c:pt idx="86" formatCode="0">
                  <c:v>2602.8318276580953</c:v>
                </c:pt>
                <c:pt idx="88" formatCode="0">
                  <c:v>1644.1948238677212</c:v>
                </c:pt>
                <c:pt idx="90" formatCode="0">
                  <c:v>156.54263841908491</c:v>
                </c:pt>
                <c:pt idx="92" formatCode="0">
                  <c:v>1496.2257958647851</c:v>
                </c:pt>
                <c:pt idx="94" formatCode="0">
                  <c:v>2107.5166183739561</c:v>
                </c:pt>
                <c:pt idx="96" formatCode="0">
                  <c:v>2502.1962522667741</c:v>
                </c:pt>
                <c:pt idx="98" formatCode="0">
                  <c:v>2219.9474605954465</c:v>
                </c:pt>
                <c:pt idx="100" formatCode="0">
                  <c:v>2690.6491148433956</c:v>
                </c:pt>
                <c:pt idx="102" formatCode="0">
                  <c:v>1440.3717922812691</c:v>
                </c:pt>
                <c:pt idx="104" formatCode="0">
                  <c:v>2245.1958853140732</c:v>
                </c:pt>
                <c:pt idx="106" formatCode="0">
                  <c:v>1237.2576454127525</c:v>
                </c:pt>
                <c:pt idx="108" formatCode="0">
                  <c:v>913.497506234414</c:v>
                </c:pt>
              </c:numCache>
            </c:numRef>
          </c:yVal>
          <c:smooth val="0"/>
          <c:extLst xmlns:c16r2="http://schemas.microsoft.com/office/drawing/2015/06/chart">
            <c:ext xmlns:c16="http://schemas.microsoft.com/office/drawing/2014/chart" uri="{C3380CC4-5D6E-409C-BE32-E72D297353CC}">
              <c16:uniqueId val="{00000000-E720-5241-8E9A-08D905D099BB}"/>
            </c:ext>
          </c:extLst>
        </c:ser>
        <c:ser>
          <c:idx val="1"/>
          <c:order val="1"/>
          <c:spPr>
            <a:ln w="25400" cap="rnd">
              <a:noFill/>
              <a:round/>
            </a:ln>
            <a:effectLst/>
          </c:spPr>
          <c:marker>
            <c:symbol val="circle"/>
            <c:size val="5"/>
            <c:spPr>
              <a:solidFill>
                <a:srgbClr val="FF0000"/>
              </a:solidFill>
              <a:ln w="9525">
                <a:solidFill>
                  <a:srgbClr val="FF0000"/>
                </a:solidFill>
              </a:ln>
              <a:effectLst/>
            </c:spPr>
          </c:marker>
          <c:trendline>
            <c:spPr>
              <a:ln w="19050" cap="rnd">
                <a:solidFill>
                  <a:schemeClr val="tx1"/>
                </a:solidFill>
                <a:prstDash val="sysDot"/>
              </a:ln>
              <a:effectLst/>
            </c:spPr>
            <c:trendlineType val="linear"/>
            <c:dispRSqr val="1"/>
            <c:dispEq val="0"/>
            <c:trendlineLbl>
              <c:layout>
                <c:manualLayout>
                  <c:x val="1.8675224159636402E-2"/>
                  <c:y val="-0.30295857070642851"/>
                </c:manualLayout>
              </c:layout>
              <c:numFmt formatCode="General" sourceLinked="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trendlineLbl>
          </c:trendline>
          <c:xVal>
            <c:numRef>
              <c:f>'Sediment Plots'!$B$5:$B$114</c:f>
              <c:numCache>
                <c:formatCode>0</c:formatCode>
                <c:ptCount val="110"/>
                <c:pt idx="0">
                  <c:v>69</c:v>
                </c:pt>
                <c:pt idx="1">
                  <c:v>69</c:v>
                </c:pt>
                <c:pt idx="2">
                  <c:v>65</c:v>
                </c:pt>
                <c:pt idx="3">
                  <c:v>65</c:v>
                </c:pt>
                <c:pt idx="4">
                  <c:v>55</c:v>
                </c:pt>
                <c:pt idx="5">
                  <c:v>55</c:v>
                </c:pt>
                <c:pt idx="6">
                  <c:v>45</c:v>
                </c:pt>
                <c:pt idx="7">
                  <c:v>45</c:v>
                </c:pt>
                <c:pt idx="8">
                  <c:v>35</c:v>
                </c:pt>
                <c:pt idx="9">
                  <c:v>35</c:v>
                </c:pt>
                <c:pt idx="10">
                  <c:v>25</c:v>
                </c:pt>
                <c:pt idx="11">
                  <c:v>25</c:v>
                </c:pt>
                <c:pt idx="13">
                  <c:v>15</c:v>
                </c:pt>
                <c:pt idx="14">
                  <c:v>65</c:v>
                </c:pt>
                <c:pt idx="15">
                  <c:v>65</c:v>
                </c:pt>
                <c:pt idx="16">
                  <c:v>55</c:v>
                </c:pt>
                <c:pt idx="17">
                  <c:v>55</c:v>
                </c:pt>
                <c:pt idx="18">
                  <c:v>45</c:v>
                </c:pt>
                <c:pt idx="19">
                  <c:v>45</c:v>
                </c:pt>
                <c:pt idx="20">
                  <c:v>35</c:v>
                </c:pt>
                <c:pt idx="21">
                  <c:v>35</c:v>
                </c:pt>
                <c:pt idx="22">
                  <c:v>25</c:v>
                </c:pt>
                <c:pt idx="23">
                  <c:v>25</c:v>
                </c:pt>
                <c:pt idx="24">
                  <c:v>15</c:v>
                </c:pt>
                <c:pt idx="25">
                  <c:v>15</c:v>
                </c:pt>
                <c:pt idx="26">
                  <c:v>5</c:v>
                </c:pt>
                <c:pt idx="27">
                  <c:v>5</c:v>
                </c:pt>
                <c:pt idx="28">
                  <c:v>65</c:v>
                </c:pt>
                <c:pt idx="29">
                  <c:v>65</c:v>
                </c:pt>
                <c:pt idx="30">
                  <c:v>55</c:v>
                </c:pt>
                <c:pt idx="31">
                  <c:v>55</c:v>
                </c:pt>
                <c:pt idx="32">
                  <c:v>45</c:v>
                </c:pt>
                <c:pt idx="33">
                  <c:v>45</c:v>
                </c:pt>
                <c:pt idx="34">
                  <c:v>35</c:v>
                </c:pt>
                <c:pt idx="35">
                  <c:v>35</c:v>
                </c:pt>
                <c:pt idx="36">
                  <c:v>25</c:v>
                </c:pt>
                <c:pt idx="37">
                  <c:v>25</c:v>
                </c:pt>
                <c:pt idx="38">
                  <c:v>15</c:v>
                </c:pt>
                <c:pt idx="39">
                  <c:v>15</c:v>
                </c:pt>
                <c:pt idx="40">
                  <c:v>5</c:v>
                </c:pt>
                <c:pt idx="41">
                  <c:v>5</c:v>
                </c:pt>
                <c:pt idx="42">
                  <c:v>65</c:v>
                </c:pt>
                <c:pt idx="43">
                  <c:v>65</c:v>
                </c:pt>
                <c:pt idx="44">
                  <c:v>55</c:v>
                </c:pt>
                <c:pt idx="45">
                  <c:v>55</c:v>
                </c:pt>
                <c:pt idx="46">
                  <c:v>45</c:v>
                </c:pt>
                <c:pt idx="47">
                  <c:v>45</c:v>
                </c:pt>
                <c:pt idx="48">
                  <c:v>35</c:v>
                </c:pt>
                <c:pt idx="49">
                  <c:v>35</c:v>
                </c:pt>
                <c:pt idx="50">
                  <c:v>25</c:v>
                </c:pt>
                <c:pt idx="51">
                  <c:v>25</c:v>
                </c:pt>
                <c:pt idx="52">
                  <c:v>5</c:v>
                </c:pt>
                <c:pt idx="53">
                  <c:v>5</c:v>
                </c:pt>
                <c:pt idx="54">
                  <c:v>40</c:v>
                </c:pt>
                <c:pt idx="55">
                  <c:v>40</c:v>
                </c:pt>
                <c:pt idx="56">
                  <c:v>35</c:v>
                </c:pt>
                <c:pt idx="57">
                  <c:v>35</c:v>
                </c:pt>
                <c:pt idx="58">
                  <c:v>25</c:v>
                </c:pt>
                <c:pt idx="59">
                  <c:v>25</c:v>
                </c:pt>
                <c:pt idx="60">
                  <c:v>5</c:v>
                </c:pt>
                <c:pt idx="61">
                  <c:v>5</c:v>
                </c:pt>
                <c:pt idx="62">
                  <c:v>35</c:v>
                </c:pt>
                <c:pt idx="63">
                  <c:v>35</c:v>
                </c:pt>
                <c:pt idx="64">
                  <c:v>25</c:v>
                </c:pt>
                <c:pt idx="65">
                  <c:v>25</c:v>
                </c:pt>
                <c:pt idx="66">
                  <c:v>15</c:v>
                </c:pt>
                <c:pt idx="67">
                  <c:v>15</c:v>
                </c:pt>
                <c:pt idx="68">
                  <c:v>5</c:v>
                </c:pt>
                <c:pt idx="69">
                  <c:v>5</c:v>
                </c:pt>
                <c:pt idx="70">
                  <c:v>35</c:v>
                </c:pt>
                <c:pt idx="71">
                  <c:v>35</c:v>
                </c:pt>
                <c:pt idx="72">
                  <c:v>25</c:v>
                </c:pt>
                <c:pt idx="73">
                  <c:v>25</c:v>
                </c:pt>
                <c:pt idx="74">
                  <c:v>15</c:v>
                </c:pt>
                <c:pt idx="75">
                  <c:v>15</c:v>
                </c:pt>
                <c:pt idx="76">
                  <c:v>5</c:v>
                </c:pt>
                <c:pt idx="77">
                  <c:v>5</c:v>
                </c:pt>
                <c:pt idx="78">
                  <c:v>35</c:v>
                </c:pt>
                <c:pt idx="79">
                  <c:v>35</c:v>
                </c:pt>
                <c:pt idx="80">
                  <c:v>25</c:v>
                </c:pt>
                <c:pt idx="81">
                  <c:v>25</c:v>
                </c:pt>
                <c:pt idx="82">
                  <c:v>5</c:v>
                </c:pt>
                <c:pt idx="83">
                  <c:v>5</c:v>
                </c:pt>
                <c:pt idx="84">
                  <c:v>35</c:v>
                </c:pt>
                <c:pt idx="85">
                  <c:v>35</c:v>
                </c:pt>
                <c:pt idx="88">
                  <c:v>15</c:v>
                </c:pt>
                <c:pt idx="89">
                  <c:v>15</c:v>
                </c:pt>
                <c:pt idx="90">
                  <c:v>5</c:v>
                </c:pt>
                <c:pt idx="91">
                  <c:v>5</c:v>
                </c:pt>
                <c:pt idx="92">
                  <c:v>25</c:v>
                </c:pt>
                <c:pt idx="93">
                  <c:v>25</c:v>
                </c:pt>
                <c:pt idx="94">
                  <c:v>15</c:v>
                </c:pt>
                <c:pt idx="95">
                  <c:v>15</c:v>
                </c:pt>
                <c:pt idx="96">
                  <c:v>5</c:v>
                </c:pt>
                <c:pt idx="97">
                  <c:v>5</c:v>
                </c:pt>
                <c:pt idx="98">
                  <c:v>25</c:v>
                </c:pt>
                <c:pt idx="99">
                  <c:v>25</c:v>
                </c:pt>
                <c:pt idx="100">
                  <c:v>15</c:v>
                </c:pt>
                <c:pt idx="101">
                  <c:v>15</c:v>
                </c:pt>
                <c:pt idx="102">
                  <c:v>5</c:v>
                </c:pt>
                <c:pt idx="103">
                  <c:v>5</c:v>
                </c:pt>
                <c:pt idx="104">
                  <c:v>25</c:v>
                </c:pt>
                <c:pt idx="105">
                  <c:v>25</c:v>
                </c:pt>
                <c:pt idx="106">
                  <c:v>15</c:v>
                </c:pt>
                <c:pt idx="107">
                  <c:v>15</c:v>
                </c:pt>
                <c:pt idx="108">
                  <c:v>5</c:v>
                </c:pt>
                <c:pt idx="109">
                  <c:v>5</c:v>
                </c:pt>
              </c:numCache>
            </c:numRef>
          </c:xVal>
          <c:yVal>
            <c:numRef>
              <c:f>'Sediment Plots'!$T$5:$T$114</c:f>
              <c:numCache>
                <c:formatCode>0</c:formatCode>
                <c:ptCount val="110"/>
                <c:pt idx="1">
                  <c:v>4955.6656081427245</c:v>
                </c:pt>
                <c:pt idx="3">
                  <c:v>3126.0903836048346</c:v>
                </c:pt>
                <c:pt idx="5">
                  <c:v>1607.7297895902548</c:v>
                </c:pt>
                <c:pt idx="7">
                  <c:v>1962.3840258168614</c:v>
                </c:pt>
                <c:pt idx="9">
                  <c:v>1997.352202693449</c:v>
                </c:pt>
                <c:pt idx="11">
                  <c:v>1154.5327754532777</c:v>
                </c:pt>
                <c:pt idx="13">
                  <c:v>398.22412737293325</c:v>
                </c:pt>
                <c:pt idx="15">
                  <c:v>5952.1656804733739</c:v>
                </c:pt>
                <c:pt idx="17">
                  <c:v>2965.0429409218505</c:v>
                </c:pt>
                <c:pt idx="19">
                  <c:v>1675.0987398909158</c:v>
                </c:pt>
                <c:pt idx="21">
                  <c:v>1653.41349093132</c:v>
                </c:pt>
                <c:pt idx="23">
                  <c:v>1694.2727957799548</c:v>
                </c:pt>
                <c:pt idx="25">
                  <c:v>1639.2474780222265</c:v>
                </c:pt>
                <c:pt idx="27">
                  <c:v>56.728327892636926</c:v>
                </c:pt>
                <c:pt idx="29">
                  <c:v>3238.0743477256983</c:v>
                </c:pt>
                <c:pt idx="31">
                  <c:v>2349.6897072615288</c:v>
                </c:pt>
                <c:pt idx="33">
                  <c:v>2254.3377426559014</c:v>
                </c:pt>
                <c:pt idx="35">
                  <c:v>1780.378159367162</c:v>
                </c:pt>
                <c:pt idx="37">
                  <c:v>984.60287340742764</c:v>
                </c:pt>
                <c:pt idx="39">
                  <c:v>1285.3803559758753</c:v>
                </c:pt>
                <c:pt idx="41">
                  <c:v>228.47175809974294</c:v>
                </c:pt>
                <c:pt idx="43">
                  <c:v>3798.130841121495</c:v>
                </c:pt>
                <c:pt idx="45">
                  <c:v>3086.9665513264126</c:v>
                </c:pt>
                <c:pt idx="47">
                  <c:v>2245.3839516824851</c:v>
                </c:pt>
                <c:pt idx="49">
                  <c:v>1482.4575751380087</c:v>
                </c:pt>
                <c:pt idx="51">
                  <c:v>1500.2950432730136</c:v>
                </c:pt>
                <c:pt idx="53">
                  <c:v>90.006955715279389</c:v>
                </c:pt>
                <c:pt idx="55">
                  <c:v>1897.1759747102212</c:v>
                </c:pt>
                <c:pt idx="57">
                  <c:v>2093.3269961977189</c:v>
                </c:pt>
                <c:pt idx="59">
                  <c:v>2400.9650439631137</c:v>
                </c:pt>
                <c:pt idx="61">
                  <c:v>169.34568835098335</c:v>
                </c:pt>
                <c:pt idx="63">
                  <c:v>2320.9067511383882</c:v>
                </c:pt>
                <c:pt idx="65">
                  <c:v>1765.5542849383519</c:v>
                </c:pt>
                <c:pt idx="67">
                  <c:v>634.94871982975383</c:v>
                </c:pt>
                <c:pt idx="69">
                  <c:v>242.38148984198648</c:v>
                </c:pt>
                <c:pt idx="71">
                  <c:v>2034.6337037877067</c:v>
                </c:pt>
                <c:pt idx="73">
                  <c:v>954.84965304548962</c:v>
                </c:pt>
                <c:pt idx="75">
                  <c:v>1059.951573849879</c:v>
                </c:pt>
                <c:pt idx="77">
                  <c:v>810.35675282125976</c:v>
                </c:pt>
                <c:pt idx="79">
                  <c:v>1992.3010851744143</c:v>
                </c:pt>
                <c:pt idx="81">
                  <c:v>2056.8623024830704</c:v>
                </c:pt>
                <c:pt idx="83">
                  <c:v>410.91693668993025</c:v>
                </c:pt>
                <c:pt idx="85">
                  <c:v>1451.6048691641663</c:v>
                </c:pt>
                <c:pt idx="87">
                  <c:v>2072.2841901066927</c:v>
                </c:pt>
                <c:pt idx="89">
                  <c:v>1158.545668365347</c:v>
                </c:pt>
                <c:pt idx="91">
                  <c:v>180.91872791519432</c:v>
                </c:pt>
                <c:pt idx="93">
                  <c:v>1479.350363343829</c:v>
                </c:pt>
                <c:pt idx="95">
                  <c:v>1624.9964318525822</c:v>
                </c:pt>
                <c:pt idx="97">
                  <c:v>1140.0758533501898</c:v>
                </c:pt>
                <c:pt idx="99">
                  <c:v>1353.6623108665749</c:v>
                </c:pt>
                <c:pt idx="101">
                  <c:v>1649.5183486238529</c:v>
                </c:pt>
                <c:pt idx="103">
                  <c:v>798.81243450925626</c:v>
                </c:pt>
                <c:pt idx="105">
                  <c:v>2058.6966394187107</c:v>
                </c:pt>
                <c:pt idx="107">
                  <c:v>810.16319276135073</c:v>
                </c:pt>
                <c:pt idx="109">
                  <c:v>488.59035004730367</c:v>
                </c:pt>
              </c:numCache>
            </c:numRef>
          </c:yVal>
          <c:smooth val="0"/>
          <c:extLst xmlns:c16r2="http://schemas.microsoft.com/office/drawing/2015/06/chart">
            <c:ext xmlns:c16="http://schemas.microsoft.com/office/drawing/2014/chart" uri="{C3380CC4-5D6E-409C-BE32-E72D297353CC}">
              <c16:uniqueId val="{00000002-E720-5241-8E9A-08D905D099BB}"/>
            </c:ext>
          </c:extLst>
        </c:ser>
        <c:dLbls>
          <c:showLegendKey val="0"/>
          <c:showVal val="0"/>
          <c:showCatName val="0"/>
          <c:showSerName val="0"/>
          <c:showPercent val="0"/>
          <c:showBubbleSize val="0"/>
        </c:dLbls>
        <c:axId val="1582347664"/>
        <c:axId val="1582347120"/>
      </c:scatterChart>
      <c:valAx>
        <c:axId val="1582347664"/>
        <c:scaling>
          <c:orientation val="minMax"/>
          <c:max val="70"/>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de-DE"/>
                  <a:t>water depth (m)</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582347120"/>
        <c:crosses val="autoZero"/>
        <c:crossBetween val="midCat"/>
      </c:valAx>
      <c:valAx>
        <c:axId val="1582347120"/>
        <c:scaling>
          <c:orientation val="minMax"/>
          <c:max val="7000"/>
          <c:min val="0"/>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de-DE" sz="1000">
                    <a:effectLst/>
                  </a:rPr>
                  <a:t>TP (mg</a:t>
                </a:r>
                <a:r>
                  <a:rPr lang="de-DE" sz="1000" baseline="30000">
                    <a:effectLst/>
                  </a:rPr>
                  <a:t> </a:t>
                </a:r>
                <a:r>
                  <a:rPr lang="de-DE" sz="1000">
                    <a:effectLst/>
                  </a:rPr>
                  <a:t>kg</a:t>
                </a:r>
                <a:r>
                  <a:rPr lang="de-DE" sz="1000" baseline="30000">
                    <a:effectLst/>
                  </a:rPr>
                  <a:t>-1  </a:t>
                </a:r>
                <a:r>
                  <a:rPr lang="de-DE" sz="1000">
                    <a:effectLst/>
                  </a:rPr>
                  <a:t>sediment dry mass)</a:t>
                </a:r>
              </a:p>
              <a:p>
                <a:pPr>
                  <a:defRPr/>
                </a:pPr>
                <a:r>
                  <a:rPr lang="en-GB" sz="1000">
                    <a:effectLst/>
                  </a:rPr>
                  <a:t> </a:t>
                </a:r>
                <a:endParaRPr lang="de-DE" sz="1000">
                  <a:effectLst/>
                </a:endParaRPr>
              </a:p>
              <a:p>
                <a:pPr>
                  <a:defRPr/>
                </a:pPr>
                <a:endParaRPr lang="de-DE" sz="1000"/>
              </a:p>
            </c:rich>
          </c:tx>
          <c:layout>
            <c:manualLayout>
              <c:xMode val="edge"/>
              <c:yMode val="edge"/>
              <c:x val="4.679031336684461E-2"/>
              <c:y val="0.1737657891227558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582347664"/>
        <c:crosses val="autoZero"/>
        <c:crossBetween val="midCat"/>
      </c:valAx>
      <c:spPr>
        <a:noFill/>
        <a:ln>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313510526241209"/>
          <c:y val="8.5782972235120533E-2"/>
          <c:w val="0.8132806824461879"/>
          <c:h val="0.76044155082873111"/>
        </c:manualLayout>
      </c:layout>
      <c:scatterChart>
        <c:scatterStyle val="lineMarker"/>
        <c:varyColors val="0"/>
        <c:ser>
          <c:idx val="0"/>
          <c:order val="0"/>
          <c:spPr>
            <a:ln w="25400" cap="rnd">
              <a:solidFill>
                <a:schemeClr val="tx1"/>
              </a:solidFill>
              <a:round/>
            </a:ln>
            <a:effectLst/>
          </c:spPr>
          <c:marker>
            <c:symbol val="circle"/>
            <c:size val="7"/>
            <c:spPr>
              <a:solidFill>
                <a:schemeClr val="tx1"/>
              </a:solidFill>
              <a:ln w="12700">
                <a:solidFill>
                  <a:schemeClr val="bg1"/>
                </a:solidFill>
              </a:ln>
              <a:effectLst/>
            </c:spPr>
          </c:marker>
          <c:xVal>
            <c:numRef>
              <c:f>Sediment!$AF$5:$AF$114</c:f>
              <c:numCache>
                <c:formatCode>General</c:formatCode>
                <c:ptCount val="110"/>
                <c:pt idx="0" formatCode="0.0">
                  <c:v>83.708866243358614</c:v>
                </c:pt>
                <c:pt idx="2" formatCode="0">
                  <c:v>71.342226233764549</c:v>
                </c:pt>
                <c:pt idx="4" formatCode="0">
                  <c:v>76.281805412675752</c:v>
                </c:pt>
                <c:pt idx="6" formatCode="0">
                  <c:v>66.595717091118431</c:v>
                </c:pt>
                <c:pt idx="8" formatCode="0">
                  <c:v>76.351511032756861</c:v>
                </c:pt>
                <c:pt idx="10" formatCode="0">
                  <c:v>97.820743600678767</c:v>
                </c:pt>
                <c:pt idx="12" formatCode="0">
                  <c:v>169.83340923239444</c:v>
                </c:pt>
                <c:pt idx="14" formatCode="0">
                  <c:v>86.046351902925181</c:v>
                </c:pt>
                <c:pt idx="16" formatCode="0">
                  <c:v>51.785023697395147</c:v>
                </c:pt>
                <c:pt idx="18" formatCode="0">
                  <c:v>76.980282456861858</c:v>
                </c:pt>
                <c:pt idx="20" formatCode="0">
                  <c:v>68.928512626965372</c:v>
                </c:pt>
                <c:pt idx="22" formatCode="0">
                  <c:v>84.435190679326411</c:v>
                </c:pt>
                <c:pt idx="24" formatCode="0">
                  <c:v>86.886718034095367</c:v>
                </c:pt>
                <c:pt idx="26" formatCode="0">
                  <c:v>189.97600888780178</c:v>
                </c:pt>
                <c:pt idx="28" formatCode="0">
                  <c:v>92.61702675392219</c:v>
                </c:pt>
                <c:pt idx="30" formatCode="0">
                  <c:v>48.012033323574869</c:v>
                </c:pt>
                <c:pt idx="32" formatCode="0">
                  <c:v>93.624951177393314</c:v>
                </c:pt>
                <c:pt idx="34" formatCode="0">
                  <c:v>58.094702926159869</c:v>
                </c:pt>
                <c:pt idx="36" formatCode="0">
                  <c:v>108.6918415381339</c:v>
                </c:pt>
                <c:pt idx="38" formatCode="0">
                  <c:v>104.90299784792577</c:v>
                </c:pt>
                <c:pt idx="40" formatCode="0">
                  <c:v>614.34217744161106</c:v>
                </c:pt>
                <c:pt idx="42" formatCode="0">
                  <c:v>131.99166871346998</c:v>
                </c:pt>
                <c:pt idx="44" formatCode="0">
                  <c:v>59.342656405134832</c:v>
                </c:pt>
                <c:pt idx="46" formatCode="0">
                  <c:v>76.313208631013055</c:v>
                </c:pt>
                <c:pt idx="48" formatCode="0">
                  <c:v>65.985614201679837</c:v>
                </c:pt>
                <c:pt idx="50" formatCode="0">
                  <c:v>85.636972891896463</c:v>
                </c:pt>
                <c:pt idx="52" formatCode="0">
                  <c:v>71.76230892425032</c:v>
                </c:pt>
                <c:pt idx="54" formatCode="0">
                  <c:v>56.160047822616662</c:v>
                </c:pt>
                <c:pt idx="56" formatCode="0">
                  <c:v>59.464685159496426</c:v>
                </c:pt>
                <c:pt idx="58" formatCode="0">
                  <c:v>71.458648609472277</c:v>
                </c:pt>
                <c:pt idx="60" formatCode="0">
                  <c:v>648.08332256636879</c:v>
                </c:pt>
                <c:pt idx="62" formatCode="0">
                  <c:v>83.552986978921339</c:v>
                </c:pt>
                <c:pt idx="64" formatCode="0">
                  <c:v>52.00122015181266</c:v>
                </c:pt>
                <c:pt idx="68" formatCode="0">
                  <c:v>179.75504820047408</c:v>
                </c:pt>
                <c:pt idx="70" formatCode="0">
                  <c:v>61.116650595292086</c:v>
                </c:pt>
                <c:pt idx="72" formatCode="0">
                  <c:v>77.717922812255651</c:v>
                </c:pt>
                <c:pt idx="74" formatCode="0">
                  <c:v>64.462923808069718</c:v>
                </c:pt>
                <c:pt idx="76" formatCode="0">
                  <c:v>74.404213031940017</c:v>
                </c:pt>
                <c:pt idx="78" formatCode="0">
                  <c:v>67.378640568516161</c:v>
                </c:pt>
                <c:pt idx="80" formatCode="0">
                  <c:v>117.32535684834993</c:v>
                </c:pt>
                <c:pt idx="82" formatCode="0">
                  <c:v>109.94417510916136</c:v>
                </c:pt>
                <c:pt idx="84" formatCode="0">
                  <c:v>64.000460970871714</c:v>
                </c:pt>
                <c:pt idx="86" formatCode="0">
                  <c:v>68.598430451831504</c:v>
                </c:pt>
                <c:pt idx="88" formatCode="0">
                  <c:v>80.959744797095993</c:v>
                </c:pt>
                <c:pt idx="92" formatCode="0">
                  <c:v>57.135545759146602</c:v>
                </c:pt>
                <c:pt idx="94" formatCode="0">
                  <c:v>101.96804911550487</c:v>
                </c:pt>
                <c:pt idx="96" formatCode="0">
                  <c:v>230.32127524171477</c:v>
                </c:pt>
                <c:pt idx="98" formatCode="0">
                  <c:v>99.766700827973636</c:v>
                </c:pt>
                <c:pt idx="100" formatCode="0">
                  <c:v>80.218146726662951</c:v>
                </c:pt>
                <c:pt idx="102" formatCode="0">
                  <c:v>223.99386406100021</c:v>
                </c:pt>
                <c:pt idx="104" formatCode="0">
                  <c:v>45.575882492084233</c:v>
                </c:pt>
                <c:pt idx="106" formatCode="0">
                  <c:v>65.889081205097497</c:v>
                </c:pt>
                <c:pt idx="108" formatCode="0">
                  <c:v>110.10292914119691</c:v>
                </c:pt>
              </c:numCache>
            </c:numRef>
          </c:xVal>
          <c:yVal>
            <c:numRef>
              <c:f>Sediment!$AG$5:$AG$114</c:f>
              <c:numCache>
                <c:formatCode>General</c:formatCode>
                <c:ptCount val="110"/>
                <c:pt idx="0" formatCode="0.00">
                  <c:v>2.8758418766003135</c:v>
                </c:pt>
                <c:pt idx="2" formatCode="0.00">
                  <c:v>0.94768675311803074</c:v>
                </c:pt>
                <c:pt idx="4" formatCode="0.00">
                  <c:v>1.0057996200545138</c:v>
                </c:pt>
                <c:pt idx="6" formatCode="0.00">
                  <c:v>1.3932187329644006</c:v>
                </c:pt>
                <c:pt idx="8" formatCode="0.00">
                  <c:v>1.5943786569753036</c:v>
                </c:pt>
                <c:pt idx="10" formatCode="0.00">
                  <c:v>1.1111966300487319</c:v>
                </c:pt>
                <c:pt idx="12" formatCode="0.00">
                  <c:v>0.49178848599983471</c:v>
                </c:pt>
                <c:pt idx="14" formatCode="0.00">
                  <c:v>2.8981929792681913</c:v>
                </c:pt>
                <c:pt idx="16" formatCode="0.00">
                  <c:v>1.7597768167176011</c:v>
                </c:pt>
                <c:pt idx="18" formatCode="0.00">
                  <c:v>1.0162301346328568</c:v>
                </c:pt>
                <c:pt idx="20" formatCode="0.00">
                  <c:v>1.5809679953745768</c:v>
                </c:pt>
                <c:pt idx="22" formatCode="0.00">
                  <c:v>0.22832807466754762</c:v>
                </c:pt>
                <c:pt idx="24" formatCode="0.00">
                  <c:v>1.5864144709672092E-2</c:v>
                </c:pt>
                <c:pt idx="26" formatCode="0.00">
                  <c:v>1.3988193540926737</c:v>
                </c:pt>
                <c:pt idx="28" formatCode="0.00">
                  <c:v>2.0548113719335919</c:v>
                </c:pt>
                <c:pt idx="30" formatCode="0.00">
                  <c:v>1.28146321962501</c:v>
                </c:pt>
                <c:pt idx="32" formatCode="0.00">
                  <c:v>0.95364704716279824</c:v>
                </c:pt>
                <c:pt idx="34" formatCode="0.00">
                  <c:v>0.87169300404724537</c:v>
                </c:pt>
                <c:pt idx="36" formatCode="0.00">
                  <c:v>0.43382334186834054</c:v>
                </c:pt>
                <c:pt idx="38" formatCode="0.00">
                  <c:v>0.90425624845130892</c:v>
                </c:pt>
                <c:pt idx="40" formatCode="0.00">
                  <c:v>0.2558815891632939</c:v>
                </c:pt>
                <c:pt idx="42" formatCode="0.00">
                  <c:v>1.1920588089534978</c:v>
                </c:pt>
                <c:pt idx="44" formatCode="0.00">
                  <c:v>0.85679226893532656</c:v>
                </c:pt>
                <c:pt idx="46" formatCode="0.00">
                  <c:v>3.0755117271000243</c:v>
                </c:pt>
                <c:pt idx="48" formatCode="0.00">
                  <c:v>3.9412444371025028</c:v>
                </c:pt>
                <c:pt idx="50" formatCode="0.00">
                  <c:v>0.89809042702568753</c:v>
                </c:pt>
                <c:pt idx="52" formatCode="0.00">
                  <c:v>1.4286722061617243</c:v>
                </c:pt>
                <c:pt idx="54" formatCode="0.00">
                  <c:v>2.0637518130007431</c:v>
                </c:pt>
                <c:pt idx="56" formatCode="0.00">
                  <c:v>1.1831183678863466</c:v>
                </c:pt>
                <c:pt idx="58" formatCode="0.00">
                  <c:v>1.7276824316511106</c:v>
                </c:pt>
                <c:pt idx="60" formatCode="0.00">
                  <c:v>5.330866440901956E-2</c:v>
                </c:pt>
                <c:pt idx="62" formatCode="0.00">
                  <c:v>1.6450411563558269</c:v>
                </c:pt>
                <c:pt idx="64" formatCode="0.00">
                  <c:v>2.692749093912612</c:v>
                </c:pt>
                <c:pt idx="68" formatCode="0.00">
                  <c:v>0.49043971256298002</c:v>
                </c:pt>
                <c:pt idx="70" formatCode="0.00">
                  <c:v>1.6837830676468155</c:v>
                </c:pt>
                <c:pt idx="72" formatCode="0.00">
                  <c:v>0.96658884942595169</c:v>
                </c:pt>
                <c:pt idx="74" formatCode="0.00">
                  <c:v>1.5388220368381926</c:v>
                </c:pt>
                <c:pt idx="76" formatCode="0.00">
                  <c:v>2.377566432642273</c:v>
                </c:pt>
                <c:pt idx="78" formatCode="0.00">
                  <c:v>0.75248712315189548</c:v>
                </c:pt>
                <c:pt idx="80" formatCode="0.00">
                  <c:v>1.1949169240934994</c:v>
                </c:pt>
                <c:pt idx="82" formatCode="0.00">
                  <c:v>0.81029169901709752</c:v>
                </c:pt>
                <c:pt idx="84" formatCode="0.00">
                  <c:v>0.95364704716279858</c:v>
                </c:pt>
                <c:pt idx="86" formatCode="0.00">
                  <c:v>1.1096744428842815</c:v>
                </c:pt>
                <c:pt idx="88" formatCode="0.00">
                  <c:v>0.49178848599983471</c:v>
                </c:pt>
                <c:pt idx="92" formatCode="0.00">
                  <c:v>1.1294628760221355</c:v>
                </c:pt>
                <c:pt idx="94" formatCode="0.00">
                  <c:v>1.2278848005286196</c:v>
                </c:pt>
                <c:pt idx="96" formatCode="0.00">
                  <c:v>6.3970397290823502E-2</c:v>
                </c:pt>
                <c:pt idx="98" formatCode="0.00">
                  <c:v>1.9697101907987111</c:v>
                </c:pt>
                <c:pt idx="100" formatCode="0.00">
                  <c:v>0.85983664326422693</c:v>
                </c:pt>
                <c:pt idx="102" formatCode="0.00">
                  <c:v>3.1985198645411737E-2</c:v>
                </c:pt>
                <c:pt idx="104" formatCode="0.00">
                  <c:v>1.2040500470802011</c:v>
                </c:pt>
                <c:pt idx="106" formatCode="0.00">
                  <c:v>0.37280740067729407</c:v>
                </c:pt>
                <c:pt idx="108" formatCode="0.00">
                  <c:v>0</c:v>
                </c:pt>
              </c:numCache>
            </c:numRef>
          </c:yVal>
          <c:smooth val="0"/>
          <c:extLst xmlns:c16r2="http://schemas.microsoft.com/office/drawing/2015/06/chart">
            <c:ext xmlns:c16="http://schemas.microsoft.com/office/drawing/2014/chart" uri="{C3380CC4-5D6E-409C-BE32-E72D297353CC}">
              <c16:uniqueId val="{00000000-0995-DD4B-8B88-B515987EB0D9}"/>
            </c:ext>
          </c:extLst>
        </c:ser>
        <c:dLbls>
          <c:showLegendKey val="0"/>
          <c:showVal val="0"/>
          <c:showCatName val="0"/>
          <c:showSerName val="0"/>
          <c:showPercent val="0"/>
          <c:showBubbleSize val="0"/>
        </c:dLbls>
        <c:axId val="1582348208"/>
        <c:axId val="1582344400"/>
      </c:scatterChart>
      <c:valAx>
        <c:axId val="1582348208"/>
        <c:scaling>
          <c:orientation val="minMax"/>
          <c:max val="800"/>
          <c:min val="0"/>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de-DE" sz="1000">
                    <a:solidFill>
                      <a:schemeClr val="tx1"/>
                    </a:solidFill>
                  </a:rPr>
                  <a:t>Sediment TP (</a:t>
                </a:r>
                <a:r>
                  <a:rPr lang="de-DE" sz="1000" baseline="0">
                    <a:solidFill>
                      <a:schemeClr val="tx1"/>
                    </a:solidFill>
                  </a:rPr>
                  <a:t>mg L</a:t>
                </a:r>
                <a:r>
                  <a:rPr lang="de-DE" sz="1000" baseline="30000">
                    <a:solidFill>
                      <a:schemeClr val="tx1"/>
                    </a:solidFill>
                  </a:rPr>
                  <a:t>-1</a:t>
                </a:r>
                <a:r>
                  <a:rPr lang="de-DE" sz="1000" b="0" i="0" u="none" strike="noStrike" baseline="0">
                    <a:effectLst/>
                  </a:rPr>
                  <a:t>)</a:t>
                </a:r>
                <a:endParaRPr lang="de-DE" sz="1000" baseline="30000">
                  <a:solidFill>
                    <a:schemeClr val="tx1"/>
                  </a:solidFill>
                </a:endParaRPr>
              </a:p>
            </c:rich>
          </c:tx>
          <c:layout>
            <c:manualLayout>
              <c:xMode val="edge"/>
              <c:yMode val="edge"/>
              <c:x val="0.46247972452753544"/>
              <c:y val="0.9240452220762241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1582344400"/>
        <c:crosses val="autoZero"/>
        <c:crossBetween val="midCat"/>
      </c:valAx>
      <c:valAx>
        <c:axId val="158234440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de-DE" sz="1000">
                    <a:solidFill>
                      <a:schemeClr val="tx1"/>
                    </a:solidFill>
                  </a:rPr>
                  <a:t>SRP flux (mg</a:t>
                </a:r>
                <a:r>
                  <a:rPr lang="de-DE" sz="1000" baseline="0">
                    <a:solidFill>
                      <a:schemeClr val="tx1"/>
                    </a:solidFill>
                  </a:rPr>
                  <a:t> m-</a:t>
                </a:r>
                <a:r>
                  <a:rPr lang="de-DE" sz="1000" baseline="30000">
                    <a:solidFill>
                      <a:schemeClr val="tx1"/>
                    </a:solidFill>
                  </a:rPr>
                  <a:t>2</a:t>
                </a:r>
                <a:r>
                  <a:rPr lang="de-DE" sz="1000" baseline="0">
                    <a:solidFill>
                      <a:schemeClr val="tx1"/>
                    </a:solidFill>
                  </a:rPr>
                  <a:t> day</a:t>
                </a:r>
                <a:r>
                  <a:rPr lang="de-DE" sz="1000" baseline="30000">
                    <a:solidFill>
                      <a:schemeClr val="tx1"/>
                    </a:solidFill>
                  </a:rPr>
                  <a:t>-1</a:t>
                </a:r>
                <a:r>
                  <a:rPr lang="de-DE" sz="1000" baseline="0">
                    <a:solidFill>
                      <a:schemeClr val="tx1"/>
                    </a:solidFill>
                  </a:rPr>
                  <a:t>)</a:t>
                </a:r>
                <a:endParaRPr lang="de-DE" sz="1000" baseline="30000">
                  <a:solidFill>
                    <a:schemeClr val="tx1"/>
                  </a:solidFill>
                </a:endParaRPr>
              </a:p>
            </c:rich>
          </c:tx>
          <c:layout>
            <c:manualLayout>
              <c:xMode val="edge"/>
              <c:yMode val="edge"/>
              <c:x val="6.3043287993411093E-2"/>
              <c:y val="0.2328319951634644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1582348208"/>
        <c:crosses val="autoZero"/>
        <c:crossBetween val="midCat"/>
        <c:majorUnit val="1"/>
      </c:valAx>
      <c:spPr>
        <a:noFill/>
        <a:ln w="9525">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335</Words>
  <Characters>1913</Characters>
  <Application>Microsoft Office Word</Application>
  <DocSecurity>0</DocSecurity>
  <Lines>15</Lines>
  <Paragraphs>4</Paragraphs>
  <ScaleCrop>false</ScaleCrop>
  <Company/>
  <LinksUpToDate>false</LinksUpToDate>
  <CharactersWithSpaces>2244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Sandhya Rajagopal</dc:creator>
  <cp:keywords/>
  <dc:description/>
  <cp:lastModifiedBy>Sandhya Rajagopal</cp:lastModifiedBy>
  <cp:revision>2</cp:revision>
  <dcterms:created xsi:type="dcterms:W3CDTF">2025-10-11T14:56:00Z</dcterms:created>
  <dcterms:modified xsi:type="dcterms:W3CDTF">2025-10-11T14:56:00Z</dcterms:modified>
</cp:coreProperties>
</file>