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A90" w:rsidRDefault="00F40A90" w:rsidP="00F40A90">
      <w:pPr>
        <w:spacing w:line="360" w:lineRule="auto"/>
        <w:jc w:val="both"/>
        <w:rPr>
          <w:rFonts w:eastAsiaTheme="minorEastAsia" w:cs="Times New Roman"/>
          <w:sz w:val="24"/>
          <w:szCs w:val="24"/>
          <w:lang w:val="en-GB" w:eastAsia="en-GB"/>
        </w:rPr>
      </w:pPr>
      <w:r w:rsidRPr="00240B41">
        <w:rPr>
          <w:rFonts w:eastAsiaTheme="minorEastAsia" w:cs="Times New Roman"/>
          <w:b/>
          <w:sz w:val="24"/>
          <w:szCs w:val="24"/>
          <w:lang w:val="en-GB" w:eastAsia="en-GB"/>
        </w:rPr>
        <w:t xml:space="preserve">Supplementary </w:t>
      </w:r>
      <w:r w:rsidR="00D205D3">
        <w:rPr>
          <w:rFonts w:eastAsiaTheme="minorEastAsia" w:cs="Times New Roman"/>
          <w:b/>
          <w:sz w:val="24"/>
          <w:szCs w:val="24"/>
          <w:lang w:val="en-GB" w:eastAsia="en-GB"/>
        </w:rPr>
        <w:t>Table 3</w:t>
      </w:r>
      <w:bookmarkStart w:id="0" w:name="_GoBack"/>
      <w:bookmarkEnd w:id="0"/>
      <w:r w:rsidRPr="00240B41">
        <w:rPr>
          <w:rFonts w:eastAsiaTheme="minorEastAsia" w:cs="Times New Roman"/>
          <w:b/>
          <w:sz w:val="24"/>
          <w:szCs w:val="24"/>
          <w:lang w:val="en-GB" w:eastAsia="en-GB"/>
        </w:rPr>
        <w:t>:</w:t>
      </w:r>
      <w:r w:rsidRPr="00240B41">
        <w:rPr>
          <w:rFonts w:eastAsiaTheme="minorEastAsia" w:cs="Times New Roman"/>
          <w:sz w:val="24"/>
          <w:szCs w:val="24"/>
          <w:lang w:val="en-GB" w:eastAsia="en-GB"/>
        </w:rPr>
        <w:t xml:space="preserve"> </w:t>
      </w:r>
      <w:r w:rsidRPr="00154938">
        <w:rPr>
          <w:rFonts w:eastAsiaTheme="minorEastAsia" w:cs="Times New Roman"/>
          <w:b/>
          <w:sz w:val="24"/>
          <w:szCs w:val="24"/>
          <w:lang w:val="en-GB" w:eastAsia="en-GB"/>
        </w:rPr>
        <w:t>Urine amino acids measured in patients 1 and 5 by ion exchange chromatography.</w:t>
      </w:r>
    </w:p>
    <w:tbl>
      <w:tblPr>
        <w:tblStyle w:val="ListTable31"/>
        <w:tblW w:w="5000" w:type="pct"/>
        <w:tblLook w:val="04A0" w:firstRow="1" w:lastRow="0" w:firstColumn="1" w:lastColumn="0" w:noHBand="0" w:noVBand="1"/>
      </w:tblPr>
      <w:tblGrid>
        <w:gridCol w:w="1551"/>
        <w:gridCol w:w="1551"/>
        <w:gridCol w:w="1551"/>
        <w:gridCol w:w="1551"/>
        <w:gridCol w:w="1554"/>
        <w:gridCol w:w="1554"/>
        <w:gridCol w:w="1551"/>
        <w:gridCol w:w="1545"/>
        <w:gridCol w:w="1540"/>
      </w:tblGrid>
      <w:tr w:rsidR="00F40A90" w:rsidRPr="00F40A90" w:rsidTr="00D439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p>
        </w:tc>
        <w:tc>
          <w:tcPr>
            <w:tcW w:w="556"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Patient 1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6"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Reference range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6"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Patient 1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7"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Reference range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7"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Patient 5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6"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Reference range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4"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Patient 6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c>
          <w:tcPr>
            <w:tcW w:w="552" w:type="pct"/>
          </w:tcPr>
          <w:p w:rsidR="00F40A90" w:rsidRPr="00F40A90" w:rsidRDefault="00F40A90" w:rsidP="00D439C5">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Reference range (µ</w:t>
            </w:r>
            <w:proofErr w:type="spellStart"/>
            <w:r w:rsidRPr="00F40A90">
              <w:rPr>
                <w:rFonts w:ascii="Calibri" w:eastAsia="Calibri" w:hAnsi="Calibri" w:cs="Times New Roman"/>
                <w:lang w:val="en-GB"/>
              </w:rPr>
              <w:t>mol</w:t>
            </w:r>
            <w:proofErr w:type="spellEnd"/>
            <w:r w:rsidRPr="00F40A90">
              <w:rPr>
                <w:rFonts w:ascii="Calibri" w:eastAsia="Calibri" w:hAnsi="Calibri" w:cs="Times New Roman"/>
                <w:lang w:val="en-GB"/>
              </w:rPr>
              <w:t>/</w:t>
            </w:r>
            <w:proofErr w:type="spellStart"/>
            <w:r w:rsidRPr="00F40A90">
              <w:rPr>
                <w:rFonts w:ascii="Calibri" w:eastAsia="Calibri" w:hAnsi="Calibri" w:cs="Times New Roman"/>
                <w:lang w:val="en-GB"/>
              </w:rPr>
              <w:t>mmol</w:t>
            </w:r>
            <w:proofErr w:type="spellEnd"/>
            <w:r w:rsidRPr="00F40A90">
              <w:rPr>
                <w:rFonts w:ascii="Calibri" w:eastAsia="Calibri" w:hAnsi="Calibri" w:cs="Times New Roman"/>
                <w:lang w:val="en-GB"/>
              </w:rPr>
              <w:t xml:space="preserve"> creatinine)</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r w:rsidRPr="00F40A90">
              <w:rPr>
                <w:rFonts w:ascii="Calibri" w:eastAsia="Calibri" w:hAnsi="Calibri" w:cs="Times New Roman"/>
                <w:b/>
                <w:lang w:val="en-GB"/>
              </w:rPr>
              <w:t>2 months 21 days</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r w:rsidRPr="00F40A90">
              <w:rPr>
                <w:rFonts w:ascii="Calibri" w:eastAsia="Calibri" w:hAnsi="Calibri" w:cs="Times New Roman"/>
                <w:b/>
                <w:lang w:val="en-GB"/>
              </w:rPr>
              <w:t>2 years 1 month 20 days</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r w:rsidRPr="00F40A90">
              <w:rPr>
                <w:rFonts w:ascii="Calibri" w:eastAsia="Calibri" w:hAnsi="Calibri" w:cs="Times New Roman"/>
                <w:b/>
                <w:lang w:val="en-GB"/>
              </w:rPr>
              <w:t>4 years 6 months 22 days</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p>
        </w:tc>
        <w:tc>
          <w:tcPr>
            <w:tcW w:w="554"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r w:rsidRPr="00F40A90">
              <w:rPr>
                <w:rFonts w:ascii="Calibri" w:eastAsia="Calibri" w:hAnsi="Calibri" w:cs="Times New Roman"/>
                <w:b/>
                <w:lang w:val="en-GB"/>
              </w:rPr>
              <w:t>10 months 0 days</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lang w:val="en-GB"/>
              </w:rPr>
            </w:pP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Glycine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1190</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300 – 950</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374</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250 – 626</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277</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100 – 400</w:t>
            </w:r>
          </w:p>
        </w:tc>
        <w:tc>
          <w:tcPr>
            <w:tcW w:w="554"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1326</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40 – 616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Serine</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316</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25 – 95</w:t>
            </w:r>
          </w:p>
        </w:tc>
        <w:tc>
          <w:tcPr>
            <w:tcW w:w="556" w:type="pct"/>
            <w:shd w:val="clear" w:color="auto" w:fill="B6DDE8"/>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19</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20 – 100</w:t>
            </w:r>
          </w:p>
        </w:tc>
        <w:tc>
          <w:tcPr>
            <w:tcW w:w="557"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67</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20 – 50</w:t>
            </w:r>
          </w:p>
        </w:tc>
        <w:tc>
          <w:tcPr>
            <w:tcW w:w="554" w:type="pct"/>
            <w:shd w:val="clear" w:color="auto" w:fill="B6DDE8"/>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8</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30 – 191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Threonine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147</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45</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19</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45</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39</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25</w:t>
            </w:r>
          </w:p>
        </w:tc>
        <w:tc>
          <w:tcPr>
            <w:tcW w:w="554"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736</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9 – 100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Proline</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719</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110</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0 – 3</w:t>
            </w:r>
          </w:p>
        </w:tc>
        <w:tc>
          <w:tcPr>
            <w:tcW w:w="557"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0 – 3</w:t>
            </w:r>
          </w:p>
        </w:tc>
        <w:tc>
          <w:tcPr>
            <w:tcW w:w="554"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104</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34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Leucine</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17</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20</w:t>
            </w:r>
          </w:p>
        </w:tc>
        <w:tc>
          <w:tcPr>
            <w:tcW w:w="556" w:type="pct"/>
            <w:shd w:val="clear" w:color="auto" w:fill="B6DDE8"/>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 – 10</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9</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 – 10</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3 – 21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Isoleucine</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9</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40</w:t>
            </w:r>
          </w:p>
        </w:tc>
        <w:tc>
          <w:tcPr>
            <w:tcW w:w="556" w:type="pct"/>
            <w:shd w:val="clear" w:color="auto" w:fill="B6DDE8"/>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&lt;1</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10</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 – 10</w:t>
            </w:r>
          </w:p>
        </w:tc>
        <w:tc>
          <w:tcPr>
            <w:tcW w:w="554"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21</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10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Valine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13</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10</w:t>
            </w:r>
          </w:p>
        </w:tc>
        <w:tc>
          <w:tcPr>
            <w:tcW w:w="556" w:type="pct"/>
            <w:shd w:val="clear" w:color="auto" w:fill="B6DDE8"/>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&lt;1</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8</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12</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8</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4 – 32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Alanine</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382</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130</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68</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80</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60</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20 – 80</w:t>
            </w:r>
          </w:p>
        </w:tc>
        <w:tc>
          <w:tcPr>
            <w:tcW w:w="554"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1212</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34 – 189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Glutamine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363</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40 – 120</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76</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120</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146</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120</w:t>
            </w:r>
          </w:p>
        </w:tc>
        <w:tc>
          <w:tcPr>
            <w:tcW w:w="554"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1299</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28 – 253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Arginine</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15</w:t>
            </w:r>
          </w:p>
        </w:tc>
        <w:tc>
          <w:tcPr>
            <w:tcW w:w="556" w:type="pct"/>
            <w:shd w:val="clear" w:color="auto" w:fill="B6DDE8"/>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&lt;1</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20</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10</w:t>
            </w:r>
          </w:p>
        </w:tc>
        <w:tc>
          <w:tcPr>
            <w:tcW w:w="554"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19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Ornithine</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14</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15</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10</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10</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30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Lysine</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172</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20</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27</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30</w:t>
            </w:r>
          </w:p>
        </w:tc>
        <w:tc>
          <w:tcPr>
            <w:tcW w:w="557"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76</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30</w:t>
            </w:r>
          </w:p>
        </w:tc>
        <w:tc>
          <w:tcPr>
            <w:tcW w:w="554"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221</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182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proofErr w:type="spellStart"/>
            <w:r w:rsidRPr="00F40A90">
              <w:rPr>
                <w:rFonts w:ascii="Calibri" w:eastAsia="Calibri" w:hAnsi="Calibri" w:cs="Times New Roman"/>
                <w:lang w:val="en-GB"/>
              </w:rPr>
              <w:t>Cystine</w:t>
            </w:r>
            <w:proofErr w:type="spellEnd"/>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24</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35</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12</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25</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13</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20</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17</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36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Methionine</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11</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 – 15</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9</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 – 10</w:t>
            </w:r>
          </w:p>
        </w:tc>
        <w:tc>
          <w:tcPr>
            <w:tcW w:w="554"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19</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20</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Taurine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607</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55</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147</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30 – 105</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429</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40 – 200</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Phenylalanine</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17</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20</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17</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15</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15</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 – 15</w:t>
            </w:r>
          </w:p>
        </w:tc>
        <w:tc>
          <w:tcPr>
            <w:tcW w:w="554"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40</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5 – 37 </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Tyrosine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51</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30</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25</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15</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25</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 – 20</w:t>
            </w:r>
          </w:p>
        </w:tc>
        <w:tc>
          <w:tcPr>
            <w:tcW w:w="554"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128</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10 – 72 </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Tryptophan</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16</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 – 15</w:t>
            </w:r>
          </w:p>
        </w:tc>
        <w:tc>
          <w:tcPr>
            <w:tcW w:w="556" w:type="pct"/>
            <w:shd w:val="clear" w:color="auto" w:fill="B6DDE8"/>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&lt;1</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 – 5</w:t>
            </w:r>
          </w:p>
        </w:tc>
        <w:tc>
          <w:tcPr>
            <w:tcW w:w="557"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 – 6</w:t>
            </w:r>
          </w:p>
        </w:tc>
        <w:tc>
          <w:tcPr>
            <w:tcW w:w="554"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Histidine</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314</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50 – 155</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203</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100 – 300</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139</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100 – 300</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r>
      <w:tr w:rsidR="00F40A90" w:rsidRPr="00F40A90" w:rsidTr="00D439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Aspartate</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105</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45</w:t>
            </w:r>
          </w:p>
        </w:tc>
        <w:tc>
          <w:tcPr>
            <w:tcW w:w="556"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50</w:t>
            </w:r>
          </w:p>
        </w:tc>
        <w:tc>
          <w:tcPr>
            <w:tcW w:w="557"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10 - 35</w:t>
            </w:r>
          </w:p>
        </w:tc>
        <w:tc>
          <w:tcPr>
            <w:tcW w:w="557" w:type="pct"/>
            <w:shd w:val="clear" w:color="auto" w:fill="FBD4B4"/>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39</w:t>
            </w:r>
          </w:p>
        </w:tc>
        <w:tc>
          <w:tcPr>
            <w:tcW w:w="556"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 – 30</w:t>
            </w:r>
          </w:p>
        </w:tc>
        <w:tc>
          <w:tcPr>
            <w:tcW w:w="554"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c>
          <w:tcPr>
            <w:tcW w:w="552" w:type="pct"/>
          </w:tcPr>
          <w:p w:rsidR="00F40A90" w:rsidRPr="00F40A90" w:rsidRDefault="00F40A90" w:rsidP="00D439C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w:t>
            </w:r>
          </w:p>
        </w:tc>
      </w:tr>
      <w:tr w:rsidR="00F40A90" w:rsidRPr="00F40A90" w:rsidTr="00D439C5">
        <w:tc>
          <w:tcPr>
            <w:cnfStyle w:val="001000000000" w:firstRow="0" w:lastRow="0" w:firstColumn="1" w:lastColumn="0" w:oddVBand="0" w:evenVBand="0" w:oddHBand="0" w:evenHBand="0" w:firstRowFirstColumn="0" w:firstRowLastColumn="0" w:lastRowFirstColumn="0" w:lastRowLastColumn="0"/>
            <w:tcW w:w="556" w:type="pct"/>
          </w:tcPr>
          <w:p w:rsidR="00F40A90" w:rsidRPr="00F40A90" w:rsidRDefault="00F40A90" w:rsidP="00D439C5">
            <w:pPr>
              <w:spacing w:after="0" w:line="240" w:lineRule="auto"/>
              <w:jc w:val="center"/>
              <w:rPr>
                <w:rFonts w:ascii="Calibri" w:eastAsia="Calibri" w:hAnsi="Calibri" w:cs="Times New Roman"/>
                <w:lang w:val="en-GB"/>
              </w:rPr>
            </w:pPr>
            <w:r w:rsidRPr="00F40A90">
              <w:rPr>
                <w:rFonts w:ascii="Calibri" w:eastAsia="Calibri" w:hAnsi="Calibri" w:cs="Times New Roman"/>
                <w:lang w:val="en-GB"/>
              </w:rPr>
              <w:t>Glutamate</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14</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 – 15</w:t>
            </w:r>
          </w:p>
        </w:tc>
        <w:tc>
          <w:tcPr>
            <w:tcW w:w="556"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24</w:t>
            </w:r>
          </w:p>
        </w:tc>
        <w:tc>
          <w:tcPr>
            <w:tcW w:w="557"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0 - 3</w:t>
            </w:r>
          </w:p>
        </w:tc>
        <w:tc>
          <w:tcPr>
            <w:tcW w:w="557" w:type="pct"/>
            <w:shd w:val="clear" w:color="auto" w:fill="FBD4B4"/>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10</w:t>
            </w:r>
          </w:p>
        </w:tc>
        <w:tc>
          <w:tcPr>
            <w:tcW w:w="556"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0 - 3</w:t>
            </w:r>
          </w:p>
        </w:tc>
        <w:tc>
          <w:tcPr>
            <w:tcW w:w="554"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59</w:t>
            </w:r>
          </w:p>
        </w:tc>
        <w:tc>
          <w:tcPr>
            <w:tcW w:w="552" w:type="pct"/>
          </w:tcPr>
          <w:p w:rsidR="00F40A90" w:rsidRPr="00F40A90" w:rsidRDefault="00F40A90" w:rsidP="00D439C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lang w:val="en-GB"/>
              </w:rPr>
            </w:pPr>
            <w:r w:rsidRPr="00F40A90">
              <w:rPr>
                <w:rFonts w:ascii="Calibri" w:eastAsia="Calibri" w:hAnsi="Calibri" w:cs="Times New Roman"/>
                <w:lang w:val="en-GB"/>
              </w:rPr>
              <w:t xml:space="preserve">0 – 69 </w:t>
            </w:r>
          </w:p>
        </w:tc>
      </w:tr>
    </w:tbl>
    <w:p w:rsidR="009872AF" w:rsidRDefault="00F40A90">
      <w:r w:rsidRPr="00240B41">
        <w:rPr>
          <w:rFonts w:eastAsiaTheme="minorEastAsia" w:cs="Times New Roman"/>
          <w:sz w:val="24"/>
          <w:szCs w:val="24"/>
          <w:lang w:val="en-GB" w:eastAsia="en-GB"/>
        </w:rPr>
        <w:lastRenderedPageBreak/>
        <w:t>Amino acid concentrations elevated above the reference range are shown in orange and those below the reference range are shown in blue. Appropriate reference range employed at the time of analysis are shown adjacent to each result. * Not quantified at this time.</w:t>
      </w:r>
    </w:p>
    <w:sectPr w:rsidR="009872AF" w:rsidSect="00F40A9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A90"/>
    <w:rsid w:val="009872AF"/>
    <w:rsid w:val="00D205D3"/>
    <w:rsid w:val="00D439C5"/>
    <w:rsid w:val="00F40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97FF70-B1CA-498F-985B-B26D1F86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A9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31">
    <w:name w:val="List Table 31"/>
    <w:basedOn w:val="TableNormal"/>
    <w:uiPriority w:val="48"/>
    <w:rsid w:val="00F40A90"/>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FEDE0FC.dotm</Template>
  <TotalTime>0</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Reid</dc:creator>
  <cp:keywords/>
  <dc:description/>
  <cp:lastModifiedBy>Peter Clayton</cp:lastModifiedBy>
  <cp:revision>3</cp:revision>
  <dcterms:created xsi:type="dcterms:W3CDTF">2016-08-16T20:27:00Z</dcterms:created>
  <dcterms:modified xsi:type="dcterms:W3CDTF">2017-01-04T11:56:00Z</dcterms:modified>
</cp:coreProperties>
</file>