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60D" w:rsidRPr="0020360D" w:rsidRDefault="0020360D" w:rsidP="0020360D">
      <w:pPr>
        <w:keepNext/>
        <w:keepLines/>
        <w:spacing w:after="0" w:line="240" w:lineRule="auto"/>
        <w:jc w:val="both"/>
        <w:rPr>
          <w:rFonts w:ascii="Arial" w:eastAsia="Arial" w:hAnsi="Arial" w:cs="Arial"/>
          <w:color w:val="000000" w:themeColor="text1"/>
          <w:sz w:val="20"/>
          <w:szCs w:val="20"/>
          <w:lang w:val="en-US"/>
        </w:rPr>
      </w:pPr>
    </w:p>
    <w:p w:rsidR="0020360D" w:rsidRPr="0020360D" w:rsidRDefault="0020360D" w:rsidP="0020360D">
      <w:pPr>
        <w:keepNext/>
        <w:keepLines/>
        <w:spacing w:line="360" w:lineRule="auto"/>
        <w:jc w:val="both"/>
        <w:rPr>
          <w:rFonts w:ascii="Arial" w:eastAsia="Arial" w:hAnsi="Arial" w:cs="Arial"/>
          <w:b/>
          <w:color w:val="000000" w:themeColor="text1"/>
          <w:sz w:val="20"/>
          <w:szCs w:val="20"/>
          <w:lang w:val="en-US"/>
        </w:rPr>
      </w:pPr>
      <w:r w:rsidRPr="0020360D">
        <w:rPr>
          <w:rFonts w:ascii="Arial" w:eastAsia="Arial" w:hAnsi="Arial" w:cs="Arial"/>
          <w:b/>
          <w:color w:val="000000" w:themeColor="text1"/>
          <w:sz w:val="20"/>
          <w:szCs w:val="20"/>
          <w:lang w:val="en-US"/>
        </w:rPr>
        <w:t>SUPPLEMENTARY DATA</w:t>
      </w:r>
    </w:p>
    <w:p w:rsidR="0020360D" w:rsidRPr="0020360D" w:rsidRDefault="0020360D" w:rsidP="0020360D">
      <w:pPr>
        <w:keepLines/>
        <w:spacing w:after="0" w:line="360" w:lineRule="auto"/>
        <w:jc w:val="both"/>
        <w:rPr>
          <w:rFonts w:ascii="Arial" w:eastAsia="Arial" w:hAnsi="Arial" w:cs="Arial"/>
          <w:color w:val="000000" w:themeColor="text1"/>
          <w:sz w:val="20"/>
          <w:szCs w:val="20"/>
          <w:lang w:val="en-US"/>
        </w:rPr>
      </w:pPr>
    </w:p>
    <w:p w:rsidR="0020360D" w:rsidRPr="0020360D" w:rsidRDefault="0020360D" w:rsidP="0020360D">
      <w:pPr>
        <w:keepNext/>
        <w:keepLines/>
        <w:spacing w:line="360" w:lineRule="auto"/>
        <w:jc w:val="both"/>
        <w:rPr>
          <w:rFonts w:ascii="Arial" w:eastAsia="Arial" w:hAnsi="Arial" w:cs="Arial"/>
          <w:color w:val="000000" w:themeColor="text1"/>
          <w:sz w:val="20"/>
          <w:szCs w:val="20"/>
          <w:lang w:val="en-US"/>
        </w:rPr>
      </w:pPr>
      <w:r w:rsidRPr="0020360D">
        <w:rPr>
          <w:rFonts w:ascii="Arial" w:eastAsia="Arial" w:hAnsi="Arial" w:cs="Arial"/>
          <w:b/>
          <w:color w:val="000000" w:themeColor="text1"/>
          <w:sz w:val="20"/>
          <w:szCs w:val="20"/>
          <w:lang w:val="en-US"/>
        </w:rPr>
        <w:t>1. ANOVA statistics</w:t>
      </w:r>
    </w:p>
    <w:p w:rsidR="0020360D" w:rsidRPr="0020360D" w:rsidRDefault="0020360D" w:rsidP="0020360D">
      <w:pPr>
        <w:keepLines/>
        <w:spacing w:line="360" w:lineRule="auto"/>
        <w:jc w:val="both"/>
        <w:rPr>
          <w:rFonts w:ascii="Arial" w:eastAsia="Arial" w:hAnsi="Arial" w:cs="Arial"/>
          <w:color w:val="000000" w:themeColor="text1"/>
          <w:sz w:val="20"/>
          <w:szCs w:val="20"/>
          <w:lang w:val="en-US"/>
        </w:rPr>
      </w:pPr>
      <w:r w:rsidRPr="0020360D">
        <w:rPr>
          <w:rFonts w:ascii="Arial" w:eastAsia="Arial" w:hAnsi="Arial" w:cs="Arial"/>
          <w:color w:val="000000" w:themeColor="text1"/>
          <w:sz w:val="20"/>
          <w:szCs w:val="20"/>
          <w:lang w:val="en-US"/>
        </w:rPr>
        <w:t>Table S1 shows the details of the ANOVA tests for the quantities GFP peaks per second (PPS), mean microstate duration (MM</w:t>
      </w:r>
      <w:bookmarkStart w:id="0" w:name="_GoBack"/>
      <w:bookmarkEnd w:id="0"/>
      <w:r w:rsidRPr="0020360D">
        <w:rPr>
          <w:rFonts w:ascii="Arial" w:eastAsia="Arial" w:hAnsi="Arial" w:cs="Arial"/>
          <w:color w:val="000000" w:themeColor="text1"/>
          <w:sz w:val="20"/>
          <w:szCs w:val="20"/>
          <w:lang w:val="en-US"/>
        </w:rPr>
        <w:t>D) and global explained variance (GEV).</w:t>
      </w:r>
    </w:p>
    <w:tbl>
      <w:tblPr>
        <w:tblStyle w:val="3"/>
        <w:tblW w:w="47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
        <w:gridCol w:w="935"/>
        <w:gridCol w:w="940"/>
        <w:gridCol w:w="935"/>
        <w:gridCol w:w="945"/>
      </w:tblGrid>
      <w:tr w:rsidR="0020360D" w:rsidRPr="0020360D" w:rsidTr="002B7B14">
        <w:trPr>
          <w:cantSplit/>
        </w:trPr>
        <w:tc>
          <w:tcPr>
            <w:tcW w:w="4821" w:type="dxa"/>
            <w:gridSpan w:val="5"/>
            <w:tcBorders>
              <w:top w:val="nil"/>
              <w:left w:val="nil"/>
              <w:right w:val="nil"/>
            </w:tcBorders>
            <w:shd w:val="clear" w:color="auto" w:fill="auto"/>
          </w:tcPr>
          <w:p w:rsidR="0020360D" w:rsidRPr="0020360D" w:rsidRDefault="0020360D" w:rsidP="002B7B14">
            <w:pPr>
              <w:keepLines/>
              <w:spacing w:after="0" w:line="240" w:lineRule="auto"/>
              <w:jc w:val="both"/>
              <w:rPr>
                <w:rFonts w:ascii="Arial" w:eastAsia="Arial" w:hAnsi="Arial" w:cs="Arial"/>
                <w:color w:val="000000" w:themeColor="text1"/>
                <w:sz w:val="20"/>
                <w:szCs w:val="20"/>
              </w:rPr>
            </w:pPr>
            <w:r w:rsidRPr="0020360D">
              <w:rPr>
                <w:rFonts w:ascii="Arial" w:eastAsia="Arial" w:hAnsi="Arial" w:cs="Arial"/>
                <w:color w:val="000000" w:themeColor="text1"/>
                <w:sz w:val="20"/>
                <w:szCs w:val="20"/>
              </w:rPr>
              <w:t>Table S1</w:t>
            </w:r>
          </w:p>
          <w:p w:rsidR="0020360D" w:rsidRPr="0020360D" w:rsidRDefault="0020360D" w:rsidP="002B7B14">
            <w:pPr>
              <w:keepLines/>
              <w:spacing w:after="0" w:line="240" w:lineRule="auto"/>
              <w:jc w:val="both"/>
              <w:rPr>
                <w:color w:val="000000" w:themeColor="text1"/>
              </w:rPr>
            </w:pPr>
            <w:r w:rsidRPr="0020360D">
              <w:rPr>
                <w:rFonts w:ascii="Arial" w:eastAsia="Arial" w:hAnsi="Arial" w:cs="Arial"/>
                <w:color w:val="000000" w:themeColor="text1"/>
                <w:sz w:val="20"/>
                <w:szCs w:val="20"/>
              </w:rPr>
              <w:t>One-way ANOVA results: Statistical differences between vigilance states (PPS, MMD) and between microstate maps (GEV).</w:t>
            </w:r>
          </w:p>
        </w:tc>
      </w:tr>
      <w:tr w:rsidR="0020360D" w:rsidRPr="0020360D" w:rsidTr="002B7B14">
        <w:trPr>
          <w:cantSplit/>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p>
        </w:tc>
        <w:tc>
          <w:tcPr>
            <w:tcW w:w="946" w:type="dxa"/>
            <w:tcBorders>
              <w:left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dfc</w:t>
            </w:r>
          </w:p>
        </w:tc>
        <w:tc>
          <w:tcPr>
            <w:tcW w:w="951" w:type="dxa"/>
            <w:tcBorders>
              <w:left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dfe</w:t>
            </w:r>
          </w:p>
        </w:tc>
        <w:tc>
          <w:tcPr>
            <w:tcW w:w="946" w:type="dxa"/>
            <w:tcBorders>
              <w:left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F-ratio</w:t>
            </w:r>
          </w:p>
        </w:tc>
        <w:tc>
          <w:tcPr>
            <w:tcW w:w="956" w:type="dxa"/>
            <w:tcBorders>
              <w:left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p value</w:t>
            </w:r>
          </w:p>
        </w:tc>
      </w:tr>
      <w:tr w:rsidR="0020360D" w:rsidRPr="0020360D" w:rsidTr="002B7B14">
        <w:trPr>
          <w:cantSplit/>
          <w:trHeight w:val="276"/>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PPS</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111</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197.4</w:t>
            </w:r>
          </w:p>
        </w:tc>
        <w:tc>
          <w:tcPr>
            <w:tcW w:w="95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&lt; 0.001</w:t>
            </w:r>
          </w:p>
        </w:tc>
      </w:tr>
      <w:tr w:rsidR="0020360D" w:rsidRPr="0020360D" w:rsidTr="002B7B14">
        <w:trPr>
          <w:cantSplit/>
          <w:trHeight w:val="276"/>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MMD</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111</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291.0</w:t>
            </w:r>
          </w:p>
        </w:tc>
        <w:tc>
          <w:tcPr>
            <w:tcW w:w="95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&lt; 0.001</w:t>
            </w:r>
          </w:p>
        </w:tc>
      </w:tr>
      <w:tr w:rsidR="0020360D" w:rsidRPr="0020360D" w:rsidTr="002B7B14">
        <w:trPr>
          <w:cantSplit/>
          <w:trHeight w:val="270"/>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MMD</w:t>
            </w:r>
            <w:r w:rsidRPr="0020360D">
              <w:rPr>
                <w:rFonts w:ascii="Arial" w:eastAsia="Arial" w:hAnsi="Arial" w:cs="Arial"/>
                <w:color w:val="000000" w:themeColor="text1"/>
                <w:sz w:val="20"/>
                <w:szCs w:val="20"/>
                <w:vertAlign w:val="subscript"/>
              </w:rPr>
              <w:t>A</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111</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187.9</w:t>
            </w:r>
          </w:p>
        </w:tc>
        <w:tc>
          <w:tcPr>
            <w:tcW w:w="95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&lt; 0.001</w:t>
            </w:r>
          </w:p>
        </w:tc>
      </w:tr>
      <w:tr w:rsidR="0020360D" w:rsidRPr="0020360D" w:rsidTr="002B7B14">
        <w:trPr>
          <w:cantSplit/>
          <w:trHeight w:val="270"/>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MMD</w:t>
            </w:r>
            <w:r w:rsidRPr="0020360D">
              <w:rPr>
                <w:rFonts w:ascii="Arial" w:eastAsia="Arial" w:hAnsi="Arial" w:cs="Arial"/>
                <w:color w:val="000000" w:themeColor="text1"/>
                <w:sz w:val="20"/>
                <w:szCs w:val="20"/>
                <w:vertAlign w:val="subscript"/>
              </w:rPr>
              <w:t>B</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111</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161.2</w:t>
            </w:r>
          </w:p>
        </w:tc>
        <w:tc>
          <w:tcPr>
            <w:tcW w:w="95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&lt; 0.001</w:t>
            </w:r>
          </w:p>
        </w:tc>
      </w:tr>
      <w:tr w:rsidR="0020360D" w:rsidRPr="0020360D" w:rsidTr="002B7B14">
        <w:trPr>
          <w:cantSplit/>
          <w:trHeight w:val="270"/>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MMD</w:t>
            </w:r>
            <w:r w:rsidRPr="0020360D">
              <w:rPr>
                <w:rFonts w:ascii="Arial" w:eastAsia="Arial" w:hAnsi="Arial" w:cs="Arial"/>
                <w:color w:val="000000" w:themeColor="text1"/>
                <w:sz w:val="20"/>
                <w:szCs w:val="20"/>
                <w:vertAlign w:val="subscript"/>
              </w:rPr>
              <w:t>C</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111</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154.7</w:t>
            </w:r>
          </w:p>
        </w:tc>
        <w:tc>
          <w:tcPr>
            <w:tcW w:w="95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&lt; 0.001</w:t>
            </w:r>
          </w:p>
        </w:tc>
      </w:tr>
      <w:tr w:rsidR="0020360D" w:rsidRPr="0020360D" w:rsidTr="002B7B14">
        <w:trPr>
          <w:cantSplit/>
          <w:trHeight w:val="270"/>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MMD</w:t>
            </w:r>
            <w:r w:rsidRPr="0020360D">
              <w:rPr>
                <w:rFonts w:ascii="Arial" w:eastAsia="Arial" w:hAnsi="Arial" w:cs="Arial"/>
                <w:color w:val="000000" w:themeColor="text1"/>
                <w:sz w:val="20"/>
                <w:szCs w:val="20"/>
                <w:vertAlign w:val="subscript"/>
              </w:rPr>
              <w:t>D</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111</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205.5</w:t>
            </w:r>
          </w:p>
        </w:tc>
        <w:tc>
          <w:tcPr>
            <w:tcW w:w="95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&lt; 0.001</w:t>
            </w:r>
          </w:p>
        </w:tc>
      </w:tr>
      <w:tr w:rsidR="0020360D" w:rsidRPr="0020360D" w:rsidTr="002B7B14">
        <w:trPr>
          <w:cantSplit/>
          <w:trHeight w:val="270"/>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GEV</w:t>
            </w:r>
            <w:r w:rsidRPr="0020360D">
              <w:rPr>
                <w:rFonts w:ascii="Arial" w:eastAsia="Arial" w:hAnsi="Arial" w:cs="Arial"/>
                <w:color w:val="000000" w:themeColor="text1"/>
                <w:sz w:val="20"/>
                <w:szCs w:val="20"/>
                <w:vertAlign w:val="subscript"/>
              </w:rPr>
              <w:t>W</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124</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7.67</w:t>
            </w:r>
          </w:p>
        </w:tc>
        <w:tc>
          <w:tcPr>
            <w:tcW w:w="95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&lt; 0.001</w:t>
            </w:r>
          </w:p>
        </w:tc>
      </w:tr>
      <w:tr w:rsidR="0020360D" w:rsidRPr="0020360D" w:rsidTr="002B7B14">
        <w:trPr>
          <w:cantSplit/>
          <w:trHeight w:val="270"/>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GEV</w:t>
            </w:r>
            <w:r w:rsidRPr="0020360D">
              <w:rPr>
                <w:rFonts w:ascii="Arial" w:eastAsia="Arial" w:hAnsi="Arial" w:cs="Arial"/>
                <w:color w:val="000000" w:themeColor="text1"/>
                <w:sz w:val="20"/>
                <w:szCs w:val="20"/>
                <w:vertAlign w:val="subscript"/>
              </w:rPr>
              <w:t>N1</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124</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11.42</w:t>
            </w:r>
          </w:p>
        </w:tc>
        <w:tc>
          <w:tcPr>
            <w:tcW w:w="95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&lt; 0.001</w:t>
            </w:r>
          </w:p>
        </w:tc>
      </w:tr>
      <w:tr w:rsidR="0020360D" w:rsidRPr="0020360D" w:rsidTr="002B7B14">
        <w:trPr>
          <w:cantSplit/>
          <w:trHeight w:val="270"/>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GEV</w:t>
            </w:r>
            <w:r w:rsidRPr="0020360D">
              <w:rPr>
                <w:rFonts w:ascii="Arial" w:eastAsia="Arial" w:hAnsi="Arial" w:cs="Arial"/>
                <w:color w:val="000000" w:themeColor="text1"/>
                <w:sz w:val="20"/>
                <w:szCs w:val="20"/>
                <w:vertAlign w:val="subscript"/>
              </w:rPr>
              <w:t>N2</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124</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23.43</w:t>
            </w:r>
          </w:p>
        </w:tc>
        <w:tc>
          <w:tcPr>
            <w:tcW w:w="95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&lt; 0.001</w:t>
            </w:r>
          </w:p>
        </w:tc>
      </w:tr>
      <w:tr w:rsidR="0020360D" w:rsidRPr="0020360D" w:rsidTr="002B7B14">
        <w:trPr>
          <w:cantSplit/>
          <w:trHeight w:val="270"/>
        </w:trPr>
        <w:tc>
          <w:tcPr>
            <w:tcW w:w="1022"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GEV</w:t>
            </w:r>
            <w:r w:rsidRPr="0020360D">
              <w:rPr>
                <w:rFonts w:ascii="Arial" w:eastAsia="Arial" w:hAnsi="Arial" w:cs="Arial"/>
                <w:color w:val="000000" w:themeColor="text1"/>
                <w:sz w:val="20"/>
                <w:szCs w:val="20"/>
                <w:vertAlign w:val="subscript"/>
              </w:rPr>
              <w:t>N3</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72</w:t>
            </w:r>
          </w:p>
        </w:tc>
        <w:tc>
          <w:tcPr>
            <w:tcW w:w="94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15.60</w:t>
            </w:r>
          </w:p>
        </w:tc>
        <w:tc>
          <w:tcPr>
            <w:tcW w:w="956" w:type="dxa"/>
            <w:tcBorders>
              <w:top w:val="nil"/>
              <w:left w:val="nil"/>
              <w:bottom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&lt; 0.001</w:t>
            </w:r>
          </w:p>
        </w:tc>
      </w:tr>
      <w:tr w:rsidR="0020360D" w:rsidRPr="0020360D" w:rsidTr="002B7B14">
        <w:trPr>
          <w:cantSplit/>
          <w:trHeight w:val="270"/>
        </w:trPr>
        <w:tc>
          <w:tcPr>
            <w:tcW w:w="1022" w:type="dxa"/>
            <w:tcBorders>
              <w:top w:val="nil"/>
              <w:left w:val="nil"/>
              <w:right w:val="nil"/>
            </w:tcBorders>
            <w:shd w:val="clear" w:color="auto" w:fill="auto"/>
            <w:vAlign w:val="center"/>
          </w:tcPr>
          <w:p w:rsidR="0020360D" w:rsidRPr="0020360D" w:rsidRDefault="0020360D" w:rsidP="002B7B14">
            <w:pPr>
              <w:keepLines/>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GEV</w:t>
            </w:r>
            <w:r w:rsidRPr="0020360D">
              <w:rPr>
                <w:rFonts w:ascii="Arial" w:eastAsia="Arial" w:hAnsi="Arial" w:cs="Arial"/>
                <w:color w:val="000000" w:themeColor="text1"/>
                <w:sz w:val="20"/>
                <w:szCs w:val="20"/>
                <w:vertAlign w:val="subscript"/>
              </w:rPr>
              <w:t>SLS</w:t>
            </w:r>
          </w:p>
        </w:tc>
        <w:tc>
          <w:tcPr>
            <w:tcW w:w="946" w:type="dxa"/>
            <w:tcBorders>
              <w:top w:val="nil"/>
              <w:left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w:t>
            </w:r>
          </w:p>
        </w:tc>
        <w:tc>
          <w:tcPr>
            <w:tcW w:w="951" w:type="dxa"/>
            <w:tcBorders>
              <w:top w:val="nil"/>
              <w:left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124</w:t>
            </w:r>
          </w:p>
        </w:tc>
        <w:tc>
          <w:tcPr>
            <w:tcW w:w="946" w:type="dxa"/>
            <w:tcBorders>
              <w:top w:val="nil"/>
              <w:left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4.58</w:t>
            </w:r>
          </w:p>
        </w:tc>
        <w:tc>
          <w:tcPr>
            <w:tcW w:w="956" w:type="dxa"/>
            <w:tcBorders>
              <w:top w:val="nil"/>
              <w:left w:val="nil"/>
              <w:right w:val="nil"/>
            </w:tcBorders>
            <w:shd w:val="clear" w:color="auto" w:fill="auto"/>
            <w:vAlign w:val="center"/>
          </w:tcPr>
          <w:p w:rsidR="0020360D" w:rsidRPr="0020360D" w:rsidRDefault="0020360D" w:rsidP="002B7B14">
            <w:pPr>
              <w:keepLines/>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0.004</w:t>
            </w:r>
          </w:p>
        </w:tc>
      </w:tr>
      <w:tr w:rsidR="0020360D" w:rsidRPr="0020360D" w:rsidTr="002B7B14">
        <w:trPr>
          <w:cantSplit/>
          <w:trHeight w:val="544"/>
        </w:trPr>
        <w:tc>
          <w:tcPr>
            <w:tcW w:w="4821" w:type="dxa"/>
            <w:gridSpan w:val="5"/>
            <w:tcBorders>
              <w:top w:val="nil"/>
              <w:left w:val="nil"/>
              <w:bottom w:val="nil"/>
              <w:right w:val="nil"/>
            </w:tcBorders>
            <w:shd w:val="clear" w:color="auto" w:fill="auto"/>
          </w:tcPr>
          <w:p w:rsidR="0020360D" w:rsidRPr="0020360D" w:rsidRDefault="0020360D" w:rsidP="002B7B14">
            <w:pPr>
              <w:keepLines/>
              <w:spacing w:after="0" w:line="240" w:lineRule="auto"/>
              <w:jc w:val="both"/>
              <w:rPr>
                <w:rFonts w:ascii="Arial" w:eastAsia="Arial" w:hAnsi="Arial" w:cs="Arial"/>
                <w:color w:val="000000" w:themeColor="text1"/>
                <w:sz w:val="20"/>
                <w:szCs w:val="20"/>
              </w:rPr>
            </w:pPr>
            <w:r w:rsidRPr="0020360D">
              <w:rPr>
                <w:rFonts w:ascii="Arial" w:eastAsia="Arial" w:hAnsi="Arial" w:cs="Arial"/>
                <w:color w:val="000000" w:themeColor="text1"/>
                <w:sz w:val="20"/>
                <w:szCs w:val="20"/>
              </w:rPr>
              <w:t xml:space="preserve">All ANOVAs were performed on a significance level of </w:t>
            </w:r>
            <w:r w:rsidRPr="0020360D">
              <w:rPr>
                <w:rFonts w:ascii="Arial" w:eastAsia="Arial" w:hAnsi="Arial" w:cs="Arial"/>
                <w:i/>
                <w:color w:val="000000" w:themeColor="text1"/>
                <w:sz w:val="20"/>
                <w:szCs w:val="20"/>
              </w:rPr>
              <w:t>α = 0.05</w:t>
            </w:r>
            <w:r w:rsidRPr="0020360D">
              <w:rPr>
                <w:rFonts w:ascii="Arial" w:eastAsia="Arial" w:hAnsi="Arial" w:cs="Arial"/>
                <w:color w:val="000000" w:themeColor="text1"/>
                <w:sz w:val="20"/>
                <w:szCs w:val="20"/>
              </w:rPr>
              <w:t xml:space="preserve">. </w:t>
            </w:r>
          </w:p>
        </w:tc>
      </w:tr>
    </w:tbl>
    <w:p w:rsidR="0020360D" w:rsidRPr="0020360D" w:rsidRDefault="0020360D" w:rsidP="0020360D">
      <w:pPr>
        <w:keepNext/>
        <w:keepLines/>
        <w:spacing w:after="0" w:line="240" w:lineRule="auto"/>
        <w:jc w:val="both"/>
        <w:rPr>
          <w:rFonts w:ascii="Arial" w:eastAsia="Arial" w:hAnsi="Arial" w:cs="Arial"/>
          <w:b/>
          <w:color w:val="000000" w:themeColor="text1"/>
          <w:sz w:val="20"/>
          <w:szCs w:val="20"/>
          <w:lang w:val="en-US"/>
        </w:rPr>
      </w:pPr>
    </w:p>
    <w:p w:rsidR="0020360D" w:rsidRPr="0020360D" w:rsidRDefault="0020360D" w:rsidP="0020360D">
      <w:pPr>
        <w:keepNext/>
        <w:keepLines/>
        <w:spacing w:after="0" w:line="240" w:lineRule="auto"/>
        <w:jc w:val="both"/>
        <w:rPr>
          <w:rFonts w:ascii="Arial" w:eastAsia="Arial" w:hAnsi="Arial" w:cs="Arial"/>
          <w:b/>
          <w:color w:val="000000" w:themeColor="text1"/>
          <w:sz w:val="20"/>
          <w:szCs w:val="20"/>
          <w:lang w:val="en-US"/>
        </w:rPr>
      </w:pPr>
    </w:p>
    <w:p w:rsidR="0020360D" w:rsidRPr="0020360D" w:rsidRDefault="0020360D" w:rsidP="0020360D">
      <w:pPr>
        <w:keepNext/>
        <w:keepLines/>
        <w:spacing w:line="360" w:lineRule="auto"/>
        <w:jc w:val="both"/>
        <w:rPr>
          <w:rFonts w:ascii="Arial" w:eastAsia="Arial" w:hAnsi="Arial" w:cs="Arial"/>
          <w:b/>
          <w:color w:val="000000" w:themeColor="text1"/>
          <w:sz w:val="20"/>
          <w:szCs w:val="20"/>
          <w:lang w:val="en-US"/>
        </w:rPr>
      </w:pPr>
      <w:r w:rsidRPr="0020360D">
        <w:rPr>
          <w:rFonts w:ascii="Arial" w:eastAsia="Arial" w:hAnsi="Arial" w:cs="Arial"/>
          <w:b/>
          <w:color w:val="000000" w:themeColor="text1"/>
          <w:sz w:val="20"/>
          <w:szCs w:val="20"/>
          <w:lang w:val="en-US"/>
        </w:rPr>
        <w:t>2. Microstate analysis for K=5 clusters, group and grand mean maps</w:t>
      </w:r>
    </w:p>
    <w:p w:rsidR="0020360D" w:rsidRPr="0020360D" w:rsidRDefault="0020360D" w:rsidP="0020360D">
      <w:pPr>
        <w:keepNext/>
        <w:keepLines/>
        <w:spacing w:line="360" w:lineRule="auto"/>
        <w:jc w:val="both"/>
        <w:rPr>
          <w:rFonts w:ascii="Arial" w:eastAsia="Arial" w:hAnsi="Arial" w:cs="Arial"/>
          <w:color w:val="000000" w:themeColor="text1"/>
          <w:sz w:val="20"/>
          <w:szCs w:val="20"/>
          <w:lang w:val="en-US"/>
        </w:rPr>
      </w:pPr>
      <w:r w:rsidRPr="0020360D">
        <w:rPr>
          <w:rFonts w:ascii="Arial" w:eastAsia="Arial" w:hAnsi="Arial" w:cs="Arial"/>
          <w:color w:val="000000" w:themeColor="text1"/>
          <w:sz w:val="20"/>
          <w:szCs w:val="20"/>
          <w:lang w:val="en-US"/>
        </w:rPr>
        <w:t xml:space="preserve">In the main text, we report the results for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4 microstates, as used for the same dataset in (Brodbeck et al. 2012). When the modified k-means algorithm is run with </w:t>
      </w:r>
      <w:r w:rsidRPr="0020360D">
        <w:rPr>
          <w:rFonts w:ascii="Arial" w:eastAsia="Arial" w:hAnsi="Arial" w:cs="Arial"/>
          <w:i/>
          <w:color w:val="000000" w:themeColor="text1"/>
          <w:sz w:val="20"/>
          <w:szCs w:val="20"/>
          <w:lang w:val="en-US"/>
        </w:rPr>
        <w:t xml:space="preserve">K </w:t>
      </w:r>
      <w:r w:rsidRPr="0020360D">
        <w:rPr>
          <w:rFonts w:ascii="Arial" w:eastAsia="Arial" w:hAnsi="Arial" w:cs="Arial"/>
          <w:color w:val="000000" w:themeColor="text1"/>
          <w:sz w:val="20"/>
          <w:szCs w:val="20"/>
          <w:lang w:val="en-US"/>
        </w:rPr>
        <w:t xml:space="preserve">= 3...8 clusters for each sleep stage, and each clustering result is assessed with the modified cross-validation criterion (Pasqual-Marqui et al. 1995), the optimum number of clusters for W and N1 is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4, and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5 for N2 and N3. Moreover, there is a choice between the use of microstate maps for each condition, i.e. for each sleep stage, or using grand mean microstate maps obtained across all sleep stages. A recent preprint presented evidence for an increased chance of false positive results when some microstate statistics are compared based on condition-wise clustering (Murphy et al. 2022). To test the robustness of our main results against these variations, we here show the clustering results. Fig. S1 shows the microstate maps for K=5 clusters in each sleep stage (W, N1, N2, N3), and the grand mean maps in the last row (GM). Using the microstate assignment defined in Custo et al. (2017), the sleep stage-specific microstate classes for K=5 correspond to A, B, C, D, and E in stages W and N1, and to microstate classes A, B, C, D, F in N2, N3, and the grand mean (GM) clustering. This corresponds to the maps in Fig. S1 from left to right.</w:t>
      </w:r>
    </w:p>
    <w:p w:rsidR="0020360D" w:rsidRPr="0020360D" w:rsidRDefault="0020360D" w:rsidP="0020360D">
      <w:pPr>
        <w:keepNext/>
        <w:keepLines/>
        <w:spacing w:after="0" w:line="360" w:lineRule="auto"/>
        <w:jc w:val="both"/>
        <w:rPr>
          <w:rFonts w:ascii="Arial" w:eastAsia="Arial" w:hAnsi="Arial" w:cs="Arial"/>
          <w:color w:val="000000" w:themeColor="text1"/>
          <w:sz w:val="20"/>
          <w:szCs w:val="20"/>
          <w:lang w:val="en-US"/>
        </w:rPr>
      </w:pPr>
    </w:p>
    <w:p w:rsidR="0020360D" w:rsidRPr="0020360D" w:rsidRDefault="0020360D" w:rsidP="0020360D">
      <w:pPr>
        <w:rPr>
          <w:rFonts w:ascii="Quattrocento Sans" w:eastAsia="Quattrocento Sans" w:hAnsi="Quattrocento Sans" w:cs="Quattrocento Sans"/>
          <w:color w:val="000000" w:themeColor="text1"/>
        </w:rPr>
      </w:pPr>
      <w:r w:rsidRPr="0020360D">
        <w:rPr>
          <w:rFonts w:ascii="Quattrocento Sans" w:eastAsia="Quattrocento Sans" w:hAnsi="Quattrocento Sans" w:cs="Quattrocento Sans"/>
          <w:noProof/>
          <w:color w:val="000000" w:themeColor="text1"/>
          <w:lang w:eastAsia="en-IN"/>
        </w:rPr>
        <w:lastRenderedPageBreak/>
        <w:drawing>
          <wp:inline distT="0" distB="0" distL="0" distR="0" wp14:anchorId="3B34404B" wp14:editId="5E9344A7">
            <wp:extent cx="5760720" cy="5668010"/>
            <wp:effectExtent l="0" t="0" r="0" b="8890"/>
            <wp:docPr id="21345021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02151" name="Picture 2134502151"/>
                    <pic:cNvPicPr/>
                  </pic:nvPicPr>
                  <pic:blipFill>
                    <a:blip r:embed="rId4">
                      <a:extLst>
                        <a:ext uri="{28A0092B-C50C-407E-A947-70E740481C1C}">
                          <a14:useLocalDpi xmlns:a14="http://schemas.microsoft.com/office/drawing/2010/main" val="0"/>
                        </a:ext>
                      </a:extLst>
                    </a:blip>
                    <a:stretch>
                      <a:fillRect/>
                    </a:stretch>
                  </pic:blipFill>
                  <pic:spPr>
                    <a:xfrm>
                      <a:off x="0" y="0"/>
                      <a:ext cx="5760720" cy="5668010"/>
                    </a:xfrm>
                    <a:prstGeom prst="rect">
                      <a:avLst/>
                    </a:prstGeom>
                  </pic:spPr>
                </pic:pic>
              </a:graphicData>
            </a:graphic>
          </wp:inline>
        </w:drawing>
      </w:r>
    </w:p>
    <w:p w:rsidR="0020360D" w:rsidRPr="0020360D" w:rsidRDefault="0020360D" w:rsidP="0020360D">
      <w:pPr>
        <w:jc w:val="both"/>
        <w:rPr>
          <w:rFonts w:ascii="Arial" w:eastAsia="Arial" w:hAnsi="Arial" w:cs="Arial"/>
          <w:color w:val="000000" w:themeColor="text1"/>
          <w:sz w:val="20"/>
          <w:szCs w:val="20"/>
          <w:lang w:val="en-US"/>
        </w:rPr>
      </w:pPr>
      <w:r w:rsidRPr="0020360D">
        <w:rPr>
          <w:rFonts w:ascii="Arial" w:eastAsia="Arial" w:hAnsi="Arial" w:cs="Arial"/>
          <w:b/>
          <w:color w:val="000000" w:themeColor="text1"/>
          <w:sz w:val="20"/>
          <w:szCs w:val="20"/>
          <w:lang w:val="en-US"/>
        </w:rPr>
        <w:t>Fig. S1</w:t>
      </w:r>
      <w:r w:rsidRPr="0020360D">
        <w:rPr>
          <w:rFonts w:ascii="Arial" w:eastAsia="Arial" w:hAnsi="Arial" w:cs="Arial"/>
          <w:color w:val="000000" w:themeColor="text1"/>
          <w:sz w:val="20"/>
          <w:szCs w:val="20"/>
          <w:lang w:val="en-US"/>
        </w:rPr>
        <w:t xml:space="preserve"> Microstate maps for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5 clusters from the modified k-means algorithm.</w:t>
      </w:r>
    </w:p>
    <w:p w:rsidR="0020360D" w:rsidRPr="0020360D" w:rsidRDefault="0020360D" w:rsidP="0020360D">
      <w:pPr>
        <w:spacing w:line="360" w:lineRule="auto"/>
        <w:rPr>
          <w:rFonts w:ascii="Arial" w:eastAsia="Arial" w:hAnsi="Arial" w:cs="Arial"/>
          <w:color w:val="000000" w:themeColor="text1"/>
          <w:sz w:val="20"/>
          <w:szCs w:val="20"/>
          <w:lang w:val="en-US"/>
        </w:rPr>
      </w:pPr>
    </w:p>
    <w:p w:rsidR="0020360D" w:rsidRPr="0020360D" w:rsidRDefault="0020360D" w:rsidP="0020360D">
      <w:pPr>
        <w:rPr>
          <w:rFonts w:ascii="Arial" w:eastAsia="Arial" w:hAnsi="Arial" w:cs="Arial"/>
          <w:b/>
          <w:color w:val="000000" w:themeColor="text1"/>
          <w:sz w:val="20"/>
          <w:szCs w:val="20"/>
          <w:lang w:val="en-US"/>
        </w:rPr>
      </w:pPr>
    </w:p>
    <w:p w:rsidR="0020360D" w:rsidRPr="0020360D" w:rsidRDefault="0020360D" w:rsidP="0020360D">
      <w:pPr>
        <w:spacing w:line="360" w:lineRule="auto"/>
        <w:jc w:val="both"/>
        <w:rPr>
          <w:rFonts w:ascii="Arial" w:eastAsia="Arial" w:hAnsi="Arial" w:cs="Arial"/>
          <w:color w:val="000000" w:themeColor="text1"/>
          <w:sz w:val="20"/>
          <w:szCs w:val="20"/>
          <w:lang w:val="en-US"/>
        </w:rPr>
      </w:pPr>
      <w:r w:rsidRPr="0020360D">
        <w:rPr>
          <w:rFonts w:ascii="Arial" w:eastAsia="Arial" w:hAnsi="Arial" w:cs="Arial"/>
          <w:color w:val="000000" w:themeColor="text1"/>
          <w:sz w:val="20"/>
          <w:szCs w:val="20"/>
          <w:lang w:val="en-US"/>
        </w:rPr>
        <w:t xml:space="preserve">The conclusions derived from Fig. 2 in the main manuscript are reproduced for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5 microstate maps in Fig. S2. Results for sleep stage-specific maps are on the left and for grand mean maps on the right. The monotone relationship between mean microstate durations and a) the entropy rate, and b) the spectral gap, is also found for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5 and independent of the underlying maps. Similar to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4, sleep stage N3 forms a separate cluster while W, N1 and N2 show more overlap.</w:t>
      </w:r>
    </w:p>
    <w:p w:rsidR="0020360D" w:rsidRPr="0020360D" w:rsidRDefault="0020360D" w:rsidP="0020360D">
      <w:pPr>
        <w:keepNext/>
        <w:keepLines/>
        <w:spacing w:after="0" w:line="240" w:lineRule="auto"/>
        <w:jc w:val="both"/>
        <w:rPr>
          <w:rFonts w:ascii="Arial" w:eastAsia="Arial" w:hAnsi="Arial" w:cs="Arial"/>
          <w:color w:val="000000" w:themeColor="text1"/>
          <w:sz w:val="20"/>
          <w:szCs w:val="20"/>
          <w:lang w:val="en-US"/>
        </w:rPr>
      </w:pPr>
    </w:p>
    <w:p w:rsidR="0020360D" w:rsidRPr="0020360D" w:rsidRDefault="0020360D" w:rsidP="0020360D">
      <w:pPr>
        <w:rPr>
          <w:rFonts w:ascii="Quattrocento Sans" w:eastAsia="Quattrocento Sans" w:hAnsi="Quattrocento Sans" w:cs="Quattrocento Sans"/>
          <w:color w:val="000000" w:themeColor="text1"/>
        </w:rPr>
      </w:pPr>
      <w:r w:rsidRPr="0020360D">
        <w:rPr>
          <w:rFonts w:ascii="Quattrocento Sans" w:eastAsia="Quattrocento Sans" w:hAnsi="Quattrocento Sans" w:cs="Quattrocento Sans"/>
          <w:noProof/>
          <w:color w:val="000000" w:themeColor="text1"/>
          <w:lang w:eastAsia="en-IN"/>
        </w:rPr>
        <w:drawing>
          <wp:inline distT="0" distB="0" distL="0" distR="0" wp14:anchorId="52BD987A" wp14:editId="4E8F6A0B">
            <wp:extent cx="5382779" cy="2249429"/>
            <wp:effectExtent l="0" t="0" r="8890" b="0"/>
            <wp:docPr id="132183593"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3593" name="Picture 1" descr="Chart, scatter 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82779" cy="2249429"/>
                    </a:xfrm>
                    <a:prstGeom prst="rect">
                      <a:avLst/>
                    </a:prstGeom>
                  </pic:spPr>
                </pic:pic>
              </a:graphicData>
            </a:graphic>
          </wp:inline>
        </w:drawing>
      </w:r>
    </w:p>
    <w:p w:rsidR="0020360D" w:rsidRPr="0020360D" w:rsidRDefault="0020360D" w:rsidP="0020360D">
      <w:pPr>
        <w:keepNext/>
        <w:keepLines/>
        <w:spacing w:after="0" w:line="240" w:lineRule="auto"/>
        <w:jc w:val="both"/>
        <w:rPr>
          <w:rFonts w:ascii="Arial" w:eastAsia="Arial" w:hAnsi="Arial" w:cs="Arial"/>
          <w:color w:val="000000" w:themeColor="text1"/>
          <w:sz w:val="20"/>
          <w:szCs w:val="20"/>
          <w:lang w:val="en-US"/>
        </w:rPr>
      </w:pPr>
      <w:r w:rsidRPr="0020360D">
        <w:rPr>
          <w:rFonts w:ascii="Arial" w:eastAsia="Arial" w:hAnsi="Arial" w:cs="Arial"/>
          <w:b/>
          <w:color w:val="000000" w:themeColor="text1"/>
          <w:sz w:val="20"/>
          <w:szCs w:val="20"/>
          <w:lang w:val="en-US"/>
        </w:rPr>
        <w:t>Fig. S2</w:t>
      </w:r>
      <w:r w:rsidRPr="0020360D">
        <w:rPr>
          <w:rFonts w:ascii="Arial" w:eastAsia="Arial" w:hAnsi="Arial" w:cs="Arial"/>
          <w:color w:val="000000" w:themeColor="text1"/>
          <w:sz w:val="20"/>
          <w:szCs w:val="20"/>
          <w:lang w:val="en-US"/>
        </w:rPr>
        <w:t xml:space="preserve">: Mean microstate durations vs. entropy rate and spectral gap. Microstate sequences were computed from sleep-stage specific maps (left) and with grand mean maps (right). The features observed in Fig. 2 in the main text are reproduced with good agreement for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5 clusters.</w:t>
      </w:r>
    </w:p>
    <w:p w:rsidR="0020360D" w:rsidRPr="0020360D" w:rsidRDefault="0020360D" w:rsidP="0020360D">
      <w:pPr>
        <w:keepNext/>
        <w:keepLines/>
        <w:spacing w:after="0" w:line="360" w:lineRule="auto"/>
        <w:jc w:val="both"/>
        <w:rPr>
          <w:rFonts w:ascii="Arial" w:eastAsia="Arial" w:hAnsi="Arial" w:cs="Arial"/>
          <w:color w:val="000000" w:themeColor="text1"/>
          <w:sz w:val="20"/>
          <w:szCs w:val="20"/>
          <w:lang w:val="en-US"/>
        </w:rPr>
      </w:pPr>
    </w:p>
    <w:p w:rsidR="0020360D" w:rsidRPr="0020360D" w:rsidRDefault="0020360D" w:rsidP="0020360D">
      <w:pPr>
        <w:keepNext/>
        <w:keepLines/>
        <w:spacing w:after="0" w:line="360" w:lineRule="auto"/>
        <w:jc w:val="both"/>
        <w:rPr>
          <w:rFonts w:ascii="Arial" w:eastAsia="Arial" w:hAnsi="Arial" w:cs="Arial"/>
          <w:color w:val="000000" w:themeColor="text1"/>
          <w:sz w:val="20"/>
          <w:szCs w:val="20"/>
          <w:lang w:val="en-US"/>
        </w:rPr>
      </w:pPr>
      <w:r w:rsidRPr="0020360D">
        <w:rPr>
          <w:rFonts w:ascii="Arial" w:eastAsia="Arial" w:hAnsi="Arial" w:cs="Arial"/>
          <w:color w:val="000000" w:themeColor="text1"/>
          <w:sz w:val="20"/>
          <w:szCs w:val="20"/>
          <w:lang w:val="en-US"/>
        </w:rPr>
        <w:t xml:space="preserve">Likewise, periodic features of the autoinformation functions (AIF) in W, N1, N2, and N3 do not depend on the choice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4 vs.</w:t>
      </w:r>
      <w:r w:rsidRPr="0020360D">
        <w:rPr>
          <w:rFonts w:ascii="Arial" w:eastAsia="Arial" w:hAnsi="Arial" w:cs="Arial"/>
          <w:i/>
          <w:color w:val="000000" w:themeColor="text1"/>
          <w:sz w:val="20"/>
          <w:szCs w:val="20"/>
          <w:lang w:val="en-US"/>
        </w:rPr>
        <w:t xml:space="preserve"> K</w:t>
      </w:r>
      <w:r w:rsidRPr="0020360D">
        <w:rPr>
          <w:rFonts w:ascii="Arial" w:eastAsia="Arial" w:hAnsi="Arial" w:cs="Arial"/>
          <w:color w:val="000000" w:themeColor="text1"/>
          <w:sz w:val="20"/>
          <w:szCs w:val="20"/>
          <w:lang w:val="en-US"/>
        </w:rPr>
        <w:t xml:space="preserve"> = 5, or on the level of clustering (sleep stage vs. grand mean). The results for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5 are summarized in Fig. S3.</w:t>
      </w:r>
    </w:p>
    <w:p w:rsidR="0020360D" w:rsidRPr="0020360D" w:rsidRDefault="0020360D" w:rsidP="0020360D">
      <w:pPr>
        <w:rPr>
          <w:rFonts w:ascii="Quattrocento Sans" w:eastAsia="Quattrocento Sans" w:hAnsi="Quattrocento Sans" w:cs="Quattrocento Sans"/>
          <w:color w:val="000000" w:themeColor="text1"/>
          <w:lang w:val="en-US"/>
        </w:rPr>
      </w:pPr>
    </w:p>
    <w:p w:rsidR="0020360D" w:rsidRPr="0020360D" w:rsidRDefault="0020360D" w:rsidP="0020360D">
      <w:pPr>
        <w:rPr>
          <w:rFonts w:ascii="Quattrocento Sans" w:eastAsia="Quattrocento Sans" w:hAnsi="Quattrocento Sans" w:cs="Quattrocento Sans"/>
          <w:color w:val="000000" w:themeColor="text1"/>
          <w:lang w:val="en-US"/>
        </w:rPr>
      </w:pPr>
      <w:r w:rsidRPr="0020360D">
        <w:rPr>
          <w:rFonts w:ascii="Quattrocento Sans" w:eastAsia="Quattrocento Sans" w:hAnsi="Quattrocento Sans" w:cs="Quattrocento Sans"/>
          <w:noProof/>
          <w:color w:val="000000" w:themeColor="text1"/>
          <w:lang w:eastAsia="en-IN"/>
        </w:rPr>
        <w:drawing>
          <wp:inline distT="0" distB="0" distL="0" distR="0" wp14:anchorId="6EE40D26" wp14:editId="3DD94CE3">
            <wp:extent cx="5816563" cy="3174521"/>
            <wp:effectExtent l="0" t="0" r="0" b="6985"/>
            <wp:docPr id="623887267"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87267" name="Picture 2" descr="A picture containing graphical user interfa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33264" cy="3183636"/>
                    </a:xfrm>
                    <a:prstGeom prst="rect">
                      <a:avLst/>
                    </a:prstGeom>
                  </pic:spPr>
                </pic:pic>
              </a:graphicData>
            </a:graphic>
          </wp:inline>
        </w:drawing>
      </w:r>
    </w:p>
    <w:p w:rsidR="0020360D" w:rsidRPr="0020360D" w:rsidRDefault="0020360D" w:rsidP="0020360D">
      <w:pPr>
        <w:keepNext/>
        <w:keepLines/>
        <w:spacing w:line="240" w:lineRule="auto"/>
        <w:jc w:val="both"/>
        <w:rPr>
          <w:rFonts w:ascii="Arial" w:eastAsia="Arial" w:hAnsi="Arial" w:cs="Arial"/>
          <w:color w:val="000000" w:themeColor="text1"/>
          <w:sz w:val="20"/>
          <w:szCs w:val="20"/>
          <w:lang w:val="en-US"/>
        </w:rPr>
      </w:pPr>
      <w:r w:rsidRPr="0020360D">
        <w:rPr>
          <w:rFonts w:ascii="Arial" w:eastAsia="Arial" w:hAnsi="Arial" w:cs="Arial"/>
          <w:b/>
          <w:color w:val="000000" w:themeColor="text1"/>
          <w:sz w:val="20"/>
          <w:szCs w:val="20"/>
          <w:lang w:val="en-US"/>
        </w:rPr>
        <w:lastRenderedPageBreak/>
        <w:t>Fig. S3</w:t>
      </w:r>
      <w:r w:rsidRPr="0020360D">
        <w:rPr>
          <w:rFonts w:ascii="Arial" w:eastAsia="Arial" w:hAnsi="Arial" w:cs="Arial"/>
          <w:color w:val="000000" w:themeColor="text1"/>
          <w:sz w:val="20"/>
          <w:szCs w:val="20"/>
          <w:lang w:val="en-US"/>
        </w:rPr>
        <w:t xml:space="preserve"> The AIFs obtained for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5 microstates across the vigilance states W, N1, N2, N3 follow the same pattern as those obtained for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4. Left: microstate sequences from sleep-stage specific microstate maps. Right: microstate sequences from grand mean maps.</w:t>
      </w:r>
    </w:p>
    <w:p w:rsidR="0020360D" w:rsidRPr="0020360D" w:rsidRDefault="0020360D" w:rsidP="0020360D">
      <w:pPr>
        <w:keepNext/>
        <w:keepLines/>
        <w:spacing w:line="360" w:lineRule="auto"/>
        <w:jc w:val="both"/>
        <w:rPr>
          <w:rFonts w:ascii="Arial" w:eastAsia="Arial" w:hAnsi="Arial" w:cs="Arial"/>
          <w:color w:val="000000" w:themeColor="text1"/>
          <w:sz w:val="20"/>
          <w:szCs w:val="20"/>
          <w:lang w:val="en-US"/>
        </w:rPr>
      </w:pPr>
    </w:p>
    <w:p w:rsidR="0020360D" w:rsidRPr="0020360D" w:rsidRDefault="0020360D" w:rsidP="0020360D">
      <w:pPr>
        <w:keepNext/>
        <w:keepLines/>
        <w:spacing w:line="360" w:lineRule="auto"/>
        <w:jc w:val="both"/>
        <w:rPr>
          <w:rFonts w:ascii="Arial" w:eastAsia="Arial" w:hAnsi="Arial" w:cs="Arial"/>
          <w:b/>
          <w:color w:val="000000" w:themeColor="text1"/>
          <w:sz w:val="20"/>
          <w:szCs w:val="20"/>
          <w:lang w:val="en-US"/>
        </w:rPr>
      </w:pPr>
      <w:r w:rsidRPr="0020360D">
        <w:rPr>
          <w:rFonts w:ascii="Arial" w:eastAsia="Arial" w:hAnsi="Arial" w:cs="Arial"/>
          <w:b/>
          <w:color w:val="000000" w:themeColor="text1"/>
          <w:sz w:val="20"/>
          <w:szCs w:val="20"/>
          <w:lang w:val="en-US"/>
        </w:rPr>
        <w:t xml:space="preserve">3. Markov tests for </w:t>
      </w:r>
      <w:r w:rsidRPr="0020360D">
        <w:rPr>
          <w:rFonts w:ascii="Arial" w:eastAsia="Arial" w:hAnsi="Arial" w:cs="Arial"/>
          <w:b/>
          <w:i/>
          <w:color w:val="000000" w:themeColor="text1"/>
          <w:sz w:val="20"/>
          <w:szCs w:val="20"/>
          <w:lang w:val="en-US"/>
        </w:rPr>
        <w:t>K</w:t>
      </w:r>
      <w:r w:rsidRPr="0020360D">
        <w:rPr>
          <w:rFonts w:ascii="Arial" w:eastAsia="Arial" w:hAnsi="Arial" w:cs="Arial"/>
          <w:b/>
          <w:color w:val="000000" w:themeColor="text1"/>
          <w:sz w:val="20"/>
          <w:szCs w:val="20"/>
          <w:lang w:val="en-US"/>
        </w:rPr>
        <w:t xml:space="preserve"> = 5</w:t>
      </w:r>
    </w:p>
    <w:p w:rsidR="0020360D" w:rsidRPr="0020360D" w:rsidRDefault="0020360D" w:rsidP="0020360D">
      <w:pPr>
        <w:keepNext/>
        <w:keepLines/>
        <w:spacing w:line="360" w:lineRule="auto"/>
        <w:jc w:val="both"/>
        <w:rPr>
          <w:rFonts w:ascii="Arial" w:eastAsia="Arial" w:hAnsi="Arial" w:cs="Arial"/>
          <w:color w:val="000000" w:themeColor="text1"/>
          <w:sz w:val="20"/>
          <w:szCs w:val="20"/>
          <w:lang w:val="en-US"/>
        </w:rPr>
      </w:pPr>
      <w:r w:rsidRPr="0020360D">
        <w:rPr>
          <w:rFonts w:ascii="Arial" w:eastAsia="Arial" w:hAnsi="Arial" w:cs="Arial"/>
          <w:color w:val="000000" w:themeColor="text1"/>
          <w:sz w:val="20"/>
          <w:szCs w:val="20"/>
          <w:lang w:val="en-US"/>
        </w:rPr>
        <w:t xml:space="preserve">The Markov test results for </w:t>
      </w:r>
      <w:r w:rsidRPr="0020360D">
        <w:rPr>
          <w:rFonts w:ascii="Arial" w:eastAsia="Arial" w:hAnsi="Arial" w:cs="Arial"/>
          <w:i/>
          <w:color w:val="000000" w:themeColor="text1"/>
          <w:sz w:val="20"/>
          <w:szCs w:val="20"/>
          <w:lang w:val="en-US"/>
        </w:rPr>
        <w:t>K</w:t>
      </w:r>
      <w:r w:rsidRPr="0020360D">
        <w:rPr>
          <w:rFonts w:ascii="Arial" w:eastAsia="Arial" w:hAnsi="Arial" w:cs="Arial"/>
          <w:color w:val="000000" w:themeColor="text1"/>
          <w:sz w:val="20"/>
          <w:szCs w:val="20"/>
          <w:lang w:val="en-US"/>
        </w:rPr>
        <w:t xml:space="preserve"> = 5 microstates and sleep stage-specific microstate maps are concordant with </w:t>
      </w:r>
      <w:r w:rsidRPr="0020360D">
        <w:rPr>
          <w:rFonts w:ascii="Arial" w:eastAsia="Arial" w:hAnsi="Arial" w:cs="Arial"/>
          <w:i/>
          <w:color w:val="000000" w:themeColor="text1"/>
          <w:sz w:val="20"/>
          <w:szCs w:val="20"/>
          <w:lang w:val="en-US"/>
        </w:rPr>
        <w:t xml:space="preserve">K </w:t>
      </w:r>
      <w:r w:rsidRPr="0020360D">
        <w:rPr>
          <w:rFonts w:ascii="Arial" w:eastAsia="Arial" w:hAnsi="Arial" w:cs="Arial"/>
          <w:color w:val="000000" w:themeColor="text1"/>
          <w:sz w:val="20"/>
          <w:szCs w:val="20"/>
          <w:lang w:val="en-US"/>
        </w:rPr>
        <w:t>= 4, with even stronger evidence for low-order Markovianity in sleep. The chance of accepting the null hypothesis of a second-order Markov process was increasingly likely when moving from W to N3. The results are shown in Table S2.</w:t>
      </w:r>
    </w:p>
    <w:tbl>
      <w:tblPr>
        <w:tblStyle w:val="TableGrid"/>
        <w:tblW w:w="4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409"/>
        <w:gridCol w:w="1410"/>
        <w:gridCol w:w="1410"/>
      </w:tblGrid>
      <w:tr w:rsidR="0020360D" w:rsidRPr="0020360D" w:rsidTr="002B7B14">
        <w:trPr>
          <w:cantSplit/>
        </w:trPr>
        <w:tc>
          <w:tcPr>
            <w:tcW w:w="4763" w:type="dxa"/>
            <w:gridSpan w:val="4"/>
            <w:tcBorders>
              <w:bottom w:val="single" w:sz="4" w:space="0" w:color="auto"/>
            </w:tcBorders>
            <w:vAlign w:val="center"/>
          </w:tcPr>
          <w:p w:rsidR="0020360D" w:rsidRPr="0020360D" w:rsidRDefault="0020360D" w:rsidP="002B7B14">
            <w:pPr>
              <w:spacing w:after="0" w:line="240" w:lineRule="auto"/>
              <w:jc w:val="both"/>
              <w:rPr>
                <w:rFonts w:ascii="Arial" w:eastAsia="Arial" w:hAnsi="Arial" w:cs="Arial"/>
                <w:color w:val="000000" w:themeColor="text1"/>
                <w:sz w:val="20"/>
                <w:szCs w:val="20"/>
              </w:rPr>
            </w:pPr>
            <w:r w:rsidRPr="0020360D">
              <w:rPr>
                <w:rFonts w:ascii="Arial" w:eastAsia="Arial" w:hAnsi="Arial" w:cs="Arial"/>
                <w:color w:val="000000" w:themeColor="text1"/>
                <w:sz w:val="20"/>
                <w:szCs w:val="20"/>
              </w:rPr>
              <w:t>Table S2</w:t>
            </w:r>
          </w:p>
          <w:p w:rsidR="0020360D" w:rsidRPr="0020360D" w:rsidRDefault="0020360D" w:rsidP="002B7B14">
            <w:pPr>
              <w:spacing w:after="0" w:line="240" w:lineRule="auto"/>
              <w:jc w:val="both"/>
              <w:rPr>
                <w:rFonts w:ascii="Arial" w:eastAsia="Arial" w:hAnsi="Arial" w:cs="Arial"/>
                <w:color w:val="000000" w:themeColor="text1"/>
                <w:sz w:val="20"/>
                <w:szCs w:val="20"/>
              </w:rPr>
            </w:pPr>
            <w:r w:rsidRPr="0020360D">
              <w:rPr>
                <w:rFonts w:ascii="Arial" w:eastAsia="Arial" w:hAnsi="Arial" w:cs="Arial"/>
                <w:color w:val="000000" w:themeColor="text1"/>
                <w:sz w:val="20"/>
                <w:szCs w:val="20"/>
              </w:rPr>
              <w:t xml:space="preserve">Markov tests for microstate sequences with </w:t>
            </w:r>
            <w:r w:rsidRPr="0020360D">
              <w:rPr>
                <w:rFonts w:ascii="Arial" w:eastAsia="Arial" w:hAnsi="Arial" w:cs="Arial"/>
                <w:i/>
                <w:color w:val="000000" w:themeColor="text1"/>
                <w:sz w:val="20"/>
                <w:szCs w:val="20"/>
              </w:rPr>
              <w:t>K</w:t>
            </w:r>
            <w:r w:rsidRPr="0020360D">
              <w:rPr>
                <w:rFonts w:ascii="Arial" w:eastAsia="Arial" w:hAnsi="Arial" w:cs="Arial"/>
                <w:color w:val="000000" w:themeColor="text1"/>
                <w:sz w:val="20"/>
                <w:szCs w:val="20"/>
              </w:rPr>
              <w:t xml:space="preserve"> = 5 microstate classes, and separate microstate maps for each sleep stage. Rows: sleep stages W, N1, N2, N3. Columns: Markov-</w:t>
            </w:r>
            <w:r w:rsidRPr="0020360D">
              <w:rPr>
                <w:rFonts w:ascii="Arial" w:eastAsia="Arial" w:hAnsi="Arial" w:cs="Arial"/>
                <w:i/>
                <w:color w:val="000000" w:themeColor="text1"/>
                <w:sz w:val="20"/>
                <w:szCs w:val="20"/>
              </w:rPr>
              <w:t>k</w:t>
            </w:r>
            <w:r w:rsidRPr="0020360D">
              <w:rPr>
                <w:rFonts w:ascii="Arial" w:eastAsia="Arial" w:hAnsi="Arial" w:cs="Arial"/>
                <w:color w:val="000000" w:themeColor="text1"/>
                <w:sz w:val="20"/>
                <w:szCs w:val="20"/>
              </w:rPr>
              <w:t xml:space="preserve"> refers to chi-square tests for </w:t>
            </w:r>
            <w:r w:rsidRPr="0020360D">
              <w:rPr>
                <w:rFonts w:ascii="Arial" w:eastAsia="Arial" w:hAnsi="Arial" w:cs="Arial"/>
                <w:i/>
                <w:color w:val="000000" w:themeColor="text1"/>
                <w:sz w:val="20"/>
                <w:szCs w:val="20"/>
              </w:rPr>
              <w:t>k</w:t>
            </w:r>
            <w:r w:rsidRPr="0020360D">
              <w:rPr>
                <w:rFonts w:ascii="Arial" w:eastAsia="Arial" w:hAnsi="Arial" w:cs="Arial"/>
                <w:color w:val="000000" w:themeColor="text1"/>
                <w:sz w:val="20"/>
                <w:szCs w:val="20"/>
              </w:rPr>
              <w:t xml:space="preserve">-th order Markovianity. </w:t>
            </w:r>
          </w:p>
        </w:tc>
      </w:tr>
      <w:tr w:rsidR="0020360D" w:rsidRPr="0020360D" w:rsidTr="002B7B14">
        <w:trPr>
          <w:cantSplit/>
        </w:trPr>
        <w:tc>
          <w:tcPr>
            <w:tcW w:w="534" w:type="dxa"/>
            <w:tcBorders>
              <w:top w:val="single" w:sz="4" w:space="0" w:color="auto"/>
            </w:tcBorders>
            <w:vAlign w:val="center"/>
          </w:tcPr>
          <w:p w:rsidR="0020360D" w:rsidRPr="0020360D" w:rsidRDefault="0020360D" w:rsidP="002B7B14">
            <w:pPr>
              <w:spacing w:after="0" w:line="240" w:lineRule="auto"/>
              <w:rPr>
                <w:rFonts w:ascii="Arial" w:eastAsia="Arial" w:hAnsi="Arial" w:cs="Arial"/>
                <w:color w:val="000000" w:themeColor="text1"/>
                <w:sz w:val="20"/>
                <w:szCs w:val="20"/>
              </w:rPr>
            </w:pPr>
          </w:p>
        </w:tc>
        <w:tc>
          <w:tcPr>
            <w:tcW w:w="1409" w:type="dxa"/>
            <w:tcBorders>
              <w:top w:val="single" w:sz="4" w:space="0" w:color="auto"/>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Markov-0</w:t>
            </w:r>
          </w:p>
        </w:tc>
        <w:tc>
          <w:tcPr>
            <w:tcW w:w="1410" w:type="dxa"/>
            <w:tcBorders>
              <w:top w:val="single" w:sz="4" w:space="0" w:color="auto"/>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Markov-1</w:t>
            </w:r>
          </w:p>
        </w:tc>
        <w:tc>
          <w:tcPr>
            <w:tcW w:w="1410" w:type="dxa"/>
            <w:tcBorders>
              <w:top w:val="single" w:sz="4" w:space="0" w:color="auto"/>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Markov-2</w:t>
            </w:r>
          </w:p>
        </w:tc>
      </w:tr>
      <w:tr w:rsidR="0020360D" w:rsidRPr="0020360D" w:rsidTr="002B7B14">
        <w:trPr>
          <w:cantSplit/>
        </w:trPr>
        <w:tc>
          <w:tcPr>
            <w:tcW w:w="534" w:type="dxa"/>
            <w:vAlign w:val="center"/>
          </w:tcPr>
          <w:p w:rsidR="0020360D" w:rsidRPr="0020360D" w:rsidRDefault="0020360D" w:rsidP="002B7B14">
            <w:pPr>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W</w:t>
            </w:r>
          </w:p>
        </w:tc>
        <w:tc>
          <w:tcPr>
            <w:tcW w:w="1409"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r>
      <w:tr w:rsidR="0020360D" w:rsidRPr="0020360D" w:rsidTr="002B7B14">
        <w:trPr>
          <w:cantSplit/>
        </w:trPr>
        <w:tc>
          <w:tcPr>
            <w:tcW w:w="534" w:type="dxa"/>
            <w:vAlign w:val="center"/>
          </w:tcPr>
          <w:p w:rsidR="0020360D" w:rsidRPr="0020360D" w:rsidRDefault="0020360D" w:rsidP="002B7B14">
            <w:pPr>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N1</w:t>
            </w:r>
          </w:p>
        </w:tc>
        <w:tc>
          <w:tcPr>
            <w:tcW w:w="1409"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23/32</w:t>
            </w:r>
          </w:p>
        </w:tc>
      </w:tr>
      <w:tr w:rsidR="0020360D" w:rsidRPr="0020360D" w:rsidTr="002B7B14">
        <w:trPr>
          <w:cantSplit/>
        </w:trPr>
        <w:tc>
          <w:tcPr>
            <w:tcW w:w="534" w:type="dxa"/>
            <w:vAlign w:val="center"/>
          </w:tcPr>
          <w:p w:rsidR="0020360D" w:rsidRPr="0020360D" w:rsidRDefault="0020360D" w:rsidP="002B7B14">
            <w:pPr>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N2</w:t>
            </w:r>
          </w:p>
        </w:tc>
        <w:tc>
          <w:tcPr>
            <w:tcW w:w="1409"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10/32</w:t>
            </w:r>
          </w:p>
        </w:tc>
      </w:tr>
      <w:tr w:rsidR="0020360D" w:rsidRPr="0020360D" w:rsidTr="002B7B14">
        <w:trPr>
          <w:cantSplit/>
        </w:trPr>
        <w:tc>
          <w:tcPr>
            <w:tcW w:w="534" w:type="dxa"/>
            <w:tcBorders>
              <w:bottom w:val="single" w:sz="4" w:space="0" w:color="auto"/>
            </w:tcBorders>
            <w:vAlign w:val="center"/>
          </w:tcPr>
          <w:p w:rsidR="0020360D" w:rsidRPr="0020360D" w:rsidRDefault="0020360D" w:rsidP="002B7B14">
            <w:pPr>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N3</w:t>
            </w:r>
          </w:p>
        </w:tc>
        <w:tc>
          <w:tcPr>
            <w:tcW w:w="1409" w:type="dxa"/>
            <w:tcBorders>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19/19</w:t>
            </w:r>
          </w:p>
        </w:tc>
        <w:tc>
          <w:tcPr>
            <w:tcW w:w="1410" w:type="dxa"/>
            <w:tcBorders>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19/19</w:t>
            </w:r>
          </w:p>
        </w:tc>
        <w:tc>
          <w:tcPr>
            <w:tcW w:w="1410" w:type="dxa"/>
            <w:tcBorders>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1/19</w:t>
            </w:r>
          </w:p>
        </w:tc>
      </w:tr>
      <w:tr w:rsidR="0020360D" w:rsidRPr="0020360D" w:rsidTr="002B7B14">
        <w:trPr>
          <w:cantSplit/>
        </w:trPr>
        <w:tc>
          <w:tcPr>
            <w:tcW w:w="4763" w:type="dxa"/>
            <w:gridSpan w:val="4"/>
            <w:tcBorders>
              <w:top w:val="single" w:sz="4" w:space="0" w:color="auto"/>
            </w:tcBorders>
            <w:vAlign w:val="center"/>
          </w:tcPr>
          <w:p w:rsidR="0020360D" w:rsidRPr="0020360D" w:rsidRDefault="0020360D" w:rsidP="002B7B14">
            <w:pPr>
              <w:spacing w:after="0" w:line="240" w:lineRule="auto"/>
              <w:jc w:val="both"/>
              <w:rPr>
                <w:rFonts w:ascii="Arial" w:eastAsia="Arial" w:hAnsi="Arial" w:cs="Arial"/>
                <w:color w:val="000000" w:themeColor="text1"/>
                <w:sz w:val="20"/>
                <w:szCs w:val="20"/>
              </w:rPr>
            </w:pPr>
            <w:r w:rsidRPr="0020360D">
              <w:rPr>
                <w:rFonts w:ascii="Arial" w:eastAsia="Arial" w:hAnsi="Arial" w:cs="Arial"/>
                <w:color w:val="000000" w:themeColor="text1"/>
                <w:sz w:val="20"/>
                <w:szCs w:val="20"/>
              </w:rPr>
              <w:t>Data: the number of rejected null hypotheses after Bonferroni correction (</w:t>
            </w:r>
            <w:r w:rsidRPr="0020360D">
              <w:rPr>
                <w:rFonts w:ascii="Arial" w:eastAsia="Arial" w:hAnsi="Arial" w:cs="Arial"/>
                <w:i/>
                <w:color w:val="000000" w:themeColor="text1"/>
                <w:sz w:val="20"/>
                <w:szCs w:val="20"/>
              </w:rPr>
              <w:t>α = 0.05</w:t>
            </w:r>
            <w:r w:rsidRPr="0020360D">
              <w:rPr>
                <w:rFonts w:ascii="Arial" w:eastAsia="Arial" w:hAnsi="Arial" w:cs="Arial"/>
                <w:color w:val="000000" w:themeColor="text1"/>
                <w:sz w:val="20"/>
                <w:szCs w:val="20"/>
              </w:rPr>
              <w:t>).</w:t>
            </w:r>
          </w:p>
        </w:tc>
      </w:tr>
      <w:tr w:rsidR="0020360D" w:rsidRPr="0020360D" w:rsidTr="002B7B14">
        <w:trPr>
          <w:cantSplit/>
        </w:trPr>
        <w:tc>
          <w:tcPr>
            <w:tcW w:w="4763" w:type="dxa"/>
            <w:gridSpan w:val="4"/>
            <w:vAlign w:val="center"/>
          </w:tcPr>
          <w:p w:rsidR="0020360D" w:rsidRPr="0020360D" w:rsidRDefault="0020360D" w:rsidP="002B7B14">
            <w:pPr>
              <w:spacing w:after="0" w:line="240" w:lineRule="auto"/>
              <w:jc w:val="both"/>
              <w:rPr>
                <w:rFonts w:ascii="Arial" w:eastAsia="Arial" w:hAnsi="Arial" w:cs="Arial"/>
                <w:color w:val="000000" w:themeColor="text1"/>
                <w:sz w:val="20"/>
                <w:szCs w:val="20"/>
              </w:rPr>
            </w:pPr>
          </w:p>
        </w:tc>
      </w:tr>
      <w:tr w:rsidR="0020360D" w:rsidRPr="0020360D" w:rsidTr="002B7B14">
        <w:trPr>
          <w:cantSplit/>
        </w:trPr>
        <w:tc>
          <w:tcPr>
            <w:tcW w:w="4763" w:type="dxa"/>
            <w:gridSpan w:val="4"/>
            <w:vAlign w:val="center"/>
          </w:tcPr>
          <w:p w:rsidR="0020360D" w:rsidRPr="0020360D" w:rsidRDefault="0020360D" w:rsidP="002B7B14">
            <w:pPr>
              <w:spacing w:after="0" w:line="240" w:lineRule="auto"/>
              <w:jc w:val="both"/>
              <w:rPr>
                <w:rFonts w:ascii="Arial" w:eastAsia="Arial" w:hAnsi="Arial" w:cs="Arial"/>
                <w:color w:val="000000" w:themeColor="text1"/>
                <w:sz w:val="20"/>
                <w:szCs w:val="20"/>
              </w:rPr>
            </w:pPr>
          </w:p>
        </w:tc>
      </w:tr>
    </w:tbl>
    <w:p w:rsidR="0020360D" w:rsidRPr="0020360D" w:rsidRDefault="0020360D" w:rsidP="0020360D">
      <w:pPr>
        <w:keepNext/>
        <w:keepLines/>
        <w:spacing w:line="360" w:lineRule="auto"/>
        <w:jc w:val="both"/>
        <w:rPr>
          <w:rFonts w:ascii="Arial" w:eastAsia="Arial" w:hAnsi="Arial" w:cs="Arial"/>
          <w:color w:val="000000" w:themeColor="text1"/>
          <w:sz w:val="20"/>
          <w:szCs w:val="20"/>
          <w:lang w:val="en-US"/>
        </w:rPr>
      </w:pPr>
      <w:r w:rsidRPr="0020360D">
        <w:rPr>
          <w:rFonts w:ascii="Arial" w:eastAsia="Arial" w:hAnsi="Arial" w:cs="Arial"/>
          <w:color w:val="000000" w:themeColor="text1"/>
          <w:sz w:val="20"/>
          <w:szCs w:val="20"/>
          <w:lang w:val="en-US"/>
        </w:rPr>
        <w:t>Table S3 contains the results for the corresponding Markov tests on microstate sequences computed with K=5 grand mean microstate maps. The results are compatible with the results of sleep stage-specific clustering for both K=4 (see main text), and K=5 (Table S2).</w:t>
      </w:r>
    </w:p>
    <w:tbl>
      <w:tblPr>
        <w:tblStyle w:val="TableGrid"/>
        <w:tblW w:w="4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409"/>
        <w:gridCol w:w="1410"/>
        <w:gridCol w:w="1410"/>
      </w:tblGrid>
      <w:tr w:rsidR="0020360D" w:rsidRPr="0020360D" w:rsidTr="002B7B14">
        <w:trPr>
          <w:cantSplit/>
        </w:trPr>
        <w:tc>
          <w:tcPr>
            <w:tcW w:w="4763" w:type="dxa"/>
            <w:gridSpan w:val="4"/>
            <w:tcBorders>
              <w:bottom w:val="single" w:sz="4" w:space="0" w:color="auto"/>
            </w:tcBorders>
            <w:vAlign w:val="center"/>
          </w:tcPr>
          <w:p w:rsidR="0020360D" w:rsidRPr="0020360D" w:rsidRDefault="0020360D" w:rsidP="002B7B14">
            <w:pPr>
              <w:spacing w:after="0" w:line="240" w:lineRule="auto"/>
              <w:jc w:val="both"/>
              <w:rPr>
                <w:rFonts w:ascii="Arial" w:eastAsia="Arial" w:hAnsi="Arial" w:cs="Arial"/>
                <w:color w:val="000000" w:themeColor="text1"/>
                <w:sz w:val="20"/>
                <w:szCs w:val="20"/>
              </w:rPr>
            </w:pPr>
            <w:r w:rsidRPr="0020360D">
              <w:rPr>
                <w:rFonts w:ascii="Arial" w:eastAsia="Arial" w:hAnsi="Arial" w:cs="Arial"/>
                <w:color w:val="000000" w:themeColor="text1"/>
                <w:sz w:val="20"/>
                <w:szCs w:val="20"/>
              </w:rPr>
              <w:t>Table S3</w:t>
            </w:r>
          </w:p>
          <w:p w:rsidR="0020360D" w:rsidRPr="0020360D" w:rsidRDefault="0020360D" w:rsidP="002B7B14">
            <w:pPr>
              <w:spacing w:after="0" w:line="240" w:lineRule="auto"/>
              <w:jc w:val="both"/>
              <w:rPr>
                <w:rFonts w:ascii="Arial" w:eastAsia="Arial" w:hAnsi="Arial" w:cs="Arial"/>
                <w:color w:val="000000" w:themeColor="text1"/>
                <w:sz w:val="20"/>
                <w:szCs w:val="20"/>
              </w:rPr>
            </w:pPr>
            <w:r w:rsidRPr="0020360D">
              <w:rPr>
                <w:rFonts w:ascii="Arial" w:eastAsia="Arial" w:hAnsi="Arial" w:cs="Arial"/>
                <w:color w:val="000000" w:themeColor="text1"/>
                <w:sz w:val="20"/>
                <w:szCs w:val="20"/>
              </w:rPr>
              <w:t xml:space="preserve">Markov tests for microstate sequences with </w:t>
            </w:r>
            <w:r w:rsidRPr="0020360D">
              <w:rPr>
                <w:rFonts w:ascii="Arial" w:eastAsia="Arial" w:hAnsi="Arial" w:cs="Arial"/>
                <w:i/>
                <w:color w:val="000000" w:themeColor="text1"/>
                <w:sz w:val="20"/>
                <w:szCs w:val="20"/>
              </w:rPr>
              <w:t>K</w:t>
            </w:r>
            <w:r w:rsidRPr="0020360D">
              <w:rPr>
                <w:rFonts w:ascii="Arial" w:eastAsia="Arial" w:hAnsi="Arial" w:cs="Arial"/>
                <w:color w:val="000000" w:themeColor="text1"/>
                <w:sz w:val="20"/>
                <w:szCs w:val="20"/>
              </w:rPr>
              <w:t xml:space="preserve"> = 5 microstate classes (grand mean maps). Rows: sleep stages W, N1, N2, N3. Columns: Markov-</w:t>
            </w:r>
            <w:r w:rsidRPr="0020360D">
              <w:rPr>
                <w:rFonts w:ascii="Arial" w:eastAsia="Arial" w:hAnsi="Arial" w:cs="Arial"/>
                <w:i/>
                <w:color w:val="000000" w:themeColor="text1"/>
                <w:sz w:val="20"/>
                <w:szCs w:val="20"/>
              </w:rPr>
              <w:t>k</w:t>
            </w:r>
            <w:r w:rsidRPr="0020360D">
              <w:rPr>
                <w:rFonts w:ascii="Arial" w:eastAsia="Arial" w:hAnsi="Arial" w:cs="Arial"/>
                <w:color w:val="000000" w:themeColor="text1"/>
                <w:sz w:val="20"/>
                <w:szCs w:val="20"/>
              </w:rPr>
              <w:t xml:space="preserve"> refers to chi-square tests for </w:t>
            </w:r>
            <w:r w:rsidRPr="0020360D">
              <w:rPr>
                <w:rFonts w:ascii="Arial" w:eastAsia="Arial" w:hAnsi="Arial" w:cs="Arial"/>
                <w:i/>
                <w:color w:val="000000" w:themeColor="text1"/>
                <w:sz w:val="20"/>
                <w:szCs w:val="20"/>
              </w:rPr>
              <w:t>k</w:t>
            </w:r>
            <w:r w:rsidRPr="0020360D">
              <w:rPr>
                <w:rFonts w:ascii="Arial" w:eastAsia="Arial" w:hAnsi="Arial" w:cs="Arial"/>
                <w:color w:val="000000" w:themeColor="text1"/>
                <w:sz w:val="20"/>
                <w:szCs w:val="20"/>
              </w:rPr>
              <w:t xml:space="preserve">-th order Markovianity. </w:t>
            </w:r>
          </w:p>
        </w:tc>
      </w:tr>
      <w:tr w:rsidR="0020360D" w:rsidRPr="0020360D" w:rsidTr="002B7B14">
        <w:trPr>
          <w:cantSplit/>
        </w:trPr>
        <w:tc>
          <w:tcPr>
            <w:tcW w:w="534" w:type="dxa"/>
            <w:tcBorders>
              <w:top w:val="single" w:sz="4" w:space="0" w:color="auto"/>
            </w:tcBorders>
            <w:vAlign w:val="center"/>
          </w:tcPr>
          <w:p w:rsidR="0020360D" w:rsidRPr="0020360D" w:rsidRDefault="0020360D" w:rsidP="002B7B14">
            <w:pPr>
              <w:spacing w:after="0" w:line="240" w:lineRule="auto"/>
              <w:rPr>
                <w:rFonts w:ascii="Arial" w:eastAsia="Arial" w:hAnsi="Arial" w:cs="Arial"/>
                <w:color w:val="000000" w:themeColor="text1"/>
                <w:sz w:val="20"/>
                <w:szCs w:val="20"/>
              </w:rPr>
            </w:pPr>
          </w:p>
        </w:tc>
        <w:tc>
          <w:tcPr>
            <w:tcW w:w="1409" w:type="dxa"/>
            <w:tcBorders>
              <w:top w:val="single" w:sz="4" w:space="0" w:color="auto"/>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Markov-0</w:t>
            </w:r>
          </w:p>
        </w:tc>
        <w:tc>
          <w:tcPr>
            <w:tcW w:w="1410" w:type="dxa"/>
            <w:tcBorders>
              <w:top w:val="single" w:sz="4" w:space="0" w:color="auto"/>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Markov-1</w:t>
            </w:r>
          </w:p>
        </w:tc>
        <w:tc>
          <w:tcPr>
            <w:tcW w:w="1410" w:type="dxa"/>
            <w:tcBorders>
              <w:top w:val="single" w:sz="4" w:space="0" w:color="auto"/>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Markov-2</w:t>
            </w:r>
          </w:p>
        </w:tc>
      </w:tr>
      <w:tr w:rsidR="0020360D" w:rsidRPr="0020360D" w:rsidTr="002B7B14">
        <w:trPr>
          <w:cantSplit/>
        </w:trPr>
        <w:tc>
          <w:tcPr>
            <w:tcW w:w="534" w:type="dxa"/>
            <w:vAlign w:val="center"/>
          </w:tcPr>
          <w:p w:rsidR="0020360D" w:rsidRPr="0020360D" w:rsidRDefault="0020360D" w:rsidP="002B7B14">
            <w:pPr>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W</w:t>
            </w:r>
          </w:p>
        </w:tc>
        <w:tc>
          <w:tcPr>
            <w:tcW w:w="1409"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r>
      <w:tr w:rsidR="0020360D" w:rsidRPr="0020360D" w:rsidTr="002B7B14">
        <w:trPr>
          <w:cantSplit/>
        </w:trPr>
        <w:tc>
          <w:tcPr>
            <w:tcW w:w="534" w:type="dxa"/>
            <w:vAlign w:val="center"/>
          </w:tcPr>
          <w:p w:rsidR="0020360D" w:rsidRPr="0020360D" w:rsidRDefault="0020360D" w:rsidP="002B7B14">
            <w:pPr>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N1</w:t>
            </w:r>
          </w:p>
        </w:tc>
        <w:tc>
          <w:tcPr>
            <w:tcW w:w="1409"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24/32</w:t>
            </w:r>
          </w:p>
        </w:tc>
      </w:tr>
      <w:tr w:rsidR="0020360D" w:rsidRPr="0020360D" w:rsidTr="002B7B14">
        <w:trPr>
          <w:cantSplit/>
        </w:trPr>
        <w:tc>
          <w:tcPr>
            <w:tcW w:w="534" w:type="dxa"/>
            <w:vAlign w:val="center"/>
          </w:tcPr>
          <w:p w:rsidR="0020360D" w:rsidRPr="0020360D" w:rsidRDefault="0020360D" w:rsidP="002B7B14">
            <w:pPr>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N2</w:t>
            </w:r>
          </w:p>
        </w:tc>
        <w:tc>
          <w:tcPr>
            <w:tcW w:w="1409"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32/32</w:t>
            </w:r>
          </w:p>
        </w:tc>
        <w:tc>
          <w:tcPr>
            <w:tcW w:w="1410" w:type="dxa"/>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11/32</w:t>
            </w:r>
          </w:p>
        </w:tc>
      </w:tr>
      <w:tr w:rsidR="0020360D" w:rsidRPr="0020360D" w:rsidTr="002B7B14">
        <w:trPr>
          <w:cantSplit/>
        </w:trPr>
        <w:tc>
          <w:tcPr>
            <w:tcW w:w="534" w:type="dxa"/>
            <w:tcBorders>
              <w:bottom w:val="single" w:sz="4" w:space="0" w:color="auto"/>
            </w:tcBorders>
            <w:vAlign w:val="center"/>
          </w:tcPr>
          <w:p w:rsidR="0020360D" w:rsidRPr="0020360D" w:rsidRDefault="0020360D" w:rsidP="002B7B14">
            <w:pPr>
              <w:spacing w:after="0" w:line="240" w:lineRule="auto"/>
              <w:rPr>
                <w:rFonts w:ascii="Arial" w:eastAsia="Arial" w:hAnsi="Arial" w:cs="Arial"/>
                <w:color w:val="000000" w:themeColor="text1"/>
                <w:sz w:val="20"/>
                <w:szCs w:val="20"/>
              </w:rPr>
            </w:pPr>
            <w:r w:rsidRPr="0020360D">
              <w:rPr>
                <w:rFonts w:ascii="Arial" w:eastAsia="Arial" w:hAnsi="Arial" w:cs="Arial"/>
                <w:color w:val="000000" w:themeColor="text1"/>
                <w:sz w:val="20"/>
                <w:szCs w:val="20"/>
              </w:rPr>
              <w:t>N3</w:t>
            </w:r>
          </w:p>
        </w:tc>
        <w:tc>
          <w:tcPr>
            <w:tcW w:w="1409" w:type="dxa"/>
            <w:tcBorders>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19/19</w:t>
            </w:r>
          </w:p>
        </w:tc>
        <w:tc>
          <w:tcPr>
            <w:tcW w:w="1410" w:type="dxa"/>
            <w:tcBorders>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19/19</w:t>
            </w:r>
          </w:p>
        </w:tc>
        <w:tc>
          <w:tcPr>
            <w:tcW w:w="1410" w:type="dxa"/>
            <w:tcBorders>
              <w:bottom w:val="single" w:sz="4" w:space="0" w:color="auto"/>
            </w:tcBorders>
            <w:vAlign w:val="center"/>
          </w:tcPr>
          <w:p w:rsidR="0020360D" w:rsidRPr="0020360D" w:rsidRDefault="0020360D" w:rsidP="002B7B14">
            <w:pPr>
              <w:spacing w:after="0" w:line="240" w:lineRule="auto"/>
              <w:jc w:val="center"/>
              <w:rPr>
                <w:rFonts w:ascii="Arial" w:eastAsia="Arial" w:hAnsi="Arial" w:cs="Arial"/>
                <w:color w:val="000000" w:themeColor="text1"/>
                <w:sz w:val="20"/>
                <w:szCs w:val="20"/>
              </w:rPr>
            </w:pPr>
            <w:r w:rsidRPr="0020360D">
              <w:rPr>
                <w:rFonts w:ascii="Arial" w:eastAsia="Arial" w:hAnsi="Arial" w:cs="Arial"/>
                <w:color w:val="000000" w:themeColor="text1"/>
                <w:sz w:val="20"/>
                <w:szCs w:val="20"/>
              </w:rPr>
              <w:t>1/19</w:t>
            </w:r>
          </w:p>
        </w:tc>
      </w:tr>
      <w:tr w:rsidR="0020360D" w:rsidRPr="0020360D" w:rsidTr="002B7B14">
        <w:trPr>
          <w:cantSplit/>
        </w:trPr>
        <w:tc>
          <w:tcPr>
            <w:tcW w:w="4763" w:type="dxa"/>
            <w:gridSpan w:val="4"/>
            <w:tcBorders>
              <w:top w:val="single" w:sz="4" w:space="0" w:color="auto"/>
            </w:tcBorders>
            <w:vAlign w:val="center"/>
          </w:tcPr>
          <w:p w:rsidR="0020360D" w:rsidRPr="0020360D" w:rsidRDefault="0020360D" w:rsidP="002B7B14">
            <w:pPr>
              <w:spacing w:after="0" w:line="240" w:lineRule="auto"/>
              <w:jc w:val="both"/>
              <w:rPr>
                <w:rFonts w:ascii="Arial" w:eastAsia="Arial" w:hAnsi="Arial" w:cs="Arial"/>
                <w:color w:val="000000" w:themeColor="text1"/>
                <w:sz w:val="20"/>
                <w:szCs w:val="20"/>
              </w:rPr>
            </w:pPr>
            <w:r w:rsidRPr="0020360D">
              <w:rPr>
                <w:rFonts w:ascii="Arial" w:eastAsia="Arial" w:hAnsi="Arial" w:cs="Arial"/>
                <w:color w:val="000000" w:themeColor="text1"/>
                <w:sz w:val="20"/>
                <w:szCs w:val="20"/>
              </w:rPr>
              <w:t>Data: the number of rejected null hypotheses after Bonferroni correction (</w:t>
            </w:r>
            <w:r w:rsidRPr="0020360D">
              <w:rPr>
                <w:rFonts w:ascii="Arial" w:eastAsia="Arial" w:hAnsi="Arial" w:cs="Arial"/>
                <w:i/>
                <w:color w:val="000000" w:themeColor="text1"/>
                <w:sz w:val="20"/>
                <w:szCs w:val="20"/>
              </w:rPr>
              <w:t>α = 0.05</w:t>
            </w:r>
            <w:r w:rsidRPr="0020360D">
              <w:rPr>
                <w:rFonts w:ascii="Arial" w:eastAsia="Arial" w:hAnsi="Arial" w:cs="Arial"/>
                <w:color w:val="000000" w:themeColor="text1"/>
                <w:sz w:val="20"/>
                <w:szCs w:val="20"/>
              </w:rPr>
              <w:t>).</w:t>
            </w:r>
          </w:p>
        </w:tc>
      </w:tr>
      <w:tr w:rsidR="0020360D" w:rsidRPr="0020360D" w:rsidTr="002B7B14">
        <w:trPr>
          <w:cantSplit/>
        </w:trPr>
        <w:tc>
          <w:tcPr>
            <w:tcW w:w="4763" w:type="dxa"/>
            <w:gridSpan w:val="4"/>
            <w:vAlign w:val="center"/>
          </w:tcPr>
          <w:p w:rsidR="0020360D" w:rsidRPr="0020360D" w:rsidRDefault="0020360D" w:rsidP="002B7B14">
            <w:pPr>
              <w:spacing w:after="0" w:line="240" w:lineRule="auto"/>
              <w:jc w:val="both"/>
              <w:rPr>
                <w:rFonts w:ascii="Arial" w:eastAsia="Arial" w:hAnsi="Arial" w:cs="Arial"/>
                <w:color w:val="000000" w:themeColor="text1"/>
                <w:sz w:val="20"/>
                <w:szCs w:val="20"/>
              </w:rPr>
            </w:pPr>
          </w:p>
        </w:tc>
      </w:tr>
      <w:tr w:rsidR="0020360D" w:rsidRPr="0020360D" w:rsidTr="002B7B14">
        <w:trPr>
          <w:cantSplit/>
        </w:trPr>
        <w:tc>
          <w:tcPr>
            <w:tcW w:w="4763" w:type="dxa"/>
            <w:gridSpan w:val="4"/>
            <w:vAlign w:val="center"/>
          </w:tcPr>
          <w:p w:rsidR="0020360D" w:rsidRPr="0020360D" w:rsidRDefault="0020360D" w:rsidP="002B7B14">
            <w:pPr>
              <w:spacing w:after="0" w:line="240" w:lineRule="auto"/>
              <w:jc w:val="both"/>
              <w:rPr>
                <w:rFonts w:ascii="Arial" w:eastAsia="Arial" w:hAnsi="Arial" w:cs="Arial"/>
                <w:color w:val="000000" w:themeColor="text1"/>
                <w:sz w:val="20"/>
                <w:szCs w:val="20"/>
              </w:rPr>
            </w:pPr>
          </w:p>
        </w:tc>
      </w:tr>
    </w:tbl>
    <w:p w:rsidR="0020360D" w:rsidRPr="0020360D" w:rsidRDefault="0020360D" w:rsidP="0020360D">
      <w:pPr>
        <w:keepNext/>
        <w:keepLines/>
        <w:spacing w:line="360" w:lineRule="auto"/>
        <w:jc w:val="both"/>
        <w:rPr>
          <w:rFonts w:ascii="Arial" w:eastAsia="Arial" w:hAnsi="Arial" w:cs="Arial"/>
          <w:b/>
          <w:color w:val="000000" w:themeColor="text1"/>
          <w:sz w:val="20"/>
          <w:szCs w:val="20"/>
          <w:lang w:val="en-US"/>
        </w:rPr>
      </w:pPr>
      <w:r w:rsidRPr="0020360D">
        <w:rPr>
          <w:rFonts w:ascii="Arial" w:eastAsia="Arial" w:hAnsi="Arial" w:cs="Arial"/>
          <w:b/>
          <w:color w:val="000000" w:themeColor="text1"/>
          <w:sz w:val="20"/>
          <w:szCs w:val="20"/>
          <w:lang w:val="en-US"/>
        </w:rPr>
        <w:lastRenderedPageBreak/>
        <w:t>4. Markov test power for short N2 microstate sequences</w:t>
      </w:r>
    </w:p>
    <w:p w:rsidR="0020360D" w:rsidRPr="0020360D" w:rsidRDefault="0020360D" w:rsidP="0020360D">
      <w:pPr>
        <w:keepNext/>
        <w:keepLines/>
        <w:spacing w:after="0" w:line="360" w:lineRule="auto"/>
        <w:jc w:val="both"/>
        <w:rPr>
          <w:rFonts w:ascii="Arial" w:eastAsia="Arial" w:hAnsi="Arial" w:cs="Arial"/>
          <w:color w:val="000000" w:themeColor="text1"/>
          <w:sz w:val="20"/>
          <w:szCs w:val="20"/>
          <w:lang w:val="en-US"/>
        </w:rPr>
      </w:pPr>
      <w:r w:rsidRPr="0020360D">
        <w:rPr>
          <w:rFonts w:ascii="Arial" w:eastAsia="Arial" w:hAnsi="Arial" w:cs="Arial"/>
          <w:color w:val="000000" w:themeColor="text1"/>
          <w:sz w:val="20"/>
          <w:szCs w:val="20"/>
          <w:lang w:val="en-US"/>
        </w:rPr>
        <w:t xml:space="preserve">Testing the Markov property of microstate sequences representing sleep spindles in sleep stage N2 resulted in the rejection of 32/32 sequences for zero-order Markovianity, 1/32 sequences for first-order Markovianity, and 0/32 sequences for second-order Markovianity (main text). As the power of statistical tests decreases with sample size and sleep spindles are relatively short, we estimated the power of the applied Markov tests with surrogate sequences of known Markov order. For each of the </w:t>
      </w:r>
      <w:r w:rsidRPr="0020360D">
        <w:rPr>
          <w:rFonts w:ascii="Arial" w:eastAsia="Arial" w:hAnsi="Arial" w:cs="Arial"/>
          <w:i/>
          <w:color w:val="000000" w:themeColor="text1"/>
          <w:sz w:val="20"/>
          <w:szCs w:val="20"/>
          <w:lang w:val="en-US"/>
        </w:rPr>
        <w:t>n</w:t>
      </w:r>
      <w:r w:rsidRPr="0020360D">
        <w:rPr>
          <w:rFonts w:ascii="Arial" w:eastAsia="Arial" w:hAnsi="Arial" w:cs="Arial"/>
          <w:color w:val="000000" w:themeColor="text1"/>
          <w:sz w:val="20"/>
          <w:szCs w:val="20"/>
          <w:lang w:val="en-US"/>
        </w:rPr>
        <w:t xml:space="preserve"> = 32 microstate sequences from sleep stage N2, we calculated 10 surrogate sequences with known Markov order</w:t>
      </w:r>
      <w:r w:rsidRPr="0020360D">
        <w:rPr>
          <w:rFonts w:ascii="Arial" w:eastAsia="Arial" w:hAnsi="Arial" w:cs="Arial"/>
          <w:i/>
          <w:color w:val="000000" w:themeColor="text1"/>
          <w:sz w:val="20"/>
          <w:szCs w:val="20"/>
          <w:lang w:val="en-US"/>
        </w:rPr>
        <w:t xml:space="preserve"> k </w:t>
      </w:r>
      <w:r w:rsidRPr="0020360D">
        <w:rPr>
          <w:rFonts w:ascii="Arial" w:eastAsia="Arial" w:hAnsi="Arial" w:cs="Arial"/>
          <w:color w:val="000000" w:themeColor="text1"/>
          <w:sz w:val="20"/>
          <w:szCs w:val="20"/>
          <w:lang w:val="en-US"/>
        </w:rPr>
        <w:t xml:space="preserve">= 3. The corresponding third-order transition matrix </w:t>
      </w:r>
      <m:oMath>
        <m:r>
          <w:rPr>
            <w:rFonts w:ascii="Cambria Math" w:eastAsia="Arial" w:hAnsi="Arial" w:cs="Arial"/>
            <w:color w:val="000000" w:themeColor="text1"/>
            <w:sz w:val="20"/>
            <w:szCs w:val="20"/>
          </w:rPr>
          <m:t>P</m:t>
        </m:r>
        <m:r>
          <w:rPr>
            <w:rFonts w:ascii="Arial" w:eastAsia="Arial" w:hAnsi="Arial" w:cs="Arial"/>
            <w:color w:val="000000" w:themeColor="text1"/>
            <w:sz w:val="20"/>
            <w:szCs w:val="20"/>
            <w:lang w:val="en-US"/>
          </w:rPr>
          <m:t>(</m:t>
        </m:r>
        <m:sSub>
          <m:sSubPr>
            <m:ctrlPr>
              <w:rPr>
                <w:rFonts w:ascii="Arial" w:eastAsia="Arial" w:hAnsi="Arial" w:cs="Arial"/>
                <w:color w:val="000000" w:themeColor="text1"/>
                <w:sz w:val="20"/>
                <w:szCs w:val="20"/>
              </w:rPr>
            </m:ctrlPr>
          </m:sSubPr>
          <m:e>
            <m:r>
              <w:rPr>
                <w:rFonts w:ascii="Cambria Math" w:eastAsia="Arial" w:hAnsi="Arial" w:cs="Arial"/>
                <w:color w:val="000000" w:themeColor="text1"/>
                <w:sz w:val="20"/>
                <w:szCs w:val="20"/>
              </w:rPr>
              <m:t>X</m:t>
            </m:r>
          </m:e>
          <m:sub>
            <m:r>
              <w:rPr>
                <w:rFonts w:ascii="Cambria Math" w:eastAsia="Arial" w:hAnsi="Arial" w:cs="Arial"/>
                <w:color w:val="000000" w:themeColor="text1"/>
                <w:sz w:val="20"/>
                <w:szCs w:val="20"/>
              </w:rPr>
              <m:t>t</m:t>
            </m:r>
          </m:sub>
        </m:sSub>
        <m:r>
          <w:rPr>
            <w:rFonts w:ascii="Arial" w:eastAsia="Arial" w:hAnsi="Arial" w:cs="Arial"/>
            <w:color w:val="000000" w:themeColor="text1"/>
            <w:sz w:val="20"/>
            <w:szCs w:val="20"/>
            <w:lang w:val="en-US"/>
          </w:rPr>
          <m:t>|</m:t>
        </m:r>
        <m:sSub>
          <m:sSubPr>
            <m:ctrlPr>
              <w:rPr>
                <w:rFonts w:ascii="Arial" w:eastAsia="Arial" w:hAnsi="Arial" w:cs="Arial"/>
                <w:color w:val="000000" w:themeColor="text1"/>
                <w:sz w:val="20"/>
                <w:szCs w:val="20"/>
              </w:rPr>
            </m:ctrlPr>
          </m:sSubPr>
          <m:e>
            <m:r>
              <w:rPr>
                <w:rFonts w:ascii="Cambria Math" w:eastAsia="Arial" w:hAnsi="Arial" w:cs="Arial"/>
                <w:color w:val="000000" w:themeColor="text1"/>
                <w:sz w:val="20"/>
                <w:szCs w:val="20"/>
              </w:rPr>
              <m:t>X</m:t>
            </m:r>
          </m:e>
          <m:sub>
            <m:r>
              <w:rPr>
                <w:rFonts w:ascii="Cambria Math" w:eastAsia="Arial" w:hAnsi="Arial" w:cs="Arial"/>
                <w:color w:val="000000" w:themeColor="text1"/>
                <w:sz w:val="20"/>
                <w:szCs w:val="20"/>
              </w:rPr>
              <m:t>t</m:t>
            </m:r>
            <m:r>
              <w:rPr>
                <w:rFonts w:ascii="Arial" w:eastAsia="Arial" w:hAnsi="Arial" w:cs="Arial"/>
                <w:color w:val="000000" w:themeColor="text1"/>
                <w:sz w:val="20"/>
                <w:szCs w:val="20"/>
                <w:lang w:val="en-US"/>
              </w:rPr>
              <m:t>-1</m:t>
            </m:r>
          </m:sub>
        </m:sSub>
        <m:r>
          <w:rPr>
            <w:rFonts w:ascii="Arial" w:eastAsia="Arial" w:hAnsi="Arial" w:cs="Arial"/>
            <w:color w:val="000000" w:themeColor="text1"/>
            <w:sz w:val="20"/>
            <w:szCs w:val="20"/>
            <w:lang w:val="en-US"/>
          </w:rPr>
          <m:t>,</m:t>
        </m:r>
        <m:sSub>
          <m:sSubPr>
            <m:ctrlPr>
              <w:rPr>
                <w:rFonts w:ascii="Arial" w:eastAsia="Arial" w:hAnsi="Arial" w:cs="Arial"/>
                <w:color w:val="000000" w:themeColor="text1"/>
                <w:sz w:val="20"/>
                <w:szCs w:val="20"/>
              </w:rPr>
            </m:ctrlPr>
          </m:sSubPr>
          <m:e>
            <m:r>
              <w:rPr>
                <w:rFonts w:ascii="Cambria Math" w:eastAsia="Arial" w:hAnsi="Arial" w:cs="Arial"/>
                <w:color w:val="000000" w:themeColor="text1"/>
                <w:sz w:val="20"/>
                <w:szCs w:val="20"/>
              </w:rPr>
              <m:t>X</m:t>
            </m:r>
          </m:e>
          <m:sub>
            <m:r>
              <w:rPr>
                <w:rFonts w:ascii="Cambria Math" w:eastAsia="Arial" w:hAnsi="Arial" w:cs="Arial"/>
                <w:color w:val="000000" w:themeColor="text1"/>
                <w:sz w:val="20"/>
                <w:szCs w:val="20"/>
              </w:rPr>
              <m:t>t</m:t>
            </m:r>
            <m:r>
              <w:rPr>
                <w:rFonts w:ascii="Arial" w:eastAsia="Arial" w:hAnsi="Arial" w:cs="Arial"/>
                <w:color w:val="000000" w:themeColor="text1"/>
                <w:sz w:val="20"/>
                <w:szCs w:val="20"/>
                <w:lang w:val="en-US"/>
              </w:rPr>
              <m:t>-2</m:t>
            </m:r>
          </m:sub>
        </m:sSub>
        <m:r>
          <w:rPr>
            <w:rFonts w:ascii="Arial" w:eastAsia="Arial" w:hAnsi="Arial" w:cs="Arial"/>
            <w:color w:val="000000" w:themeColor="text1"/>
            <w:sz w:val="20"/>
            <w:szCs w:val="20"/>
            <w:lang w:val="en-US"/>
          </w:rPr>
          <m:t>,</m:t>
        </m:r>
        <m:sSub>
          <m:sSubPr>
            <m:ctrlPr>
              <w:rPr>
                <w:rFonts w:ascii="Arial" w:eastAsia="Arial" w:hAnsi="Arial" w:cs="Arial"/>
                <w:color w:val="000000" w:themeColor="text1"/>
                <w:sz w:val="20"/>
                <w:szCs w:val="20"/>
              </w:rPr>
            </m:ctrlPr>
          </m:sSubPr>
          <m:e>
            <m:r>
              <w:rPr>
                <w:rFonts w:ascii="Cambria Math" w:eastAsia="Arial" w:hAnsi="Arial" w:cs="Arial"/>
                <w:color w:val="000000" w:themeColor="text1"/>
                <w:sz w:val="20"/>
                <w:szCs w:val="20"/>
              </w:rPr>
              <m:t>X</m:t>
            </m:r>
          </m:e>
          <m:sub>
            <m:r>
              <w:rPr>
                <w:rFonts w:ascii="Cambria Math" w:eastAsia="Arial" w:hAnsi="Arial" w:cs="Arial"/>
                <w:color w:val="000000" w:themeColor="text1"/>
                <w:sz w:val="20"/>
                <w:szCs w:val="20"/>
              </w:rPr>
              <m:t>t</m:t>
            </m:r>
            <m:r>
              <w:rPr>
                <w:rFonts w:ascii="Arial" w:eastAsia="Arial" w:hAnsi="Arial" w:cs="Arial"/>
                <w:color w:val="000000" w:themeColor="text1"/>
                <w:sz w:val="20"/>
                <w:szCs w:val="20"/>
                <w:lang w:val="en-US"/>
              </w:rPr>
              <m:t>-3</m:t>
            </m:r>
          </m:sub>
        </m:sSub>
        <m:r>
          <w:rPr>
            <w:rFonts w:ascii="Arial" w:eastAsia="Arial" w:hAnsi="Arial" w:cs="Arial"/>
            <w:color w:val="000000" w:themeColor="text1"/>
            <w:sz w:val="20"/>
            <w:szCs w:val="20"/>
            <w:lang w:val="en-US"/>
          </w:rPr>
          <m:t>)</m:t>
        </m:r>
      </m:oMath>
      <w:r w:rsidRPr="0020360D">
        <w:rPr>
          <w:rFonts w:ascii="Arial" w:eastAsia="Arial" w:hAnsi="Arial" w:cs="Arial"/>
          <w:color w:val="000000" w:themeColor="text1"/>
          <w:sz w:val="20"/>
          <w:szCs w:val="20"/>
          <w:lang w:val="en-US"/>
        </w:rPr>
        <w:t xml:space="preserve"> was derived from the underlying N2 microstate sequence. Next, to compare the Markov test power of long and short sequences, we extracted 10 sub-sequences from each surrogate, each of length 2 seconds.</w:t>
      </w:r>
    </w:p>
    <w:p w:rsidR="0020360D" w:rsidRPr="0020360D" w:rsidRDefault="0020360D" w:rsidP="0020360D">
      <w:pPr>
        <w:keepNext/>
        <w:keepLines/>
        <w:spacing w:line="360" w:lineRule="auto"/>
        <w:jc w:val="both"/>
        <w:rPr>
          <w:rFonts w:ascii="Arial" w:eastAsia="Arial" w:hAnsi="Arial" w:cs="Arial"/>
          <w:color w:val="000000" w:themeColor="text1"/>
          <w:sz w:val="20"/>
          <w:szCs w:val="20"/>
          <w:lang w:val="en-US"/>
        </w:rPr>
      </w:pPr>
      <w:r w:rsidRPr="0020360D">
        <w:rPr>
          <w:rFonts w:ascii="Arial" w:eastAsia="Arial" w:hAnsi="Arial" w:cs="Arial"/>
          <w:color w:val="000000" w:themeColor="text1"/>
          <w:sz w:val="20"/>
          <w:szCs w:val="20"/>
          <w:lang w:val="en-US"/>
        </w:rPr>
        <w:t>The results are shown in Table S4. For the full length third-order Markov surrogate sequences (same length as the N2 sequences), all Markov tests of order 0, 1, and 2 were rejected (true positives). For the short sequences (2 s), however, only the zero-order Markov test was free from false negatives. First- and second-order Markov test results were all</w:t>
      </w:r>
      <w:r w:rsidRPr="0020360D">
        <w:rPr>
          <w:rFonts w:ascii="Arial" w:eastAsia="Arial" w:hAnsi="Arial" w:cs="Arial"/>
          <w:b/>
          <w:i/>
          <w:color w:val="000000" w:themeColor="text1"/>
          <w:sz w:val="20"/>
          <w:szCs w:val="20"/>
          <w:lang w:val="en-US"/>
        </w:rPr>
        <w:t xml:space="preserve"> </w:t>
      </w:r>
      <w:r w:rsidRPr="0020360D">
        <w:rPr>
          <w:rFonts w:ascii="Arial" w:eastAsia="Arial" w:hAnsi="Arial" w:cs="Arial"/>
          <w:color w:val="000000" w:themeColor="text1"/>
          <w:sz w:val="20"/>
          <w:szCs w:val="20"/>
          <w:lang w:val="en-US"/>
        </w:rPr>
        <w:t>false negatives. The tests should have rejected the null hypotheses as the surrogates were of order k=3 by construction, but the respective null hypotheses were accepted. This shows that the test results suggesting a Markov order k=2 for sleep spindles are not reliable. The true Markov order of sleep spindle microstate sequences, if it exists, remains unknown.</w:t>
      </w:r>
    </w:p>
    <w:tbl>
      <w:tblPr>
        <w:tblStyle w:val="TableGrid"/>
        <w:tblW w:w="4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1642"/>
        <w:gridCol w:w="1927"/>
      </w:tblGrid>
      <w:tr w:rsidR="0020360D" w:rsidRPr="0020360D" w:rsidTr="002B7B14">
        <w:trPr>
          <w:cantSplit/>
        </w:trPr>
        <w:tc>
          <w:tcPr>
            <w:tcW w:w="0" w:type="auto"/>
            <w:gridSpan w:val="3"/>
            <w:tcBorders>
              <w:bottom w:val="single" w:sz="4" w:space="0" w:color="auto"/>
            </w:tcBorders>
            <w:vAlign w:val="center"/>
          </w:tcPr>
          <w:p w:rsidR="0020360D" w:rsidRPr="0020360D" w:rsidRDefault="0020360D" w:rsidP="002B7B14">
            <w:pPr>
              <w:keepNext/>
              <w:keepLines/>
              <w:spacing w:after="0" w:line="240" w:lineRule="auto"/>
              <w:jc w:val="both"/>
              <w:rPr>
                <w:rFonts w:ascii="Arial" w:eastAsia="Arial" w:hAnsi="Arial" w:cs="Arial"/>
                <w:color w:val="000000" w:themeColor="text1"/>
                <w:sz w:val="20"/>
                <w:szCs w:val="20"/>
              </w:rPr>
            </w:pPr>
            <w:r w:rsidRPr="0020360D">
              <w:rPr>
                <w:rFonts w:ascii="Arial" w:eastAsia="Arial" w:hAnsi="Arial" w:cs="Arial"/>
                <w:color w:val="000000" w:themeColor="text1"/>
                <w:sz w:val="20"/>
                <w:szCs w:val="20"/>
              </w:rPr>
              <w:t>Table S4</w:t>
            </w:r>
          </w:p>
          <w:p w:rsidR="0020360D" w:rsidRPr="0020360D" w:rsidRDefault="0020360D" w:rsidP="002B7B14">
            <w:pPr>
              <w:keepNext/>
              <w:keepLines/>
              <w:spacing w:after="0" w:line="240" w:lineRule="auto"/>
              <w:jc w:val="both"/>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Reliability of Markovianity tests for short segments: For each N2 microstate sequence (</w:t>
            </w:r>
            <w:r w:rsidRPr="0020360D">
              <w:rPr>
                <w:rFonts w:ascii="Arial" w:eastAsia="Arial" w:hAnsi="Arial" w:cs="Arial"/>
                <w:i/>
                <w:color w:val="000000" w:themeColor="text1"/>
                <w:sz w:val="20"/>
                <w:szCs w:val="20"/>
              </w:rPr>
              <w:t>n</w:t>
            </w:r>
            <w:r w:rsidRPr="0020360D">
              <w:rPr>
                <w:rFonts w:ascii="Arial" w:eastAsia="Arial" w:hAnsi="Arial" w:cs="Arial"/>
                <w:color w:val="000000" w:themeColor="text1"/>
                <w:sz w:val="20"/>
                <w:szCs w:val="20"/>
              </w:rPr>
              <w:t xml:space="preserve"> = 32), ten Markov surrogate sequences of order 3 were created. From each of those, ten random segments of length 2 s were extracted. The higher order Markov surrogates (</w:t>
            </w:r>
            <w:r w:rsidRPr="0020360D">
              <w:rPr>
                <w:rFonts w:ascii="Arial" w:eastAsia="Arial" w:hAnsi="Arial" w:cs="Arial"/>
                <w:i/>
                <w:color w:val="000000" w:themeColor="text1"/>
                <w:sz w:val="20"/>
                <w:szCs w:val="20"/>
              </w:rPr>
              <w:t>n</w:t>
            </w:r>
            <w:r w:rsidRPr="0020360D">
              <w:rPr>
                <w:rFonts w:ascii="Arial" w:eastAsia="Arial" w:hAnsi="Arial" w:cs="Arial"/>
                <w:color w:val="000000" w:themeColor="text1"/>
                <w:sz w:val="20"/>
                <w:szCs w:val="20"/>
              </w:rPr>
              <w:t xml:space="preserve"> = 320) and random short segments (</w:t>
            </w:r>
            <w:r w:rsidRPr="0020360D">
              <w:rPr>
                <w:rFonts w:ascii="Arial" w:eastAsia="Arial" w:hAnsi="Arial" w:cs="Arial"/>
                <w:i/>
                <w:color w:val="000000" w:themeColor="text1"/>
                <w:sz w:val="20"/>
                <w:szCs w:val="20"/>
              </w:rPr>
              <w:t>n</w:t>
            </w:r>
            <w:r w:rsidRPr="0020360D">
              <w:rPr>
                <w:rFonts w:ascii="Arial" w:eastAsia="Arial" w:hAnsi="Arial" w:cs="Arial"/>
                <w:color w:val="000000" w:themeColor="text1"/>
                <w:sz w:val="20"/>
                <w:szCs w:val="20"/>
              </w:rPr>
              <w:t xml:space="preserve"> = 3200) were tested for the Markov properties of order 0, 1 and 2. The table shows the number of null hypothesis rejections in both groups.</w:t>
            </w:r>
          </w:p>
        </w:tc>
      </w:tr>
      <w:tr w:rsidR="0020360D" w:rsidRPr="0020360D" w:rsidTr="002B7B14">
        <w:trPr>
          <w:cantSplit/>
        </w:trPr>
        <w:tc>
          <w:tcPr>
            <w:tcW w:w="0" w:type="auto"/>
            <w:tcBorders>
              <w:top w:val="single" w:sz="4" w:space="0" w:color="auto"/>
            </w:tcBorders>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p>
        </w:tc>
        <w:tc>
          <w:tcPr>
            <w:tcW w:w="0" w:type="auto"/>
            <w:tcBorders>
              <w:top w:val="single" w:sz="4" w:space="0" w:color="auto"/>
              <w:bottom w:val="single" w:sz="4" w:space="0" w:color="auto"/>
            </w:tcBorders>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Markov surrogates</w:t>
            </w:r>
          </w:p>
        </w:tc>
        <w:tc>
          <w:tcPr>
            <w:tcW w:w="0" w:type="auto"/>
            <w:tcBorders>
              <w:top w:val="single" w:sz="4" w:space="0" w:color="auto"/>
              <w:bottom w:val="single" w:sz="4" w:space="0" w:color="auto"/>
            </w:tcBorders>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Random short segments (2 s)</w:t>
            </w:r>
          </w:p>
        </w:tc>
      </w:tr>
      <w:tr w:rsidR="0020360D" w:rsidRPr="0020360D" w:rsidTr="002B7B14">
        <w:trPr>
          <w:cantSplit/>
        </w:trPr>
        <w:tc>
          <w:tcPr>
            <w:tcW w:w="0" w:type="auto"/>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Markov-0</w:t>
            </w:r>
          </w:p>
        </w:tc>
        <w:tc>
          <w:tcPr>
            <w:tcW w:w="0" w:type="auto"/>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320/320</w:t>
            </w:r>
          </w:p>
        </w:tc>
        <w:tc>
          <w:tcPr>
            <w:tcW w:w="0" w:type="auto"/>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3200/3200</w:t>
            </w:r>
          </w:p>
        </w:tc>
      </w:tr>
      <w:tr w:rsidR="0020360D" w:rsidRPr="0020360D" w:rsidTr="002B7B14">
        <w:trPr>
          <w:cantSplit/>
        </w:trPr>
        <w:tc>
          <w:tcPr>
            <w:tcW w:w="0" w:type="auto"/>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Markov-1</w:t>
            </w:r>
          </w:p>
        </w:tc>
        <w:tc>
          <w:tcPr>
            <w:tcW w:w="0" w:type="auto"/>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320/320</w:t>
            </w:r>
          </w:p>
        </w:tc>
        <w:tc>
          <w:tcPr>
            <w:tcW w:w="0" w:type="auto"/>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0/3200</w:t>
            </w:r>
          </w:p>
        </w:tc>
      </w:tr>
      <w:tr w:rsidR="0020360D" w:rsidRPr="0020360D" w:rsidTr="002B7B14">
        <w:trPr>
          <w:cantSplit/>
        </w:trPr>
        <w:tc>
          <w:tcPr>
            <w:tcW w:w="0" w:type="auto"/>
            <w:tcBorders>
              <w:bottom w:val="single" w:sz="4" w:space="0" w:color="auto"/>
            </w:tcBorders>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Markov-2</w:t>
            </w:r>
          </w:p>
        </w:tc>
        <w:tc>
          <w:tcPr>
            <w:tcW w:w="0" w:type="auto"/>
            <w:tcBorders>
              <w:bottom w:val="single" w:sz="4" w:space="0" w:color="auto"/>
            </w:tcBorders>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320/320</w:t>
            </w:r>
          </w:p>
        </w:tc>
        <w:tc>
          <w:tcPr>
            <w:tcW w:w="0" w:type="auto"/>
            <w:tcBorders>
              <w:bottom w:val="single" w:sz="4" w:space="0" w:color="auto"/>
            </w:tcBorders>
            <w:vAlign w:val="center"/>
          </w:tcPr>
          <w:p w:rsidR="0020360D" w:rsidRPr="0020360D" w:rsidRDefault="0020360D" w:rsidP="002B7B14">
            <w:pPr>
              <w:keepNext/>
              <w:keepLines/>
              <w:spacing w:after="0" w:line="240" w:lineRule="auto"/>
              <w:jc w:val="center"/>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0/3200</w:t>
            </w:r>
          </w:p>
        </w:tc>
      </w:tr>
      <w:tr w:rsidR="0020360D" w:rsidRPr="0020360D" w:rsidTr="002B7B14">
        <w:trPr>
          <w:cantSplit/>
        </w:trPr>
        <w:tc>
          <w:tcPr>
            <w:tcW w:w="0" w:type="auto"/>
            <w:gridSpan w:val="3"/>
            <w:tcBorders>
              <w:top w:val="single" w:sz="4" w:space="0" w:color="auto"/>
            </w:tcBorders>
            <w:vAlign w:val="center"/>
          </w:tcPr>
          <w:p w:rsidR="0020360D" w:rsidRPr="0020360D" w:rsidRDefault="0020360D" w:rsidP="002B7B14">
            <w:pPr>
              <w:keepNext/>
              <w:keepLines/>
              <w:spacing w:after="0" w:line="240" w:lineRule="auto"/>
              <w:rPr>
                <w:rFonts w:ascii="Helvetica Neue" w:eastAsia="Helvetica Neue" w:hAnsi="Helvetica Neue" w:cs="Helvetica Neue"/>
                <w:color w:val="000000" w:themeColor="text1"/>
                <w:sz w:val="20"/>
                <w:szCs w:val="20"/>
              </w:rPr>
            </w:pPr>
            <w:r w:rsidRPr="0020360D">
              <w:rPr>
                <w:rFonts w:ascii="Arial" w:eastAsia="Arial" w:hAnsi="Arial" w:cs="Arial"/>
                <w:color w:val="000000" w:themeColor="text1"/>
                <w:sz w:val="20"/>
                <w:szCs w:val="20"/>
              </w:rPr>
              <w:t xml:space="preserve">Statistical significance was tested for </w:t>
            </w:r>
            <w:r w:rsidRPr="0020360D">
              <w:rPr>
                <w:rFonts w:ascii="Arial" w:eastAsia="Arial" w:hAnsi="Arial" w:cs="Arial"/>
                <w:i/>
                <w:color w:val="000000" w:themeColor="text1"/>
                <w:sz w:val="20"/>
                <w:szCs w:val="20"/>
              </w:rPr>
              <w:t>α = 0.05</w:t>
            </w:r>
            <w:r w:rsidRPr="0020360D">
              <w:rPr>
                <w:rFonts w:ascii="Arial" w:eastAsia="Arial" w:hAnsi="Arial" w:cs="Arial"/>
                <w:color w:val="000000" w:themeColor="text1"/>
                <w:sz w:val="20"/>
                <w:szCs w:val="20"/>
              </w:rPr>
              <w:t xml:space="preserve">. All p values were Bonferroni corrected.  </w:t>
            </w:r>
          </w:p>
        </w:tc>
      </w:tr>
    </w:tbl>
    <w:p w:rsidR="0020360D" w:rsidRPr="0020360D" w:rsidRDefault="0020360D" w:rsidP="0020360D">
      <w:pPr>
        <w:shd w:val="clear" w:color="auto" w:fill="FFFFFF"/>
        <w:spacing w:line="360" w:lineRule="auto"/>
        <w:jc w:val="both"/>
        <w:rPr>
          <w:rFonts w:ascii="Helvetica Neue" w:eastAsia="Helvetica Neue" w:hAnsi="Helvetica Neue" w:cs="Helvetica Neue"/>
          <w:color w:val="000000" w:themeColor="text1"/>
          <w:sz w:val="20"/>
          <w:szCs w:val="20"/>
          <w:lang w:val="en-US"/>
        </w:rPr>
      </w:pPr>
    </w:p>
    <w:p w:rsidR="0020360D" w:rsidRPr="0020360D" w:rsidRDefault="0020360D" w:rsidP="0020360D">
      <w:pPr>
        <w:rPr>
          <w:rFonts w:ascii="Arial" w:eastAsia="Arial" w:hAnsi="Arial" w:cs="Arial"/>
          <w:b/>
          <w:color w:val="000000" w:themeColor="text1"/>
          <w:sz w:val="20"/>
          <w:szCs w:val="20"/>
          <w:lang w:val="en-US"/>
        </w:rPr>
      </w:pPr>
      <w:r w:rsidRPr="0020360D">
        <w:rPr>
          <w:rFonts w:ascii="Arial" w:eastAsia="Arial" w:hAnsi="Arial" w:cs="Arial"/>
          <w:b/>
          <w:color w:val="000000" w:themeColor="text1"/>
          <w:sz w:val="20"/>
          <w:szCs w:val="20"/>
          <w:lang w:val="en-US"/>
        </w:rPr>
        <w:br w:type="page"/>
      </w:r>
    </w:p>
    <w:p w:rsidR="0020360D" w:rsidRPr="0020360D" w:rsidRDefault="0020360D" w:rsidP="0020360D">
      <w:pPr>
        <w:spacing w:line="360" w:lineRule="auto"/>
        <w:rPr>
          <w:rFonts w:ascii="Arial" w:eastAsia="Arial" w:hAnsi="Arial" w:cs="Arial"/>
          <w:color w:val="000000" w:themeColor="text1"/>
          <w:sz w:val="20"/>
          <w:szCs w:val="20"/>
          <w:lang w:val="en-US"/>
        </w:rPr>
      </w:pPr>
      <w:r w:rsidRPr="0020360D">
        <w:rPr>
          <w:rFonts w:ascii="Arial" w:eastAsia="Arial" w:hAnsi="Arial" w:cs="Arial"/>
          <w:b/>
          <w:color w:val="000000" w:themeColor="text1"/>
          <w:sz w:val="20"/>
          <w:szCs w:val="20"/>
          <w:lang w:val="en-US"/>
        </w:rPr>
        <w:lastRenderedPageBreak/>
        <w:t>References</w:t>
      </w:r>
    </w:p>
    <w:p w:rsidR="0020360D" w:rsidRPr="0020360D" w:rsidRDefault="0020360D" w:rsidP="0020360D">
      <w:pPr>
        <w:spacing w:after="0" w:line="360" w:lineRule="auto"/>
        <w:ind w:left="482" w:hanging="482"/>
        <w:jc w:val="both"/>
        <w:rPr>
          <w:rFonts w:ascii="Arial" w:eastAsia="Arial" w:hAnsi="Arial" w:cs="Arial"/>
          <w:color w:val="000000" w:themeColor="text1"/>
          <w:sz w:val="20"/>
          <w:szCs w:val="20"/>
          <w:lang w:val="en-US"/>
        </w:rPr>
      </w:pPr>
      <w:r w:rsidRPr="0020360D">
        <w:rPr>
          <w:rFonts w:ascii="Arial" w:eastAsia="Arial" w:hAnsi="Arial" w:cs="Arial"/>
          <w:color w:val="000000" w:themeColor="text1"/>
          <w:sz w:val="20"/>
          <w:szCs w:val="20"/>
          <w:lang w:val="en-US"/>
        </w:rPr>
        <w:t>Custo A, Van De Ville D, Wells WM, Tomescu MI, Brunet D, Michel CM (2017) Electroencephalographic Resting-State Networks: Source Localization of Microstates. Brain Connect 7(10):671-682. </w:t>
      </w:r>
    </w:p>
    <w:p w:rsidR="0020360D" w:rsidRPr="0020360D" w:rsidRDefault="0020360D" w:rsidP="0020360D">
      <w:pPr>
        <w:spacing w:after="0" w:line="360" w:lineRule="auto"/>
        <w:ind w:left="482" w:hanging="482"/>
        <w:jc w:val="both"/>
        <w:rPr>
          <w:rFonts w:ascii="Arial" w:eastAsia="Arial" w:hAnsi="Arial" w:cs="Arial"/>
          <w:color w:val="000000" w:themeColor="text1"/>
          <w:sz w:val="20"/>
          <w:szCs w:val="20"/>
          <w:lang w:val="en-US"/>
        </w:rPr>
      </w:pPr>
      <w:r w:rsidRPr="0020360D">
        <w:rPr>
          <w:rFonts w:ascii="Arial" w:eastAsia="Arial" w:hAnsi="Arial" w:cs="Arial"/>
          <w:color w:val="000000" w:themeColor="text1"/>
          <w:sz w:val="20"/>
          <w:szCs w:val="20"/>
          <w:lang w:val="en-US"/>
        </w:rPr>
        <w:t>Pasqual-Marqui RD, Michel CM, Lehmann D (1995) Segmentation of brain electrical activity into microstates: model estimation and validation. IEEE Transactions on Biomedical Engineering 42(7):658-665.</w:t>
      </w:r>
    </w:p>
    <w:p w:rsidR="0020360D" w:rsidRPr="0020360D" w:rsidRDefault="0020360D" w:rsidP="0020360D">
      <w:pPr>
        <w:spacing w:after="0" w:line="360" w:lineRule="auto"/>
        <w:ind w:left="482" w:hanging="482"/>
        <w:jc w:val="both"/>
        <w:rPr>
          <w:rFonts w:ascii="Calibri" w:eastAsia="Arial" w:hAnsi="Calibri" w:cs="Calibri"/>
          <w:color w:val="000000" w:themeColor="text1"/>
          <w:lang w:val="en-US"/>
        </w:rPr>
      </w:pPr>
      <w:r w:rsidRPr="0020360D">
        <w:rPr>
          <w:rFonts w:ascii="Calibri" w:hAnsi="Calibri" w:cs="Calibri"/>
          <w:color w:val="000000" w:themeColor="text1"/>
          <w:shd w:val="clear" w:color="auto" w:fill="FFFFFF"/>
        </w:rPr>
        <w:t>Murphy M, Wang J, Jiang C, Wang L, Kozhemiako N, Wang Y, the GRINS consortium, Pan JQ, Purcell SM (2022) Bias in group-level EEG microstate analysis. bioRxiv preprint</w:t>
      </w:r>
      <w:r w:rsidRPr="0020360D">
        <w:rPr>
          <w:rFonts w:ascii="Calibri" w:eastAsia="Arial" w:hAnsi="Calibri" w:cs="Calibri"/>
          <w:color w:val="000000" w:themeColor="text1"/>
          <w:lang w:val="en-US"/>
        </w:rPr>
        <w:t xml:space="preserve"> </w:t>
      </w:r>
      <w:hyperlink r:id="rId7" w:tgtFrame="_blank" w:history="1">
        <w:r w:rsidRPr="0020360D">
          <w:rPr>
            <w:rStyle w:val="Hyperlink"/>
            <w:rFonts w:cstheme="minorHAnsi"/>
            <w:color w:val="000000" w:themeColor="text1"/>
            <w:bdr w:val="none" w:sz="0" w:space="0" w:color="auto" w:frame="1"/>
            <w:shd w:val="clear" w:color="auto" w:fill="FFFFFF"/>
          </w:rPr>
          <w:t>https://www.biorxiv.org/content/biorxiv/early/2022/12/14/2022.11.07.515464.full.pdf</w:t>
        </w:r>
      </w:hyperlink>
    </w:p>
    <w:p w:rsidR="0020360D" w:rsidRPr="0020360D" w:rsidRDefault="0020360D" w:rsidP="0020360D">
      <w:pPr>
        <w:spacing w:after="0" w:line="360" w:lineRule="auto"/>
        <w:jc w:val="both"/>
        <w:rPr>
          <w:color w:val="000000" w:themeColor="text1"/>
          <w:lang w:val="en-US"/>
        </w:rPr>
      </w:pPr>
    </w:p>
    <w:p w:rsidR="00D506E5" w:rsidRPr="0020360D" w:rsidRDefault="00D506E5">
      <w:pPr>
        <w:rPr>
          <w:color w:val="000000" w:themeColor="text1"/>
        </w:rPr>
      </w:pPr>
    </w:p>
    <w:sectPr w:rsidR="00D506E5" w:rsidRPr="0020360D" w:rsidSect="0020360D">
      <w:footerReference w:type="default" r:id="rId8"/>
      <w:pgSz w:w="11906" w:h="16838"/>
      <w:pgMar w:top="1417" w:right="1417" w:bottom="1134" w:left="1417" w:header="0"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altName w:val="Quattrocento Sans"/>
    <w:charset w:val="00"/>
    <w:family w:val="swiss"/>
    <w:pitch w:val="variable"/>
    <w:sig w:usb0="800000BF" w:usb1="4000005B"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CA2" w:rsidRDefault="0020360D">
    <w:pPr>
      <w:pBdr>
        <w:top w:val="nil"/>
        <w:left w:val="nil"/>
        <w:bottom w:val="nil"/>
        <w:right w:val="nil"/>
        <w:between w:val="nil"/>
      </w:pBdr>
      <w:tabs>
        <w:tab w:val="center" w:pos="4536"/>
        <w:tab w:val="right" w:pos="9072"/>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1</w:t>
    </w:r>
    <w:r>
      <w:rPr>
        <w:rFonts w:ascii="Calibri" w:eastAsia="Calibri" w:hAnsi="Calibri" w:cs="Calibri"/>
        <w:color w:val="000000"/>
      </w:rPr>
      <w:fldChar w:fldCharType="end"/>
    </w:r>
  </w:p>
  <w:p w:rsidR="000F1CA2" w:rsidRDefault="0020360D">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60D"/>
    <w:rsid w:val="00000CB2"/>
    <w:rsid w:val="00000EEB"/>
    <w:rsid w:val="00001819"/>
    <w:rsid w:val="000070DA"/>
    <w:rsid w:val="00013C0F"/>
    <w:rsid w:val="0001686A"/>
    <w:rsid w:val="00016BFF"/>
    <w:rsid w:val="00017A8C"/>
    <w:rsid w:val="00017B1C"/>
    <w:rsid w:val="00022F8F"/>
    <w:rsid w:val="00027D5D"/>
    <w:rsid w:val="000317C7"/>
    <w:rsid w:val="00032BE9"/>
    <w:rsid w:val="00033AD0"/>
    <w:rsid w:val="000359C7"/>
    <w:rsid w:val="00054090"/>
    <w:rsid w:val="000563CC"/>
    <w:rsid w:val="000575DC"/>
    <w:rsid w:val="00060585"/>
    <w:rsid w:val="00062F0A"/>
    <w:rsid w:val="00067B7A"/>
    <w:rsid w:val="000706DE"/>
    <w:rsid w:val="000713F3"/>
    <w:rsid w:val="00071B30"/>
    <w:rsid w:val="00072A62"/>
    <w:rsid w:val="000747D0"/>
    <w:rsid w:val="00076F94"/>
    <w:rsid w:val="0008725B"/>
    <w:rsid w:val="00094695"/>
    <w:rsid w:val="00095479"/>
    <w:rsid w:val="000A5D19"/>
    <w:rsid w:val="000B28F2"/>
    <w:rsid w:val="000B3010"/>
    <w:rsid w:val="000B468B"/>
    <w:rsid w:val="000C1822"/>
    <w:rsid w:val="000C2FFC"/>
    <w:rsid w:val="000C4066"/>
    <w:rsid w:val="000D23AE"/>
    <w:rsid w:val="000D56F9"/>
    <w:rsid w:val="000D647C"/>
    <w:rsid w:val="000E026D"/>
    <w:rsid w:val="000E2387"/>
    <w:rsid w:val="000E24DB"/>
    <w:rsid w:val="000E27AD"/>
    <w:rsid w:val="000E7733"/>
    <w:rsid w:val="000F1CFF"/>
    <w:rsid w:val="000F2EFC"/>
    <w:rsid w:val="000F4D9E"/>
    <w:rsid w:val="000F71C0"/>
    <w:rsid w:val="001031F2"/>
    <w:rsid w:val="0010748A"/>
    <w:rsid w:val="00110CC4"/>
    <w:rsid w:val="00110DE1"/>
    <w:rsid w:val="00113316"/>
    <w:rsid w:val="00130C88"/>
    <w:rsid w:val="00135363"/>
    <w:rsid w:val="0014044E"/>
    <w:rsid w:val="001441A9"/>
    <w:rsid w:val="00146975"/>
    <w:rsid w:val="00150838"/>
    <w:rsid w:val="0015154F"/>
    <w:rsid w:val="00151F96"/>
    <w:rsid w:val="0015263B"/>
    <w:rsid w:val="00153799"/>
    <w:rsid w:val="00153814"/>
    <w:rsid w:val="00154B16"/>
    <w:rsid w:val="0015652F"/>
    <w:rsid w:val="00160925"/>
    <w:rsid w:val="00163BC5"/>
    <w:rsid w:val="001710CA"/>
    <w:rsid w:val="00171770"/>
    <w:rsid w:val="0017207E"/>
    <w:rsid w:val="00172266"/>
    <w:rsid w:val="00172E13"/>
    <w:rsid w:val="001749F3"/>
    <w:rsid w:val="0017502B"/>
    <w:rsid w:val="00175F94"/>
    <w:rsid w:val="001842B5"/>
    <w:rsid w:val="001842D8"/>
    <w:rsid w:val="001907F4"/>
    <w:rsid w:val="0019242A"/>
    <w:rsid w:val="001A16E3"/>
    <w:rsid w:val="001A50BA"/>
    <w:rsid w:val="001B0C29"/>
    <w:rsid w:val="001B3F0A"/>
    <w:rsid w:val="001B50E0"/>
    <w:rsid w:val="001B6D03"/>
    <w:rsid w:val="001C0298"/>
    <w:rsid w:val="001C2A08"/>
    <w:rsid w:val="001D000E"/>
    <w:rsid w:val="001D2BCD"/>
    <w:rsid w:val="001D32D0"/>
    <w:rsid w:val="001E3D83"/>
    <w:rsid w:val="001E580E"/>
    <w:rsid w:val="001E72E9"/>
    <w:rsid w:val="001F2CD4"/>
    <w:rsid w:val="001F68AB"/>
    <w:rsid w:val="001F7DCA"/>
    <w:rsid w:val="00200503"/>
    <w:rsid w:val="0020360D"/>
    <w:rsid w:val="00205E88"/>
    <w:rsid w:val="002061DC"/>
    <w:rsid w:val="00207C05"/>
    <w:rsid w:val="00214F9E"/>
    <w:rsid w:val="00217684"/>
    <w:rsid w:val="00220909"/>
    <w:rsid w:val="00224278"/>
    <w:rsid w:val="002252E5"/>
    <w:rsid w:val="00225D4E"/>
    <w:rsid w:val="002353A2"/>
    <w:rsid w:val="002364FD"/>
    <w:rsid w:val="002459B1"/>
    <w:rsid w:val="0024600E"/>
    <w:rsid w:val="00255C42"/>
    <w:rsid w:val="00256B04"/>
    <w:rsid w:val="002571D4"/>
    <w:rsid w:val="002574CD"/>
    <w:rsid w:val="00261036"/>
    <w:rsid w:val="002619EF"/>
    <w:rsid w:val="00262FB2"/>
    <w:rsid w:val="002635FB"/>
    <w:rsid w:val="00267851"/>
    <w:rsid w:val="002758FD"/>
    <w:rsid w:val="002820B2"/>
    <w:rsid w:val="00286FBB"/>
    <w:rsid w:val="002872E0"/>
    <w:rsid w:val="00291F5E"/>
    <w:rsid w:val="00292576"/>
    <w:rsid w:val="00292C0A"/>
    <w:rsid w:val="002A087A"/>
    <w:rsid w:val="002A3BEE"/>
    <w:rsid w:val="002A51B5"/>
    <w:rsid w:val="002B0729"/>
    <w:rsid w:val="002B26E0"/>
    <w:rsid w:val="002B596E"/>
    <w:rsid w:val="002C0D9C"/>
    <w:rsid w:val="002C41BB"/>
    <w:rsid w:val="002C7C1E"/>
    <w:rsid w:val="002D02C7"/>
    <w:rsid w:val="002D20CC"/>
    <w:rsid w:val="002D53E2"/>
    <w:rsid w:val="002D623A"/>
    <w:rsid w:val="002E197F"/>
    <w:rsid w:val="002E3E14"/>
    <w:rsid w:val="002E485F"/>
    <w:rsid w:val="002E6273"/>
    <w:rsid w:val="00301134"/>
    <w:rsid w:val="00302D67"/>
    <w:rsid w:val="003030A0"/>
    <w:rsid w:val="00305716"/>
    <w:rsid w:val="0030748B"/>
    <w:rsid w:val="0031037A"/>
    <w:rsid w:val="003137CC"/>
    <w:rsid w:val="00313CF7"/>
    <w:rsid w:val="00313F1B"/>
    <w:rsid w:val="0031737A"/>
    <w:rsid w:val="00317393"/>
    <w:rsid w:val="003259DA"/>
    <w:rsid w:val="00326D1C"/>
    <w:rsid w:val="00326DB1"/>
    <w:rsid w:val="003349A7"/>
    <w:rsid w:val="00335AEE"/>
    <w:rsid w:val="00336897"/>
    <w:rsid w:val="003402DE"/>
    <w:rsid w:val="00340F39"/>
    <w:rsid w:val="003447BE"/>
    <w:rsid w:val="003454D9"/>
    <w:rsid w:val="00347065"/>
    <w:rsid w:val="00347894"/>
    <w:rsid w:val="00351003"/>
    <w:rsid w:val="0035434D"/>
    <w:rsid w:val="00354664"/>
    <w:rsid w:val="00355ABD"/>
    <w:rsid w:val="00357853"/>
    <w:rsid w:val="003609CE"/>
    <w:rsid w:val="00361F3D"/>
    <w:rsid w:val="0036395A"/>
    <w:rsid w:val="0036694D"/>
    <w:rsid w:val="00367F71"/>
    <w:rsid w:val="00371367"/>
    <w:rsid w:val="003727D6"/>
    <w:rsid w:val="00375A8D"/>
    <w:rsid w:val="00376D46"/>
    <w:rsid w:val="00381095"/>
    <w:rsid w:val="00381FE3"/>
    <w:rsid w:val="00393279"/>
    <w:rsid w:val="003A157A"/>
    <w:rsid w:val="003A1817"/>
    <w:rsid w:val="003A1EBA"/>
    <w:rsid w:val="003A3C0B"/>
    <w:rsid w:val="003B3AF0"/>
    <w:rsid w:val="003B769B"/>
    <w:rsid w:val="003B7DAD"/>
    <w:rsid w:val="003C3B63"/>
    <w:rsid w:val="003D0997"/>
    <w:rsid w:val="003D1557"/>
    <w:rsid w:val="003E4E6D"/>
    <w:rsid w:val="003E50A9"/>
    <w:rsid w:val="003E6DA9"/>
    <w:rsid w:val="003F056C"/>
    <w:rsid w:val="003F3069"/>
    <w:rsid w:val="00400919"/>
    <w:rsid w:val="00401DE5"/>
    <w:rsid w:val="004028BB"/>
    <w:rsid w:val="004058A1"/>
    <w:rsid w:val="00405D45"/>
    <w:rsid w:val="004062E4"/>
    <w:rsid w:val="00406B39"/>
    <w:rsid w:val="00412C71"/>
    <w:rsid w:val="004165E3"/>
    <w:rsid w:val="0041756B"/>
    <w:rsid w:val="004217FA"/>
    <w:rsid w:val="004232BD"/>
    <w:rsid w:val="00423E86"/>
    <w:rsid w:val="004279B2"/>
    <w:rsid w:val="0043008C"/>
    <w:rsid w:val="00435E02"/>
    <w:rsid w:val="0043776A"/>
    <w:rsid w:val="00440BED"/>
    <w:rsid w:val="0044256E"/>
    <w:rsid w:val="004471F6"/>
    <w:rsid w:val="004508FC"/>
    <w:rsid w:val="004547DD"/>
    <w:rsid w:val="00454A25"/>
    <w:rsid w:val="00455DD3"/>
    <w:rsid w:val="00457EF6"/>
    <w:rsid w:val="00460270"/>
    <w:rsid w:val="0046251D"/>
    <w:rsid w:val="00463AA2"/>
    <w:rsid w:val="00476B49"/>
    <w:rsid w:val="00476FF2"/>
    <w:rsid w:val="004825E9"/>
    <w:rsid w:val="004830B9"/>
    <w:rsid w:val="00487DA4"/>
    <w:rsid w:val="00494DE4"/>
    <w:rsid w:val="00495BC0"/>
    <w:rsid w:val="00495CEF"/>
    <w:rsid w:val="00495DEB"/>
    <w:rsid w:val="004A2347"/>
    <w:rsid w:val="004A29BB"/>
    <w:rsid w:val="004A2A5D"/>
    <w:rsid w:val="004A4C6F"/>
    <w:rsid w:val="004A5B34"/>
    <w:rsid w:val="004A739B"/>
    <w:rsid w:val="004B0862"/>
    <w:rsid w:val="004B1370"/>
    <w:rsid w:val="004B34AC"/>
    <w:rsid w:val="004B54F7"/>
    <w:rsid w:val="004B564D"/>
    <w:rsid w:val="004B5EAE"/>
    <w:rsid w:val="004E10B4"/>
    <w:rsid w:val="004E1933"/>
    <w:rsid w:val="004E2ED0"/>
    <w:rsid w:val="004E3E6B"/>
    <w:rsid w:val="004E639E"/>
    <w:rsid w:val="004E7D10"/>
    <w:rsid w:val="004F34A0"/>
    <w:rsid w:val="004F446D"/>
    <w:rsid w:val="004F72D2"/>
    <w:rsid w:val="0050427C"/>
    <w:rsid w:val="005064E4"/>
    <w:rsid w:val="00507D95"/>
    <w:rsid w:val="005106FA"/>
    <w:rsid w:val="005111BD"/>
    <w:rsid w:val="00513103"/>
    <w:rsid w:val="005206E3"/>
    <w:rsid w:val="00523A0E"/>
    <w:rsid w:val="00523A74"/>
    <w:rsid w:val="005245AB"/>
    <w:rsid w:val="0052556F"/>
    <w:rsid w:val="00530DF7"/>
    <w:rsid w:val="00530FB0"/>
    <w:rsid w:val="00532DA2"/>
    <w:rsid w:val="00533D2F"/>
    <w:rsid w:val="00535BCF"/>
    <w:rsid w:val="0053633D"/>
    <w:rsid w:val="00540684"/>
    <w:rsid w:val="00542111"/>
    <w:rsid w:val="00542144"/>
    <w:rsid w:val="005435A0"/>
    <w:rsid w:val="005459DA"/>
    <w:rsid w:val="00545E6A"/>
    <w:rsid w:val="005476C2"/>
    <w:rsid w:val="005507A1"/>
    <w:rsid w:val="00556461"/>
    <w:rsid w:val="00556D0D"/>
    <w:rsid w:val="005629BF"/>
    <w:rsid w:val="00564F99"/>
    <w:rsid w:val="00566931"/>
    <w:rsid w:val="00567618"/>
    <w:rsid w:val="00586050"/>
    <w:rsid w:val="0058689F"/>
    <w:rsid w:val="00593879"/>
    <w:rsid w:val="005A18B0"/>
    <w:rsid w:val="005A3331"/>
    <w:rsid w:val="005A3566"/>
    <w:rsid w:val="005B1A5D"/>
    <w:rsid w:val="005B28AD"/>
    <w:rsid w:val="005C1106"/>
    <w:rsid w:val="005C1185"/>
    <w:rsid w:val="005C2F46"/>
    <w:rsid w:val="005C4988"/>
    <w:rsid w:val="005C6EB5"/>
    <w:rsid w:val="005C7F9E"/>
    <w:rsid w:val="005D5DC5"/>
    <w:rsid w:val="005E3939"/>
    <w:rsid w:val="005E76AA"/>
    <w:rsid w:val="005E77A9"/>
    <w:rsid w:val="005F0055"/>
    <w:rsid w:val="005F07FE"/>
    <w:rsid w:val="005F0FEF"/>
    <w:rsid w:val="005F159C"/>
    <w:rsid w:val="005F2866"/>
    <w:rsid w:val="005F4236"/>
    <w:rsid w:val="005F4FB9"/>
    <w:rsid w:val="005F5097"/>
    <w:rsid w:val="006026D0"/>
    <w:rsid w:val="0060796D"/>
    <w:rsid w:val="006176EF"/>
    <w:rsid w:val="006227A6"/>
    <w:rsid w:val="00626DA5"/>
    <w:rsid w:val="006312D3"/>
    <w:rsid w:val="00631F1D"/>
    <w:rsid w:val="006351FC"/>
    <w:rsid w:val="00635580"/>
    <w:rsid w:val="006425BD"/>
    <w:rsid w:val="00642F31"/>
    <w:rsid w:val="006438A1"/>
    <w:rsid w:val="00643994"/>
    <w:rsid w:val="00643F46"/>
    <w:rsid w:val="00652780"/>
    <w:rsid w:val="00655A58"/>
    <w:rsid w:val="00663086"/>
    <w:rsid w:val="006664B2"/>
    <w:rsid w:val="00666790"/>
    <w:rsid w:val="00667505"/>
    <w:rsid w:val="00674203"/>
    <w:rsid w:val="006753F4"/>
    <w:rsid w:val="006761FF"/>
    <w:rsid w:val="00681389"/>
    <w:rsid w:val="00685742"/>
    <w:rsid w:val="00686717"/>
    <w:rsid w:val="00690013"/>
    <w:rsid w:val="00690A04"/>
    <w:rsid w:val="0069285F"/>
    <w:rsid w:val="00694686"/>
    <w:rsid w:val="006A0C14"/>
    <w:rsid w:val="006A2C01"/>
    <w:rsid w:val="006A39F2"/>
    <w:rsid w:val="006B0A14"/>
    <w:rsid w:val="006B14DB"/>
    <w:rsid w:val="006B3B62"/>
    <w:rsid w:val="006C4AA0"/>
    <w:rsid w:val="006C4EEE"/>
    <w:rsid w:val="006C603B"/>
    <w:rsid w:val="006D0188"/>
    <w:rsid w:val="006D4AB1"/>
    <w:rsid w:val="006D5782"/>
    <w:rsid w:val="006E1CC6"/>
    <w:rsid w:val="006E3446"/>
    <w:rsid w:val="006E347D"/>
    <w:rsid w:val="006E3531"/>
    <w:rsid w:val="006E3F15"/>
    <w:rsid w:val="006E4A17"/>
    <w:rsid w:val="006E66FD"/>
    <w:rsid w:val="006E77CC"/>
    <w:rsid w:val="006F0547"/>
    <w:rsid w:val="006F4282"/>
    <w:rsid w:val="006F4389"/>
    <w:rsid w:val="006F5912"/>
    <w:rsid w:val="006F6BBB"/>
    <w:rsid w:val="00700ADF"/>
    <w:rsid w:val="00710E6F"/>
    <w:rsid w:val="00711D65"/>
    <w:rsid w:val="00714630"/>
    <w:rsid w:val="00723A44"/>
    <w:rsid w:val="007257A3"/>
    <w:rsid w:val="00726521"/>
    <w:rsid w:val="00727BED"/>
    <w:rsid w:val="00731F43"/>
    <w:rsid w:val="00732A27"/>
    <w:rsid w:val="00733001"/>
    <w:rsid w:val="007346EB"/>
    <w:rsid w:val="00736C6C"/>
    <w:rsid w:val="00737A92"/>
    <w:rsid w:val="00746808"/>
    <w:rsid w:val="00747759"/>
    <w:rsid w:val="00752B47"/>
    <w:rsid w:val="0075527C"/>
    <w:rsid w:val="00755825"/>
    <w:rsid w:val="00764B9D"/>
    <w:rsid w:val="00765B67"/>
    <w:rsid w:val="007746C9"/>
    <w:rsid w:val="00774B4B"/>
    <w:rsid w:val="00775F0F"/>
    <w:rsid w:val="00776B99"/>
    <w:rsid w:val="007776DB"/>
    <w:rsid w:val="00782E5D"/>
    <w:rsid w:val="00783B62"/>
    <w:rsid w:val="0078406B"/>
    <w:rsid w:val="00784824"/>
    <w:rsid w:val="00785056"/>
    <w:rsid w:val="0078565E"/>
    <w:rsid w:val="007861D5"/>
    <w:rsid w:val="007864A8"/>
    <w:rsid w:val="00795998"/>
    <w:rsid w:val="00796ED6"/>
    <w:rsid w:val="0079780A"/>
    <w:rsid w:val="00797D80"/>
    <w:rsid w:val="007A1D1B"/>
    <w:rsid w:val="007A36AA"/>
    <w:rsid w:val="007A4AED"/>
    <w:rsid w:val="007A4F21"/>
    <w:rsid w:val="007A5867"/>
    <w:rsid w:val="007A6175"/>
    <w:rsid w:val="007A67AB"/>
    <w:rsid w:val="007B06AF"/>
    <w:rsid w:val="007C3CFF"/>
    <w:rsid w:val="007D48BA"/>
    <w:rsid w:val="007E02C8"/>
    <w:rsid w:val="007E1001"/>
    <w:rsid w:val="007E2C8B"/>
    <w:rsid w:val="007E3568"/>
    <w:rsid w:val="007E7ADC"/>
    <w:rsid w:val="007F0164"/>
    <w:rsid w:val="007F235C"/>
    <w:rsid w:val="007F34D8"/>
    <w:rsid w:val="007F364B"/>
    <w:rsid w:val="007F76E3"/>
    <w:rsid w:val="007F7D75"/>
    <w:rsid w:val="00803606"/>
    <w:rsid w:val="00804C56"/>
    <w:rsid w:val="00806405"/>
    <w:rsid w:val="00806790"/>
    <w:rsid w:val="00807D7A"/>
    <w:rsid w:val="00811F2B"/>
    <w:rsid w:val="008156F2"/>
    <w:rsid w:val="00832034"/>
    <w:rsid w:val="0083505B"/>
    <w:rsid w:val="008379EE"/>
    <w:rsid w:val="008411DE"/>
    <w:rsid w:val="0084192F"/>
    <w:rsid w:val="008470E3"/>
    <w:rsid w:val="00847EB0"/>
    <w:rsid w:val="00853EEF"/>
    <w:rsid w:val="008554CD"/>
    <w:rsid w:val="008571AB"/>
    <w:rsid w:val="0086155F"/>
    <w:rsid w:val="00861A78"/>
    <w:rsid w:val="00866C48"/>
    <w:rsid w:val="00866D6A"/>
    <w:rsid w:val="00870E93"/>
    <w:rsid w:val="008772F2"/>
    <w:rsid w:val="0088514E"/>
    <w:rsid w:val="00886BBF"/>
    <w:rsid w:val="008918B8"/>
    <w:rsid w:val="00891B51"/>
    <w:rsid w:val="00893B69"/>
    <w:rsid w:val="00894595"/>
    <w:rsid w:val="00894DE0"/>
    <w:rsid w:val="008953EE"/>
    <w:rsid w:val="008959A8"/>
    <w:rsid w:val="008A35FC"/>
    <w:rsid w:val="008A4900"/>
    <w:rsid w:val="008B4F3D"/>
    <w:rsid w:val="008B5603"/>
    <w:rsid w:val="008B76D1"/>
    <w:rsid w:val="008C31B5"/>
    <w:rsid w:val="008C3FB0"/>
    <w:rsid w:val="008C572C"/>
    <w:rsid w:val="008C612A"/>
    <w:rsid w:val="008C7EB9"/>
    <w:rsid w:val="008D197C"/>
    <w:rsid w:val="008E04B2"/>
    <w:rsid w:val="008E22F3"/>
    <w:rsid w:val="008E2323"/>
    <w:rsid w:val="008E44E0"/>
    <w:rsid w:val="008E5464"/>
    <w:rsid w:val="008F23CA"/>
    <w:rsid w:val="008F3E76"/>
    <w:rsid w:val="008F7EFD"/>
    <w:rsid w:val="00907CEA"/>
    <w:rsid w:val="00912469"/>
    <w:rsid w:val="00913B18"/>
    <w:rsid w:val="00913B5D"/>
    <w:rsid w:val="00913F0C"/>
    <w:rsid w:val="00914660"/>
    <w:rsid w:val="00914DBE"/>
    <w:rsid w:val="00923EC4"/>
    <w:rsid w:val="009245B4"/>
    <w:rsid w:val="009263F5"/>
    <w:rsid w:val="00933F76"/>
    <w:rsid w:val="0093765D"/>
    <w:rsid w:val="009426F3"/>
    <w:rsid w:val="00943E52"/>
    <w:rsid w:val="00952AFE"/>
    <w:rsid w:val="00953825"/>
    <w:rsid w:val="0095450D"/>
    <w:rsid w:val="00956561"/>
    <w:rsid w:val="0096119F"/>
    <w:rsid w:val="0096141F"/>
    <w:rsid w:val="009640BE"/>
    <w:rsid w:val="00964430"/>
    <w:rsid w:val="009659AA"/>
    <w:rsid w:val="009712A7"/>
    <w:rsid w:val="009717C7"/>
    <w:rsid w:val="00974C45"/>
    <w:rsid w:val="00976E7D"/>
    <w:rsid w:val="00980D69"/>
    <w:rsid w:val="009839C3"/>
    <w:rsid w:val="0099254B"/>
    <w:rsid w:val="00992C3B"/>
    <w:rsid w:val="00993B55"/>
    <w:rsid w:val="00993E01"/>
    <w:rsid w:val="00994580"/>
    <w:rsid w:val="00995A9A"/>
    <w:rsid w:val="00996D1B"/>
    <w:rsid w:val="009971F2"/>
    <w:rsid w:val="009A23B5"/>
    <w:rsid w:val="009A460A"/>
    <w:rsid w:val="009B3F4E"/>
    <w:rsid w:val="009B5C56"/>
    <w:rsid w:val="009B7350"/>
    <w:rsid w:val="009C133A"/>
    <w:rsid w:val="009C45E1"/>
    <w:rsid w:val="009C4F32"/>
    <w:rsid w:val="009C6C5D"/>
    <w:rsid w:val="009D46DD"/>
    <w:rsid w:val="009D61D9"/>
    <w:rsid w:val="009E03D6"/>
    <w:rsid w:val="009E14F5"/>
    <w:rsid w:val="009E1709"/>
    <w:rsid w:val="009F0040"/>
    <w:rsid w:val="009F2C76"/>
    <w:rsid w:val="009F3367"/>
    <w:rsid w:val="009F4015"/>
    <w:rsid w:val="009F59D1"/>
    <w:rsid w:val="00A0740B"/>
    <w:rsid w:val="00A11028"/>
    <w:rsid w:val="00A11F3C"/>
    <w:rsid w:val="00A13AE9"/>
    <w:rsid w:val="00A16EF1"/>
    <w:rsid w:val="00A21923"/>
    <w:rsid w:val="00A22DDE"/>
    <w:rsid w:val="00A230F5"/>
    <w:rsid w:val="00A26949"/>
    <w:rsid w:val="00A26A1C"/>
    <w:rsid w:val="00A4019D"/>
    <w:rsid w:val="00A463ED"/>
    <w:rsid w:val="00A468B1"/>
    <w:rsid w:val="00A52B11"/>
    <w:rsid w:val="00A53433"/>
    <w:rsid w:val="00A543C1"/>
    <w:rsid w:val="00A56D64"/>
    <w:rsid w:val="00A5792F"/>
    <w:rsid w:val="00A60D6A"/>
    <w:rsid w:val="00A63236"/>
    <w:rsid w:val="00A65B78"/>
    <w:rsid w:val="00A7045F"/>
    <w:rsid w:val="00A72C01"/>
    <w:rsid w:val="00A73137"/>
    <w:rsid w:val="00A83E5F"/>
    <w:rsid w:val="00A87EC3"/>
    <w:rsid w:val="00A918EF"/>
    <w:rsid w:val="00A96867"/>
    <w:rsid w:val="00A9702D"/>
    <w:rsid w:val="00A97F1F"/>
    <w:rsid w:val="00AA2120"/>
    <w:rsid w:val="00AA2AFE"/>
    <w:rsid w:val="00AA664B"/>
    <w:rsid w:val="00AB2C04"/>
    <w:rsid w:val="00AB34FB"/>
    <w:rsid w:val="00AB4678"/>
    <w:rsid w:val="00AB6337"/>
    <w:rsid w:val="00AB7828"/>
    <w:rsid w:val="00AB7BC2"/>
    <w:rsid w:val="00AC5631"/>
    <w:rsid w:val="00AC6D1A"/>
    <w:rsid w:val="00AD2855"/>
    <w:rsid w:val="00AD58B1"/>
    <w:rsid w:val="00AD5ED6"/>
    <w:rsid w:val="00AE212E"/>
    <w:rsid w:val="00AE3B2F"/>
    <w:rsid w:val="00AE4895"/>
    <w:rsid w:val="00AE5F53"/>
    <w:rsid w:val="00AE6AE1"/>
    <w:rsid w:val="00AF1FF7"/>
    <w:rsid w:val="00B01B8B"/>
    <w:rsid w:val="00B020ED"/>
    <w:rsid w:val="00B04791"/>
    <w:rsid w:val="00B07F3E"/>
    <w:rsid w:val="00B07F7A"/>
    <w:rsid w:val="00B131ED"/>
    <w:rsid w:val="00B17C59"/>
    <w:rsid w:val="00B24493"/>
    <w:rsid w:val="00B3443F"/>
    <w:rsid w:val="00B41545"/>
    <w:rsid w:val="00B42F40"/>
    <w:rsid w:val="00B5073B"/>
    <w:rsid w:val="00B52737"/>
    <w:rsid w:val="00B57601"/>
    <w:rsid w:val="00B6397D"/>
    <w:rsid w:val="00B72BB6"/>
    <w:rsid w:val="00B814D4"/>
    <w:rsid w:val="00B825F6"/>
    <w:rsid w:val="00B83913"/>
    <w:rsid w:val="00B90EF3"/>
    <w:rsid w:val="00B949F6"/>
    <w:rsid w:val="00BA0602"/>
    <w:rsid w:val="00BA0F40"/>
    <w:rsid w:val="00BA39BA"/>
    <w:rsid w:val="00BA75DD"/>
    <w:rsid w:val="00BB0F2B"/>
    <w:rsid w:val="00BB1162"/>
    <w:rsid w:val="00BB331C"/>
    <w:rsid w:val="00BB3550"/>
    <w:rsid w:val="00BB6770"/>
    <w:rsid w:val="00BC1256"/>
    <w:rsid w:val="00BC6647"/>
    <w:rsid w:val="00BD3EB7"/>
    <w:rsid w:val="00BD5345"/>
    <w:rsid w:val="00BD6308"/>
    <w:rsid w:val="00BE0D2B"/>
    <w:rsid w:val="00BE17D7"/>
    <w:rsid w:val="00BE3416"/>
    <w:rsid w:val="00BE34DE"/>
    <w:rsid w:val="00BE42C2"/>
    <w:rsid w:val="00BF3DAF"/>
    <w:rsid w:val="00BF5004"/>
    <w:rsid w:val="00BF636C"/>
    <w:rsid w:val="00BF64FD"/>
    <w:rsid w:val="00C02690"/>
    <w:rsid w:val="00C06657"/>
    <w:rsid w:val="00C073E9"/>
    <w:rsid w:val="00C11A05"/>
    <w:rsid w:val="00C1345E"/>
    <w:rsid w:val="00C15405"/>
    <w:rsid w:val="00C15DCD"/>
    <w:rsid w:val="00C16D0F"/>
    <w:rsid w:val="00C209BF"/>
    <w:rsid w:val="00C20B08"/>
    <w:rsid w:val="00C230B9"/>
    <w:rsid w:val="00C24CCE"/>
    <w:rsid w:val="00C25B12"/>
    <w:rsid w:val="00C27B53"/>
    <w:rsid w:val="00C3326D"/>
    <w:rsid w:val="00C462A9"/>
    <w:rsid w:val="00C50E76"/>
    <w:rsid w:val="00C53CE6"/>
    <w:rsid w:val="00C627FE"/>
    <w:rsid w:val="00C70B1B"/>
    <w:rsid w:val="00C72470"/>
    <w:rsid w:val="00C72844"/>
    <w:rsid w:val="00C758EC"/>
    <w:rsid w:val="00C75EEC"/>
    <w:rsid w:val="00C776C3"/>
    <w:rsid w:val="00C81D62"/>
    <w:rsid w:val="00C83BF5"/>
    <w:rsid w:val="00C95542"/>
    <w:rsid w:val="00CA534E"/>
    <w:rsid w:val="00CA5B33"/>
    <w:rsid w:val="00CA7C03"/>
    <w:rsid w:val="00CB0589"/>
    <w:rsid w:val="00CB2BEE"/>
    <w:rsid w:val="00CB3C61"/>
    <w:rsid w:val="00CB51C0"/>
    <w:rsid w:val="00CB5BF7"/>
    <w:rsid w:val="00CC3D81"/>
    <w:rsid w:val="00CD292D"/>
    <w:rsid w:val="00CD2DBA"/>
    <w:rsid w:val="00CD380E"/>
    <w:rsid w:val="00CD4E50"/>
    <w:rsid w:val="00CD6160"/>
    <w:rsid w:val="00CD6D0C"/>
    <w:rsid w:val="00CE4EA6"/>
    <w:rsid w:val="00CE68AE"/>
    <w:rsid w:val="00CF1F87"/>
    <w:rsid w:val="00CF31B0"/>
    <w:rsid w:val="00CF4660"/>
    <w:rsid w:val="00CF7DBE"/>
    <w:rsid w:val="00D00D86"/>
    <w:rsid w:val="00D023AD"/>
    <w:rsid w:val="00D057B2"/>
    <w:rsid w:val="00D1270F"/>
    <w:rsid w:val="00D13F6C"/>
    <w:rsid w:val="00D172F7"/>
    <w:rsid w:val="00D21FB7"/>
    <w:rsid w:val="00D31825"/>
    <w:rsid w:val="00D33C69"/>
    <w:rsid w:val="00D35B99"/>
    <w:rsid w:val="00D36AEA"/>
    <w:rsid w:val="00D37B2D"/>
    <w:rsid w:val="00D404E5"/>
    <w:rsid w:val="00D437A0"/>
    <w:rsid w:val="00D47D57"/>
    <w:rsid w:val="00D506E5"/>
    <w:rsid w:val="00D51D49"/>
    <w:rsid w:val="00D52FB9"/>
    <w:rsid w:val="00D534AB"/>
    <w:rsid w:val="00D62D27"/>
    <w:rsid w:val="00D745C5"/>
    <w:rsid w:val="00D756AC"/>
    <w:rsid w:val="00D75F0D"/>
    <w:rsid w:val="00D8136C"/>
    <w:rsid w:val="00D84199"/>
    <w:rsid w:val="00D84346"/>
    <w:rsid w:val="00D876A9"/>
    <w:rsid w:val="00D917A2"/>
    <w:rsid w:val="00D93DE6"/>
    <w:rsid w:val="00D97897"/>
    <w:rsid w:val="00DA15EB"/>
    <w:rsid w:val="00DA2F78"/>
    <w:rsid w:val="00DA3CB1"/>
    <w:rsid w:val="00DB131B"/>
    <w:rsid w:val="00DB3B9D"/>
    <w:rsid w:val="00DB7729"/>
    <w:rsid w:val="00DB7ED6"/>
    <w:rsid w:val="00DC03F7"/>
    <w:rsid w:val="00DC0F7E"/>
    <w:rsid w:val="00DC24F1"/>
    <w:rsid w:val="00DC2A05"/>
    <w:rsid w:val="00DC3034"/>
    <w:rsid w:val="00DC38C1"/>
    <w:rsid w:val="00DC4593"/>
    <w:rsid w:val="00DC72D0"/>
    <w:rsid w:val="00DC7553"/>
    <w:rsid w:val="00DC79CF"/>
    <w:rsid w:val="00DE4FE4"/>
    <w:rsid w:val="00DE7C4A"/>
    <w:rsid w:val="00DF04E1"/>
    <w:rsid w:val="00DF4C1C"/>
    <w:rsid w:val="00DF654F"/>
    <w:rsid w:val="00E00CBC"/>
    <w:rsid w:val="00E0329E"/>
    <w:rsid w:val="00E0548F"/>
    <w:rsid w:val="00E07963"/>
    <w:rsid w:val="00E10165"/>
    <w:rsid w:val="00E11DD1"/>
    <w:rsid w:val="00E12055"/>
    <w:rsid w:val="00E14FEC"/>
    <w:rsid w:val="00E170A3"/>
    <w:rsid w:val="00E17E1C"/>
    <w:rsid w:val="00E21939"/>
    <w:rsid w:val="00E21CAF"/>
    <w:rsid w:val="00E232AF"/>
    <w:rsid w:val="00E27AEE"/>
    <w:rsid w:val="00E31610"/>
    <w:rsid w:val="00E3183A"/>
    <w:rsid w:val="00E365C2"/>
    <w:rsid w:val="00E434E9"/>
    <w:rsid w:val="00E44E81"/>
    <w:rsid w:val="00E51AA2"/>
    <w:rsid w:val="00E53135"/>
    <w:rsid w:val="00E5501F"/>
    <w:rsid w:val="00E67387"/>
    <w:rsid w:val="00E81073"/>
    <w:rsid w:val="00E87845"/>
    <w:rsid w:val="00E93C77"/>
    <w:rsid w:val="00E9474A"/>
    <w:rsid w:val="00EA09B8"/>
    <w:rsid w:val="00EA37D1"/>
    <w:rsid w:val="00EA666D"/>
    <w:rsid w:val="00EA6E71"/>
    <w:rsid w:val="00EB0BCB"/>
    <w:rsid w:val="00EB1196"/>
    <w:rsid w:val="00EB2714"/>
    <w:rsid w:val="00EB3BBF"/>
    <w:rsid w:val="00EB40BB"/>
    <w:rsid w:val="00EC07A6"/>
    <w:rsid w:val="00EC2518"/>
    <w:rsid w:val="00EC47BA"/>
    <w:rsid w:val="00EC7E43"/>
    <w:rsid w:val="00ED1187"/>
    <w:rsid w:val="00ED67D5"/>
    <w:rsid w:val="00EE0FEF"/>
    <w:rsid w:val="00EE27BB"/>
    <w:rsid w:val="00EE4E11"/>
    <w:rsid w:val="00EE7267"/>
    <w:rsid w:val="00EF02F7"/>
    <w:rsid w:val="00EF0869"/>
    <w:rsid w:val="00EF0AA4"/>
    <w:rsid w:val="00EF0BB5"/>
    <w:rsid w:val="00F022A2"/>
    <w:rsid w:val="00F0356C"/>
    <w:rsid w:val="00F03F33"/>
    <w:rsid w:val="00F04062"/>
    <w:rsid w:val="00F109C4"/>
    <w:rsid w:val="00F12A34"/>
    <w:rsid w:val="00F14499"/>
    <w:rsid w:val="00F14AAC"/>
    <w:rsid w:val="00F15AE6"/>
    <w:rsid w:val="00F16096"/>
    <w:rsid w:val="00F16CBB"/>
    <w:rsid w:val="00F20642"/>
    <w:rsid w:val="00F22044"/>
    <w:rsid w:val="00F2600B"/>
    <w:rsid w:val="00F26946"/>
    <w:rsid w:val="00F27381"/>
    <w:rsid w:val="00F3553C"/>
    <w:rsid w:val="00F37EF9"/>
    <w:rsid w:val="00F41C30"/>
    <w:rsid w:val="00F468EC"/>
    <w:rsid w:val="00F554FD"/>
    <w:rsid w:val="00F57A0C"/>
    <w:rsid w:val="00F60059"/>
    <w:rsid w:val="00F61728"/>
    <w:rsid w:val="00F649F3"/>
    <w:rsid w:val="00F65C19"/>
    <w:rsid w:val="00F66236"/>
    <w:rsid w:val="00F67EEC"/>
    <w:rsid w:val="00F74334"/>
    <w:rsid w:val="00F8021F"/>
    <w:rsid w:val="00F82116"/>
    <w:rsid w:val="00F90BF8"/>
    <w:rsid w:val="00F94A36"/>
    <w:rsid w:val="00F9640D"/>
    <w:rsid w:val="00F97B21"/>
    <w:rsid w:val="00F97BBD"/>
    <w:rsid w:val="00FA3CCD"/>
    <w:rsid w:val="00FB0AD4"/>
    <w:rsid w:val="00FB376B"/>
    <w:rsid w:val="00FC0AFB"/>
    <w:rsid w:val="00FC46AA"/>
    <w:rsid w:val="00FC4862"/>
    <w:rsid w:val="00FC5488"/>
    <w:rsid w:val="00FC7C7D"/>
    <w:rsid w:val="00FD12A1"/>
    <w:rsid w:val="00FD132F"/>
    <w:rsid w:val="00FD40F7"/>
    <w:rsid w:val="00FD5A23"/>
    <w:rsid w:val="00FE00A0"/>
    <w:rsid w:val="00FE0FFB"/>
    <w:rsid w:val="00FE2454"/>
    <w:rsid w:val="00FE2714"/>
    <w:rsid w:val="00FF45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86134-DEBC-46A7-9E6C-2C1B4FA3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6">
    <w:name w:val="6"/>
    <w:basedOn w:val="TableNormal"/>
    <w:rsid w:val="0020360D"/>
    <w:pPr>
      <w:spacing w:after="200" w:line="276" w:lineRule="auto"/>
    </w:pPr>
    <w:rPr>
      <w:rFonts w:ascii="Calibri" w:eastAsia="Calibri" w:hAnsi="Calibri" w:cs="Calibri"/>
      <w:lang w:val="en-US" w:eastAsia="de-DE"/>
    </w:rPr>
    <w:tblPr>
      <w:tblStyleRowBandSize w:val="1"/>
      <w:tblStyleColBandSize w:val="1"/>
      <w:tblInd w:w="0" w:type="nil"/>
      <w:tblCellMar>
        <w:left w:w="198" w:type="dxa"/>
      </w:tblCellMar>
    </w:tblPr>
  </w:style>
  <w:style w:type="table" w:styleId="TableGrid">
    <w:name w:val="Table Grid"/>
    <w:basedOn w:val="TableNormal"/>
    <w:uiPriority w:val="59"/>
    <w:rsid w:val="0020360D"/>
    <w:pPr>
      <w:spacing w:after="200" w:line="276" w:lineRule="auto"/>
    </w:pPr>
    <w:rPr>
      <w:rFonts w:ascii="Calibri" w:eastAsia="Calibri" w:hAnsi="Calibri" w:cs="Calibri"/>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basedOn w:val="TableNormal"/>
    <w:rsid w:val="0020360D"/>
    <w:pPr>
      <w:spacing w:after="200" w:line="276" w:lineRule="auto"/>
    </w:pPr>
    <w:rPr>
      <w:rFonts w:ascii="Calibri" w:eastAsia="Calibri" w:hAnsi="Calibri" w:cs="Calibri"/>
      <w:lang w:val="en-US" w:eastAsia="de-DE"/>
    </w:rPr>
    <w:tblPr>
      <w:tblStyleRowBandSize w:val="1"/>
      <w:tblStyleColBandSize w:val="1"/>
      <w:tblInd w:w="0" w:type="nil"/>
      <w:tblCellMar>
        <w:left w:w="148" w:type="dxa"/>
      </w:tblCellMar>
    </w:tblPr>
  </w:style>
  <w:style w:type="character" w:styleId="Hyperlink">
    <w:name w:val="Hyperlink"/>
    <w:basedOn w:val="DefaultParagraphFont"/>
    <w:uiPriority w:val="99"/>
    <w:semiHidden/>
    <w:unhideWhenUsed/>
    <w:rsid w:val="002036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biorxiv.org/content/biorxiv/early/2022/12/14/2022.11.07.515464.full.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1200</Words>
  <Characters>6846</Characters>
  <Application>Microsoft Office Word</Application>
  <DocSecurity>0</DocSecurity>
  <Lines>57</Lines>
  <Paragraphs>16</Paragraphs>
  <ScaleCrop>false</ScaleCrop>
  <Company/>
  <LinksUpToDate>false</LinksUpToDate>
  <CharactersWithSpaces>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Sivadhanush Sriram</dc:creator>
  <cp:keywords/>
  <dc:description/>
  <cp:lastModifiedBy>Sivadhanush Sriram</cp:lastModifiedBy>
  <cp:revision>1</cp:revision>
  <dcterms:created xsi:type="dcterms:W3CDTF">2023-05-22T08:56:00Z</dcterms:created>
  <dcterms:modified xsi:type="dcterms:W3CDTF">2023-05-22T09:06:00Z</dcterms:modified>
</cp:coreProperties>
</file>