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C028D" w14:textId="025DE837" w:rsidR="004D3F67" w:rsidRPr="00B242BA" w:rsidRDefault="004D3F67" w:rsidP="004D3F67">
      <w:pPr>
        <w:spacing w:line="480" w:lineRule="auto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  <w:r w:rsidRPr="00B242BA">
        <w:rPr>
          <w:rFonts w:ascii="Times New Roman" w:hAnsi="Times New Roman" w:cs="Times New Roman"/>
          <w:b/>
          <w:iCs/>
          <w:color w:val="FF0000"/>
          <w:sz w:val="28"/>
          <w:szCs w:val="28"/>
        </w:rPr>
        <w:t>Supplementary analysis of data using Bayesian methods</w:t>
      </w:r>
    </w:p>
    <w:p w14:paraId="4CEABCA1" w14:textId="40464C00" w:rsidR="004D3F67" w:rsidRDefault="004D3F67" w:rsidP="004D3F67">
      <w:pPr>
        <w:spacing w:after="240"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87A86">
        <w:rPr>
          <w:rFonts w:ascii="Times New Roman" w:hAnsi="Times New Roman" w:cs="Times New Roman"/>
          <w:color w:val="FF0000"/>
          <w:sz w:val="24"/>
          <w:szCs w:val="24"/>
        </w:rPr>
        <w:t xml:space="preserve">All TMS and behavioral data were analyzed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in R version 4.xxx </w:t>
      </w:r>
      <w:r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&lt;EndNote&gt;&lt;Cite&gt;&lt;Author&gt;Team&lt;/Author&gt;&lt;Year&gt;2023&lt;/Year&gt;&lt;RecNum&gt;2473&lt;/RecNum&gt;&lt;DisplayText&gt;(Team 2023b)&lt;/DisplayText&gt;&lt;record&gt;&lt;rec-number&gt;2473&lt;/rec-number&gt;&lt;foreign-keys&gt;&lt;key app="EN" db-id="vstxdx05rsp50jersv4xd094p2r9ztw5dzar" timestamp="1716521241" guid="ed4eba50-6e95-4074-b7d9-ebcb7c4ec883"&gt;2473&lt;/key&gt;&lt;/foreign-keys&gt;&lt;ref-type name="Generic"&gt;13&lt;/ref-type&gt;&lt;contributors&gt;&lt;authors&gt;&lt;author&gt;R Core Team&lt;/author&gt;&lt;/authors&gt;&lt;/contributors&gt;&lt;titles&gt;&lt;title&gt;R: A language and environment for statistical computing.&lt;/title&gt;&lt;/titles&gt;&lt;dates&gt;&lt;year&gt;2023&lt;/year&gt;&lt;/dates&gt;&lt;publisher&gt;R Foundation for Statistical Computing&lt;/publisher&gt;&lt;urls&gt;&lt;/urls&gt;&lt;/record&gt;&lt;/Cite&gt;&lt;/EndNote&gt;</w:instrText>
      </w:r>
      <w:r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A17F12">
        <w:rPr>
          <w:rFonts w:ascii="Times New Roman" w:hAnsi="Times New Roman" w:cs="Times New Roman"/>
          <w:noProof/>
          <w:color w:val="FF0000"/>
          <w:sz w:val="24"/>
          <w:szCs w:val="24"/>
        </w:rPr>
        <w:t>(Team 2023b)</w:t>
      </w:r>
      <w:r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 xml:space="preserve">using R studio </w:t>
      </w:r>
      <w:r w:rsidRPr="00687A86">
        <w:rPr>
          <w:rFonts w:ascii="Times New Roman" w:hAnsi="Times New Roman" w:cs="Times New Roman"/>
          <w:color w:val="FF0000"/>
          <w:sz w:val="24"/>
        </w:rPr>
        <w:t>version 2023.12.1+402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A17F12">
        <w:rPr>
          <w:rFonts w:ascii="Times New Roman" w:hAnsi="Times New Roman" w:cs="Times New Roman"/>
          <w:color w:val="FF0000"/>
          <w:sz w:val="24"/>
        </w:rPr>
        <w:fldChar w:fldCharType="begin"/>
      </w:r>
      <w:r w:rsidR="00A17F12">
        <w:rPr>
          <w:rFonts w:ascii="Times New Roman" w:hAnsi="Times New Roman" w:cs="Times New Roman"/>
          <w:color w:val="FF0000"/>
          <w:sz w:val="24"/>
        </w:rPr>
        <w:instrText xml:space="preserve"> ADDIN EN.CITE &lt;EndNote&gt;&lt;Cite&gt;&lt;Author&gt;Team&lt;/Author&gt;&lt;Year&gt;2023&lt;/Year&gt;&lt;RecNum&gt;2474&lt;/RecNum&gt;&lt;DisplayText&gt;(Team 2023a)&lt;/DisplayText&gt;&lt;record&gt;&lt;rec-number&gt;2474&lt;/rec-number&gt;&lt;foreign-keys&gt;&lt;key app="EN" db-id="vstxdx05rsp50jersv4xd094p2r9ztw5dzar" timestamp="1716521678"&gt;2474&lt;/key&gt;&lt;/foreign-keys&gt;&lt;ref-type name="Generic"&gt;13&lt;/ref-type&gt;&lt;contributors&gt;&lt;authors&gt;&lt;author&gt;Posit Team&lt;/author&gt;&lt;/authors&gt;&lt;/contributors&gt;&lt;titles&gt;&lt;title&gt;RStudio: Integrated Development Environment for R.&lt;/title&gt;&lt;/titles&gt;&lt;dates&gt;&lt;year&gt;2023&lt;/year&gt;&lt;/dates&gt;&lt;publisher&gt;Posit Software, PBC, Boston, MA.&lt;/publisher&gt;&lt;urls&gt;&lt;related-urls&gt;&lt;url&gt; http://www.posit.co/.&lt;/url&gt;&lt;/related-urls&gt;&lt;/urls&gt;&lt;/record&gt;&lt;/Cite&gt;&lt;/EndNote&gt;</w:instrText>
      </w:r>
      <w:r w:rsidR="00A17F12">
        <w:rPr>
          <w:rFonts w:ascii="Times New Roman" w:hAnsi="Times New Roman" w:cs="Times New Roman"/>
          <w:color w:val="FF0000"/>
          <w:sz w:val="24"/>
        </w:rPr>
        <w:fldChar w:fldCharType="separate"/>
      </w:r>
      <w:r w:rsidR="00A17F12">
        <w:rPr>
          <w:rFonts w:ascii="Times New Roman" w:hAnsi="Times New Roman" w:cs="Times New Roman"/>
          <w:noProof/>
          <w:color w:val="FF0000"/>
          <w:sz w:val="24"/>
        </w:rPr>
        <w:t>(Team 2023a)</w:t>
      </w:r>
      <w:r w:rsidR="00A17F12">
        <w:rPr>
          <w:rFonts w:ascii="Times New Roman" w:hAnsi="Times New Roman" w:cs="Times New Roman"/>
          <w:color w:val="FF0000"/>
          <w:sz w:val="24"/>
        </w:rPr>
        <w:fldChar w:fldCharType="end"/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 xml:space="preserve">. Bayesian generalized linear mixed models (GLMM)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were employed 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 xml:space="preserve">to analyze all TMS and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behavioral data using ‘brms’ package </w:t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&lt;EndNote&gt;&lt;Cite&gt;&lt;Author&gt;Bürkner&lt;/Author&gt;&lt;Year&gt;2017&lt;/Year&gt;&lt;RecNum&gt;2410&lt;/RecNum&gt;&lt;DisplayText&gt;(Bürkner 2017)&lt;/DisplayText&gt;&lt;record&gt;&lt;rec-number&gt;2410&lt;/rec-number&gt;&lt;foreign-keys&gt;&lt;key app="EN" db-id="vstxdx05rsp50jersv4xd094p2r9ztw5dzar" timestamp="1694643722" guid="14746cea-e042-47d0-b35e-39a7e40abbc4"&gt;2410&lt;/key&gt;&lt;/foreign-keys&gt;&lt;ref-type name="Journal Article"&gt;17&lt;/ref-type&gt;&lt;contributors&gt;&lt;authors&gt;&lt;author&gt;Bürkner, Paul-Christian&lt;/author&gt;&lt;/authors&gt;&lt;/contributors&gt;&lt;titles&gt;&lt;title&gt;brms: An R package for Bayesian multilevel models using Stan&lt;/title&gt;&lt;secondary-title&gt;J Stat Softw&lt;/secondary-title&gt;&lt;/titles&gt;&lt;periodical&gt;&lt;full-title&gt;J Stat Softw&lt;/full-title&gt;&lt;/periodical&gt;&lt;pages&gt;1-28&lt;/pages&gt;&lt;volume&gt;80&lt;/volume&gt;&lt;dates&gt;&lt;year&gt;2017&lt;/year&gt;&lt;/dates&gt;&lt;isbn&gt;1548-7660&lt;/isbn&gt;&lt;urls&gt;&lt;/urls&gt;&lt;electronic-resource-num&gt;10.18637/jss.v080.i01&lt;/electronic-resource-num&gt;&lt;/record&gt;&lt;/Cite&gt;&lt;/EndNote&gt;</w:instrText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A17F12">
        <w:rPr>
          <w:rFonts w:ascii="Times New Roman" w:hAnsi="Times New Roman" w:cs="Times New Roman"/>
          <w:noProof/>
          <w:color w:val="FF0000"/>
          <w:sz w:val="24"/>
          <w:szCs w:val="24"/>
        </w:rPr>
        <w:t>(Bürkner 2017)</w:t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Visual inspection of MEP amplitude and VT data revealed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t>positively skewed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distributions. Models investigating MEP amplitude and VT performance measures were therefore fit using 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>Gamma distributions with log link function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fldChar w:fldCharType="begin">
          <w:fldData xml:space="preserve">PEVuZE5vdGU+PENpdGU+PEF1dGhvcj5QdXJpPC9BdXRob3I+PFllYXI+MjAyMjwvWWVhcj48UmVj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</w:fldData>
        </w:fldChar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</w:instrText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fldChar w:fldCharType="begin">
          <w:fldData xml:space="preserve">PEVuZE5vdGU+PENpdGU+PEF1dGhvcj5QdXJpPC9BdXRob3I+PFllYXI+MjAyMjwvWWVhcj48UmVj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</w:fldData>
        </w:fldChar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EN.CITE.DATA </w:instrText>
      </w:r>
      <w:r w:rsidR="00A17F12">
        <w:rPr>
          <w:rFonts w:ascii="Times New Roman" w:hAnsi="Times New Roman" w:cs="Times New Roman"/>
          <w:color w:val="FF0000"/>
          <w:sz w:val="24"/>
          <w:szCs w:val="24"/>
        </w:rPr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 w:rsidR="00A17F12">
        <w:rPr>
          <w:rFonts w:ascii="Times New Roman" w:hAnsi="Times New Roman" w:cs="Times New Roman"/>
          <w:color w:val="FF0000"/>
          <w:sz w:val="24"/>
          <w:szCs w:val="24"/>
        </w:rPr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A17F12">
        <w:rPr>
          <w:rFonts w:ascii="Times New Roman" w:hAnsi="Times New Roman" w:cs="Times New Roman"/>
          <w:noProof/>
          <w:color w:val="FF0000"/>
          <w:sz w:val="24"/>
          <w:szCs w:val="24"/>
        </w:rPr>
        <w:t>(Lo and Andrews 2015, Puri and Hinder 2022, Liao</w:t>
      </w:r>
      <w:r w:rsidR="00A17F12" w:rsidRPr="00A17F12">
        <w:rPr>
          <w:rFonts w:ascii="Times New Roman" w:hAnsi="Times New Roman" w:cs="Times New Roman"/>
          <w:i/>
          <w:noProof/>
          <w:color w:val="FF0000"/>
          <w:sz w:val="24"/>
          <w:szCs w:val="24"/>
        </w:rPr>
        <w:t xml:space="preserve"> et al.</w:t>
      </w:r>
      <w:r w:rsidR="00A17F12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2023)</w:t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and included a maximal effects structure (all intercepts and slopes) </w:t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&lt;EndNote&gt;&lt;Cite&gt;&lt;Author&gt;Barr&lt;/Author&gt;&lt;Year&gt;2013&lt;/Year&gt;&lt;RecNum&gt;2368&lt;/RecNum&gt;&lt;DisplayText&gt;(Barr 2013)&lt;/DisplayText&gt;&lt;record&gt;&lt;rec-number&gt;2368&lt;/rec-number&gt;&lt;foreign-keys&gt;&lt;key app="EN" db-id="vstxdx05rsp50jersv4xd094p2r9ztw5dzar" timestamp="1693276187" guid="c18979dd-7919-444e-9014-f82e0b929fed"&gt;2368&lt;/key&gt;&lt;/foreign-keys&gt;&lt;ref-type name="Generic"&gt;13&lt;/ref-type&gt;&lt;contributors&gt;&lt;authors&gt;&lt;author&gt;Barr, Dale J&lt;/author&gt;&lt;/authors&gt;&lt;/contributors&gt;&lt;titles&gt;&lt;title&gt;Random effects structure for testing interactions in linear mixed-effects models&lt;/title&gt;&lt;/titles&gt;&lt;pages&gt;328&lt;/pages&gt;&lt;volume&gt;4&lt;/volume&gt;&lt;dates&gt;&lt;year&gt;2013&lt;/year&gt;&lt;/dates&gt;&lt;publisher&gt;Front Psychol&lt;/publisher&gt;&lt;isbn&gt;1664-1078&lt;/isbn&gt;&lt;urls&gt;&lt;/urls&gt;&lt;electronic-resource-num&gt;10.3389/fpsyg.2013.00328&lt;/electronic-resource-num&gt;&lt;/record&gt;&lt;/Cite&gt;&lt;/EndNote&gt;</w:instrText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A17F12">
        <w:rPr>
          <w:rFonts w:ascii="Times New Roman" w:hAnsi="Times New Roman" w:cs="Times New Roman"/>
          <w:noProof/>
          <w:color w:val="FF0000"/>
          <w:sz w:val="24"/>
          <w:szCs w:val="24"/>
        </w:rPr>
        <w:t>(Barr 2013)</w:t>
      </w:r>
      <w:r w:rsidR="00A17F12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Models investigating baseline TMS intensities were fitted using normal distribution with identity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link, and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included only random participant intercepts.</w:t>
      </w:r>
    </w:p>
    <w:p w14:paraId="64534B6C" w14:textId="77777777" w:rsidR="004D3F67" w:rsidRDefault="004D3F67" w:rsidP="004D3F67">
      <w:pPr>
        <w:spacing w:after="240"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87A86">
        <w:rPr>
          <w:rFonts w:ascii="Times New Roman" w:hAnsi="Times New Roman" w:cs="Times New Roman"/>
          <w:i/>
          <w:iCs/>
          <w:color w:val="FF0000"/>
          <w:sz w:val="24"/>
          <w:szCs w:val="24"/>
        </w:rPr>
        <w:t>MEP data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>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Three single-factor models were used to investigate the effects of session 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>(iTMS+VT, iTMS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  <w:vertAlign w:val="subscript"/>
        </w:rPr>
        <w:t>Control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>+VT, and iTMS)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on baseline stimulation intensities for assessment of RMT, TS, and iTMS. A two-factor model was used to investigate the effects of session and block (B1-B18) on MEP amplitude during iTMS, whereas another two-factor model was used to investigate the effects of session and time point (Pre, Post iTMS, and Post Train).</w:t>
      </w:r>
    </w:p>
    <w:p w14:paraId="6A814D64" w14:textId="77777777" w:rsidR="004D3F67" w:rsidRPr="00687A86" w:rsidRDefault="004D3F67" w:rsidP="004D3F67">
      <w:pPr>
        <w:spacing w:after="240"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87A86">
        <w:rPr>
          <w:rFonts w:ascii="Times New Roman" w:hAnsi="Times New Roman" w:cs="Times New Roman"/>
          <w:i/>
          <w:iCs/>
          <w:color w:val="FF0000"/>
          <w:sz w:val="24"/>
          <w:szCs w:val="24"/>
        </w:rPr>
        <w:t>VT data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Three single-factor models were used to investigate the effects of session on baseline error,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MT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and skill. Three t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 xml:space="preserve">wo-factor </w:t>
      </w:r>
      <w:r>
        <w:rPr>
          <w:rFonts w:ascii="Times New Roman" w:hAnsi="Times New Roman" w:cs="Times New Roman"/>
          <w:color w:val="FF0000"/>
          <w:sz w:val="24"/>
          <w:szCs w:val="24"/>
        </w:rPr>
        <w:t>models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were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 xml:space="preserve"> used to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investigate the effects of session 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>(iTMS+VT and iTMS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  <w:vertAlign w:val="subscript"/>
        </w:rPr>
        <w:t>Control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>+VT)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and block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 xml:space="preserve"> (Pre, B1–B8)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on error,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MT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and skill during each session</w:t>
      </w:r>
      <w:r w:rsidRPr="00687A8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7D82E963" w14:textId="64A2F99B" w:rsidR="004D3F67" w:rsidRDefault="004D3F67" w:rsidP="004D3F67">
      <w:pPr>
        <w:spacing w:after="240"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All posterior distributions were estimated using the No-U-Turn-Sample (NUTS) extension of Hamiltonian Monte Carlo Markov Chain (MCMC) algorithm. Each model was run using 4 independent chains with 1000 warm up and 3000 post-warm up samples (totaling 12,000 post-warm up samples). Furthermore, while iTMS has been shown to effectively potentiate M1 excitability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&lt;EndNote&gt;&lt;Cite&gt;&lt;Author&gt;Cash&lt;/Author&gt;&lt;Year&gt;2009&lt;/Year&gt;&lt;RecNum&gt;2154&lt;/RecNum&gt;&lt;DisplayText&gt;(Thickbroom&lt;style face="italic"&gt; et al.&lt;/style&gt; 2006, Cash&lt;style face="italic"&gt; et al.&lt;/style&gt; 2009)&lt;/DisplayText&gt;&lt;record&gt;&lt;rec-number&gt;2154&lt;/rec-number&gt;&lt;foreign-keys&gt;&lt;key app="EN" db-id="vstxdx05rsp50jersv4xd094p2r9ztw5dzar" timestamp="1681861722" guid="b210b54f-8457-4ec0-93f8-3e5462747093"&gt;2154&lt;/key&gt;&lt;/foreign-keys&gt;&lt;ref-type name="Journal Article"&gt;17&lt;/ref-type&gt;&lt;contributors&gt;&lt;authors&gt;&lt;author&gt;Cash, RFH&lt;/author&gt;&lt;author&gt;Benwell, NM&lt;/author&gt;&lt;author&gt;Murray, K&lt;/author&gt;&lt;author&gt;Mastaglia, FL&lt;/author&gt;&lt;author&gt;Thickbroom, GW&lt;/author&gt;&lt;/authors&gt;&lt;/contributors&gt;&lt;titles&gt;&lt;title&gt;Neuromodulation by paired-pulse TMS at an I-wave interval facilitates multiple I-waves&lt;/title&gt;&lt;secondary-title&gt;Exp Brain Res&lt;/secondary-title&gt;&lt;/titles&gt;&lt;periodical&gt;&lt;full-title&gt;Exp Brain Res&lt;/full-title&gt;&lt;/periodical&gt;&lt;pages&gt;1-7&lt;/pages&gt;&lt;volume&gt;193&lt;/volume&gt;&lt;number&gt;1&lt;/number&gt;&lt;dates&gt;&lt;year&gt;2009&lt;/year&gt;&lt;/dates&gt;&lt;isbn&gt;0014-4819&lt;/isbn&gt;&lt;urls&gt;&lt;/urls&gt;&lt;/record&gt;&lt;/Cite&gt;&lt;Cite&gt;&lt;Author&gt;Thickbroom&lt;/Author&gt;&lt;Year&gt;2006&lt;/Year&gt;&lt;RecNum&gt;2195&lt;/RecNum&gt;&lt;record&gt;&lt;rec-number&gt;2195&lt;/rec-number&gt;&lt;foreign-keys&gt;&lt;key app="EN" db-id="vstxdx05rsp50jersv4xd094p2r9ztw5dzar" timestamp="1681861724" guid="f8593437-dc0a-4d37-8a7b-a7cd412d238a"&gt;2195&lt;/key&gt;&lt;/foreign-keys&gt;&lt;ref-type name="Journal Article"&gt;17&lt;/ref-type&gt;&lt;contributors&gt;&lt;authors&gt;&lt;author&gt;Thickbroom, Gary W&lt;/author&gt;&lt;author&gt;Byrnes, Michelle L&lt;/author&gt;&lt;author&gt;Edwards, Dylan J&lt;/author&gt;&lt;author&gt;Mastaglia, Frank L&lt;/author&gt;&lt;/authors&gt;&lt;/contributors&gt;&lt;titles&gt;&lt;title&gt;Repetitive paired-pulse TMS at I-wave periodicity markedly increases corticospinal excitability: a new technique for modulating synaptic plasticity&lt;/title&gt;&lt;secondary-title&gt;Clin Neurophysiol&lt;/secondary-title&gt;&lt;/titles&gt;&lt;pages&gt;61-66&lt;/pages&gt;&lt;volume&gt;117&lt;/volume&gt;&lt;number&gt;1&lt;/number&gt;&lt;dates&gt;&lt;year&gt;2006&lt;/year&gt;&lt;/dates&gt;&lt;isbn&gt;1388-2457&lt;/isbn&gt;&lt;urls&gt;&lt;/urls&gt;&lt;/record&gt;&lt;/Cite&gt;&lt;/EndNote&gt;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>(Thickbroom</w:t>
      </w:r>
      <w:r w:rsidR="00D819B4" w:rsidRPr="00D819B4">
        <w:rPr>
          <w:rFonts w:ascii="Times New Roman" w:hAnsi="Times New Roman" w:cs="Times New Roman"/>
          <w:i/>
          <w:noProof/>
          <w:color w:val="FF0000"/>
          <w:sz w:val="24"/>
          <w:szCs w:val="24"/>
        </w:rPr>
        <w:t xml:space="preserve"> et al.</w:t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2006, Cash</w:t>
      </w:r>
      <w:r w:rsidR="00D819B4" w:rsidRPr="00D819B4">
        <w:rPr>
          <w:rFonts w:ascii="Times New Roman" w:hAnsi="Times New Roman" w:cs="Times New Roman"/>
          <w:i/>
          <w:noProof/>
          <w:color w:val="FF0000"/>
          <w:sz w:val="24"/>
          <w:szCs w:val="24"/>
        </w:rPr>
        <w:t xml:space="preserve"> et al.</w:t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2009)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and modulate visuomotor performance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&lt;EndNote&gt;&lt;Cite&gt;&lt;Author&gt;Hand&lt;/Author&gt;&lt;Year&gt;2023&lt;/Year&gt;&lt;RecNum&gt;2420&lt;/RecNum&gt;&lt;DisplayText&gt;(Hand&lt;style face="italic"&gt; et al.&lt;/style&gt; 2023)&lt;/DisplayText&gt;&lt;record&gt;&lt;rec-number&gt;2420&lt;/rec-number&gt;&lt;foreign-keys&gt;&lt;key app="EN" db-id="vstxdx05rsp50jersv4xd094p2r9ztw5dzar" timestamp="1694647454" guid="c1645a72-e661-441e-9d24-0d0f24014591"&gt;2420&lt;/key&gt;&lt;/foreign-keys&gt;&lt;ref-type name="Journal Article"&gt;17&lt;/ref-type&gt;&lt;contributors&gt;&lt;authors&gt;&lt;author&gt;Hand, Brodie J&lt;/author&gt;&lt;author&gt;Merkin, Ashley&lt;/author&gt;&lt;author&gt;Opie, George M&lt;/author&gt;&lt;author&gt;Ziemann, Ulf&lt;/author&gt;&lt;author&gt;Semmler, John G&lt;/author&gt;&lt;/authors&gt;&lt;/contributors&gt;&lt;titles&gt;&lt;title&gt;Repetitive paired-pulse TMS increases motor cortex excitability and visuomotor skill acquisition in young and older adults&lt;/title&gt;&lt;secondary-title&gt;Cereb Cortex&lt;/secondary-title&gt;&lt;/titles&gt;&lt;pages&gt;bhad315&lt;/pages&gt;&lt;dates&gt;&lt;year&gt;2023&lt;/year&gt;&lt;/dates&gt;&lt;isbn&gt;1047-3211&lt;/isbn&gt;&lt;urls&gt;&lt;/urls&gt;&lt;electronic-resource-num&gt;10.1093/cercor/bhad315&lt;/electronic-resource-num&gt;&lt;/record&gt;&lt;/Cite&gt;&lt;/EndNote&gt;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>(Hand</w:t>
      </w:r>
      <w:r w:rsidR="00D819B4" w:rsidRPr="00D819B4">
        <w:rPr>
          <w:rFonts w:ascii="Times New Roman" w:hAnsi="Times New Roman" w:cs="Times New Roman"/>
          <w:i/>
          <w:noProof/>
          <w:color w:val="FF0000"/>
          <w:sz w:val="24"/>
          <w:szCs w:val="24"/>
        </w:rPr>
        <w:t xml:space="preserve"> et al.</w:t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2023)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>, meta-analysis of this technique has reported a high risk of bias within early studies (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= 11)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&lt;EndNote&gt;&lt;Cite&gt;&lt;Author&gt;Kidgell&lt;/Author&gt;&lt;Year&gt;2016&lt;/Year&gt;&lt;RecNum&gt;2477&lt;/RecNum&gt;&lt;DisplayText&gt;(Kidgell&lt;style face="italic"&gt; et al.&lt;/style&gt; 2016)&lt;/DisplayText&gt;&lt;record&gt;&lt;rec-number&gt;2477&lt;/rec-number&gt;&lt;foreign-keys&gt;&lt;key app="EN" db-id="vstxdx05rsp50jersv4xd094p2r9ztw5dzar" timestamp="1716522217"&gt;2477&lt;/key&gt;&lt;/foreign-keys&gt;&lt;ref-type name="Journal Article"&gt;17&lt;/ref-type&gt;&lt;contributors&gt;&lt;authors&gt;&lt;author&gt;Kidgell, Dawson J&lt;/author&gt;&lt;author&gt;Mason, Joel&lt;/author&gt;&lt;author&gt;Frazer, Ashlyn&lt;/author&gt;&lt;author&gt;Pearce, Alan J&lt;/author&gt;&lt;/authors&gt;&lt;/contributors&gt;&lt;titles&gt;&lt;title&gt;I-wave periodicity transcranial magnetic stimulation (iTMS) on corticospinal excitability. A systematic review of the literature&lt;/title&gt;&lt;secondary-title&gt;Neuroscience&lt;/secondary-title&gt;&lt;/titles&gt;&lt;periodical&gt;&lt;full-title&gt;Neuroscience&lt;/full-title&gt;&lt;/periodical&gt;&lt;pages&gt;262-272&lt;/pages&gt;&lt;volume&gt;322&lt;/volume&gt;&lt;dates&gt;&lt;year&gt;2016&lt;/year&gt;&lt;/dates&gt;&lt;isbn&gt;0306-4522&lt;/isbn&gt;&lt;urls&gt;&lt;/urls&gt;&lt;/record&gt;&lt;/Cite&gt;&lt;/EndNote&gt;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>(Kidgell</w:t>
      </w:r>
      <w:r w:rsidR="00D819B4" w:rsidRPr="00D819B4">
        <w:rPr>
          <w:rFonts w:ascii="Times New Roman" w:hAnsi="Times New Roman" w:cs="Times New Roman"/>
          <w:i/>
          <w:noProof/>
          <w:color w:val="FF0000"/>
          <w:sz w:val="24"/>
          <w:szCs w:val="24"/>
        </w:rPr>
        <w:t xml:space="preserve"> et al.</w:t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2016)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We therefore represented this uncertainty in the posterior distributions using a </w:t>
      </w: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>weakly informative prior with normal distribution (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~ 0,1). Model chain convergence was assessed by ensuring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Rhat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vales were &lt; 1.1 and visual inspection of post-warm up samples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&lt;EndNote&gt;&lt;Cite&gt;&lt;Author&gt;Gelman&lt;/Author&gt;&lt;Year&gt;1992&lt;/Year&gt;&lt;RecNum&gt;2408&lt;/RecNum&gt;&lt;DisplayText&gt;(Gelman and Rubin 1992)&lt;/DisplayText&gt;&lt;record&gt;&lt;rec-number&gt;2408&lt;/rec-number&gt;&lt;foreign-keys&gt;&lt;key app="EN" db-id="vstxdx05rsp50jersv4xd094p2r9ztw5dzar" timestamp="1694643722" guid="f77969e0-984d-4078-9655-167aa81ad1c7"&gt;2408&lt;/key&gt;&lt;/foreign-keys&gt;&lt;ref-type name="Journal Article"&gt;17&lt;/ref-type&gt;&lt;contributors&gt;&lt;authors&gt;&lt;author&gt;Gelman, Andrew&lt;/author&gt;&lt;author&gt;Rubin, Donald B&lt;/author&gt;&lt;/authors&gt;&lt;/contributors&gt;&lt;titles&gt;&lt;title&gt;Inference from iterative simulation using multiple sequences&lt;/title&gt;&lt;secondary-title&gt;Stat Sci&lt;/secondary-title&gt;&lt;/titles&gt;&lt;periodical&gt;&lt;full-title&gt;Stat Sci&lt;/full-title&gt;&lt;/periodical&gt;&lt;pages&gt;457-472&lt;/pages&gt;&lt;volume&gt;7&lt;/volume&gt;&lt;number&gt;4&lt;/number&gt;&lt;dates&gt;&lt;year&gt;1992&lt;/year&gt;&lt;/dates&gt;&lt;isbn&gt;0883-4237&lt;/isbn&gt;&lt;urls&gt;&lt;/urls&gt;&lt;electronic-resource-num&gt;10.1214/ss/1177011136&lt;/electronic-resource-num&gt;&lt;/record&gt;&lt;/Cite&gt;&lt;/EndNote&gt;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>(Gelman and Rubin 1992)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Posterior predictive checks were conducted to ensure simulated data closed matched observed data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&lt;EndNote&gt;&lt;Cite&gt;&lt;Author&gt;Gabry&lt;/Author&gt;&lt;Year&gt;2019&lt;/Year&gt;&lt;RecNum&gt;2409&lt;/RecNum&gt;&lt;DisplayText&gt;(Gabry&lt;style face="italic"&gt; et al.&lt;/style&gt; 2019)&lt;/DisplayText&gt;&lt;record&gt;&lt;rec-number&gt;2409&lt;/rec-number&gt;&lt;foreign-keys&gt;&lt;key app="EN" db-id="vstxdx05rsp50jersv4xd094p2r9ztw5dzar" timestamp="1694643722" guid="7b70719b-bf80-4dd1-ae74-47c57ed578f8"&gt;2409&lt;/key&gt;&lt;/foreign-keys&gt;&lt;ref-type name="Journal Article"&gt;17&lt;/ref-type&gt;&lt;contributors&gt;&lt;authors&gt;&lt;author&gt;Gabry, Jonah&lt;/author&gt;&lt;author&gt;Simpson, Daniel&lt;/author&gt;&lt;author&gt;Vehtari, Aki&lt;/author&gt;&lt;author&gt;Betancourt, Michael&lt;/author&gt;&lt;author&gt;Gelman, Andrew&lt;/author&gt;&lt;/authors&gt;&lt;/contributors&gt;&lt;titles&gt;&lt;title&gt;Visualization in Bayesian workflow&lt;/title&gt;&lt;secondary-title&gt;J R Stat Soc Ser A Stat Soc&lt;/secondary-title&gt;&lt;/titles&gt;&lt;periodical&gt;&lt;full-title&gt;J R Stat Soc Ser A Stat Soc&lt;/full-title&gt;&lt;/periodical&gt;&lt;pages&gt;389-402&lt;/pages&gt;&lt;volume&gt;182&lt;/volume&gt;&lt;number&gt;2&lt;/number&gt;&lt;dates&gt;&lt;year&gt;2019&lt;/year&gt;&lt;/dates&gt;&lt;isbn&gt;0964-1998&lt;/isbn&gt;&lt;urls&gt;&lt;/urls&gt;&lt;electronic-resource-num&gt;10.1111/rssa.12378&lt;/electronic-resource-num&gt;&lt;/record&gt;&lt;/Cite&gt;&lt;/EndNote&gt;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>(Gabry</w:t>
      </w:r>
      <w:r w:rsidR="00D819B4" w:rsidRPr="00D819B4">
        <w:rPr>
          <w:rFonts w:ascii="Times New Roman" w:hAnsi="Times New Roman" w:cs="Times New Roman"/>
          <w:i/>
          <w:noProof/>
          <w:color w:val="FF0000"/>
          <w:sz w:val="24"/>
          <w:szCs w:val="24"/>
        </w:rPr>
        <w:t xml:space="preserve"> et al.</w:t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2019)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22408908" w14:textId="6A7B707B" w:rsidR="004D3F67" w:rsidRPr="00303058" w:rsidRDefault="004D3F67" w:rsidP="004D3F67">
      <w:pPr>
        <w:spacing w:after="240"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Following model fitting, the ‘emmeans’ package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&lt;EndNote&gt;&lt;Cite&gt;&lt;Author&gt;Lenth&lt;/Author&gt;&lt;Year&gt;2023&lt;/Year&gt;&lt;RecNum&gt;2411&lt;/RecNum&gt;&lt;DisplayText&gt;(Lenth 2023)&lt;/DisplayText&gt;&lt;record&gt;&lt;rec-number&gt;2411&lt;/rec-number&gt;&lt;foreign-keys&gt;&lt;key app="EN" db-id="vstxdx05rsp50jersv4xd094p2r9ztw5dzar" timestamp="1694643722" guid="ffcea6cd-be1d-4783-889a-0fafba85fbcf"&gt;2411&lt;/key&gt;&lt;/foreign-keys&gt;&lt;ref-type name="Web Page"&gt;12&lt;/ref-type&gt;&lt;contributors&gt;&lt;authors&gt;&lt;author&gt;Lenth, R&lt;/author&gt;&lt;/authors&gt;&lt;/contributors&gt;&lt;titles&gt;&lt;title&gt;emmeans: Estimated Marginal Means, aka Least-Squares Means (R package version 1.8.5)&lt;/title&gt;&lt;/titles&gt;&lt;dates&gt;&lt;year&gt;2023&lt;/year&gt;&lt;/dates&gt;&lt;urls&gt;&lt;related-urls&gt;&lt;url&gt;https://CRAN.R-project.org/package=emmeans&lt;/url&gt;&lt;/related-urls&gt;&lt;/urls&gt;&lt;/record&gt;&lt;/Cite&gt;&lt;/EndNote&gt;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>(Lenth 2023)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was used to generate custom contrasts probing main effects and interactions. We indexed effect </w:t>
      </w:r>
      <w:r w:rsidRPr="00B22C13">
        <w:rPr>
          <w:rFonts w:ascii="Times New Roman" w:hAnsi="Times New Roman" w:cs="Times New Roman"/>
          <w:i/>
          <w:color w:val="FF0000"/>
          <w:sz w:val="24"/>
          <w:szCs w:val="24"/>
        </w:rPr>
        <w:t>existence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(i.e., consistency of the effect) using the probability of direction (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), which reports the proportion of the posterior with the same sign as the median and ranges from 50% to 100 %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&lt;EndNote&gt;&lt;Cite&gt;&lt;Author&gt;Makowski&lt;/Author&gt;&lt;Year&gt;2019&lt;/Year&gt;&lt;RecNum&gt;2413&lt;/RecNum&gt;&lt;DisplayText&gt;(Makowski&lt;style face="italic"&gt; et al.&lt;/style&gt; 2019)&lt;/DisplayText&gt;&lt;record&gt;&lt;rec-number&gt;2413&lt;/rec-number&gt;&lt;foreign-keys&gt;&lt;key app="EN" db-id="vstxdx05rsp50jersv4xd094p2r9ztw5dzar" timestamp="1694643722" guid="78ee2b32-073d-454b-91f2-9776c3e02969"&gt;2413&lt;/key&gt;&lt;/foreign-keys&gt;&lt;ref-type name="Journal Article"&gt;17&lt;/ref-type&gt;&lt;contributors&gt;&lt;authors&gt;&lt;author&gt;Makowski, Dominique&lt;/author&gt;&lt;author&gt;Ben-Shachar, Mattan S&lt;/author&gt;&lt;author&gt;Chen, SH Annabel&lt;/author&gt;&lt;author&gt;Lüdecke, Daniel&lt;/author&gt;&lt;/authors&gt;&lt;/contributors&gt;&lt;titles&gt;&lt;title&gt;Indices of effect existence and significance in the Bayesian framework&lt;/title&gt;&lt;secondary-title&gt;Front Psychol&lt;/secondary-title&gt;&lt;/titles&gt;&lt;periodical&gt;&lt;full-title&gt;Front Psychol&lt;/full-title&gt;&lt;/periodical&gt;&lt;pages&gt;2767&lt;/pages&gt;&lt;volume&gt;10&lt;/volume&gt;&lt;dates&gt;&lt;year&gt;2019&lt;/year&gt;&lt;/dates&gt;&lt;isbn&gt;1664-1078&lt;/isbn&gt;&lt;urls&gt;&lt;/urls&gt;&lt;electronic-resource-num&gt;10.3389/fpsyg.2019.02767&lt;/electronic-resource-num&gt;&lt;/record&gt;&lt;/Cite&gt;&lt;/EndNote&gt;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>(Makowski</w:t>
      </w:r>
      <w:r w:rsidR="00D819B4" w:rsidRPr="00D819B4">
        <w:rPr>
          <w:rFonts w:ascii="Times New Roman" w:hAnsi="Times New Roman" w:cs="Times New Roman"/>
          <w:i/>
          <w:noProof/>
          <w:color w:val="FF0000"/>
          <w:sz w:val="24"/>
          <w:szCs w:val="24"/>
        </w:rPr>
        <w:t xml:space="preserve"> et al.</w:t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2019)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This measure is correlated with the frequentist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>
        <w:rPr>
          <w:rFonts w:ascii="Times New Roman" w:hAnsi="Times New Roman" w:cs="Times New Roman"/>
          <w:color w:val="FF0000"/>
          <w:sz w:val="24"/>
          <w:szCs w:val="24"/>
        </w:rPr>
        <w:t>-value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&lt;EndNote&gt;&lt;Cite&gt;&lt;Author&gt;Makowski&lt;/Author&gt;&lt;Year&gt;2019&lt;/Year&gt;&lt;RecNum&gt;2413&lt;/RecNum&gt;&lt;DisplayText&gt;(Makowski et al. 2019)&lt;/DisplayText&gt;&lt;record&gt;&lt;rec-number&gt;2413&lt;/rec-number&gt;&lt;foreign-keys&gt;&lt;key app="EN" db-id="vstxdx05rsp50jersv4xd094p2r9ztw5dzar" timestamp="1694643722" guid="78ee2b32-073d-454b-91f2-9776c3e02969"&gt;2413&lt;/key&gt;&lt;/foreign-keys&gt;&lt;ref-type name="Journal Article"&gt;17&lt;/ref-type&gt;&lt;contributors&gt;&lt;authors&gt;&lt;author&gt;Makowski, Dominique&lt;/author&gt;&lt;author&gt;Ben-Shachar, Mattan S&lt;/author&gt;&lt;author&gt;Chen, SH Annabel&lt;/author&gt;&lt;author&gt;Lüdecke, Daniel&lt;/author&gt;&lt;/authors&gt;&lt;/contributors&gt;&lt;titles&gt;&lt;title&gt;Indices of effect existence and significance in the Bayesian framework&lt;/title&gt;&lt;secondary-title&gt;Front Psychol&lt;/secondary-title&gt;&lt;/titles&gt;&lt;periodical&gt;&lt;full-title&gt;Front Psychol&lt;/full-title&gt;&lt;/periodical&gt;&lt;pages&gt;2767&lt;/pages&gt;&lt;volume&gt;10&lt;/volume&gt;&lt;dates&gt;&lt;year&gt;2019&lt;/year&gt;&lt;/dates&gt;&lt;isbn&gt;1664-1078&lt;/isbn&gt;&lt;urls&gt;&lt;/urls&gt;&lt;electronic-resource-num&gt;10.3389/fpsyg.2019.02767&lt;/electronic-resource-num&gt;&lt;/record&gt;&lt;/Cite&gt;&lt;/EndNote&gt;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>(Makowski et al. 2019)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and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&gt; 95% indicates a consistent effect. We assessed effect </w:t>
      </w:r>
      <w:r w:rsidRPr="00B22C13">
        <w:rPr>
          <w:rFonts w:ascii="Times New Roman" w:hAnsi="Times New Roman" w:cs="Times New Roman"/>
          <w:i/>
          <w:color w:val="FF0000"/>
          <w:sz w:val="24"/>
          <w:szCs w:val="24"/>
        </w:rPr>
        <w:t>significance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(i.e., magnitude of the effect) using the region of practical equivalence (ROPE), which measures how much posterior distributions overlapped a pre-defined range centered on zero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&lt;EndNote&gt;&lt;Cite&gt;&lt;Author&gt;Makowski&lt;/Author&gt;&lt;Year&gt;2019&lt;/Year&gt;&lt;RecNum&gt;2413&lt;/RecNum&gt;&lt;DisplayText&gt;(Makowski et al. 2019)&lt;/DisplayText&gt;&lt;record&gt;&lt;rec-number&gt;2413&lt;/rec-number&gt;&lt;foreign-keys&gt;&lt;key app="EN" db-id="vstxdx05rsp50jersv4xd094p2r9ztw5dzar" timestamp="1694643722" guid="78ee2b32-073d-454b-91f2-9776c3e02969"&gt;2413&lt;/key&gt;&lt;/foreign-keys&gt;&lt;ref-type name="Journal Article"&gt;17&lt;/ref-type&gt;&lt;contributors&gt;&lt;authors&gt;&lt;author&gt;Makowski, Dominique&lt;/author&gt;&lt;author&gt;Ben-Shachar, Mattan S&lt;/author&gt;&lt;author&gt;Chen, SH Annabel&lt;/author&gt;&lt;author&gt;Lüdecke, Daniel&lt;/author&gt;&lt;/authors&gt;&lt;/contributors&gt;&lt;titles&gt;&lt;title&gt;Indices of effect existence and significance in the Bayesian framework&lt;/title&gt;&lt;secondary-title&gt;Front Psychol&lt;/secondary-title&gt;&lt;/titles&gt;&lt;periodical&gt;&lt;full-title&gt;Front Psychol&lt;/full-title&gt;&lt;/periodical&gt;&lt;pages&gt;2767&lt;/pages&gt;&lt;volume&gt;10&lt;/volume&gt;&lt;dates&gt;&lt;year&gt;2019&lt;/year&gt;&lt;/dates&gt;&lt;isbn&gt;1664-1078&lt;/isbn&gt;&lt;urls&gt;&lt;/urls&gt;&lt;electronic-resource-num&gt;10.3389/fpsyg.2019.02767&lt;/electronic-resource-num&gt;&lt;/record&gt;&lt;/Cite&gt;&lt;/EndNote&gt;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>(Makowski et al. 2019)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Within the present study, the ROPE range was defined as ±5% SD of each model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&lt;EndNote&gt;&lt;Cite&gt;&lt;Author&gt;Kruschke&lt;/Author&gt;&lt;Year&gt;2018&lt;/Year&gt;&lt;RecNum&gt;2412&lt;/RecNum&gt;&lt;DisplayText&gt;(Kruschke 2018)&lt;/DisplayText&gt;&lt;record&gt;&lt;rec-number&gt;2412&lt;/rec-number&gt;&lt;foreign-keys&gt;&lt;key app="EN" db-id="vstxdx05rsp50jersv4xd094p2r9ztw5dzar" timestamp="1694643722" guid="0b3de333-34e3-46b8-b591-ab9b44133a11"&gt;2412&lt;/key&gt;&lt;/foreign-keys&gt;&lt;ref-type name="Journal Article"&gt;17&lt;/ref-type&gt;&lt;contributors&gt;&lt;authors&gt;&lt;author&gt;Kruschke, John K&lt;/author&gt;&lt;/authors&gt;&lt;/contributors&gt;&lt;titles&gt;&lt;title&gt;Rejecting or accepting parameter values in Bayesian estimation&lt;/title&gt;&lt;secondary-title&gt;Adv Methods Pract Psychol Sci&lt;/secondary-title&gt;&lt;/titles&gt;&lt;periodical&gt;&lt;full-title&gt;Adv Methods Pract Psychol Sci&lt;/full-title&gt;&lt;/periodical&gt;&lt;pages&gt;270-280&lt;/pages&gt;&lt;volume&gt;1&lt;/volume&gt;&lt;number&gt;2&lt;/number&gt;&lt;dates&gt;&lt;year&gt;2018&lt;/year&gt;&lt;/dates&gt;&lt;isbn&gt;2515-2459&lt;/isbn&gt;&lt;urls&gt;&lt;/urls&gt;&lt;electronic-resource-num&gt;10.1177/251524591877130&lt;/electronic-resource-num&gt;&lt;/record&gt;&lt;/Cite&gt;&lt;/EndNote&gt;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>(Kruschke 2018)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and was used to decide the null hypothesis of no difference. For each contrast, the null hypothesis was accepted if the 89% high density interval </w:t>
      </w:r>
      <w:r w:rsidR="0039393C">
        <w:rPr>
          <w:rFonts w:ascii="Times New Roman" w:hAnsi="Times New Roman" w:cs="Times New Roman"/>
          <w:color w:val="FF0000"/>
          <w:sz w:val="24"/>
          <w:szCs w:val="24"/>
        </w:rPr>
        <w:t xml:space="preserve">(HDI) </w:t>
      </w:r>
      <w:r>
        <w:rPr>
          <w:rFonts w:ascii="Times New Roman" w:hAnsi="Times New Roman" w:cs="Times New Roman"/>
          <w:color w:val="FF0000"/>
          <w:sz w:val="24"/>
          <w:szCs w:val="24"/>
        </w:rPr>
        <w:t>of each posterior distribution fell completely within ROPE (100% in ROPE) or rejected if it fell completely outside of the ROPE (0% in ROPE), whereas no decision was made if the 89% HDI partially overlapped the ROPE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>
          <w:fldData xml:space="preserve">PEVuZE5vdGU+PENpdGU+PEF1dGhvcj5QdXJpPC9BdXRob3I+PFllYXI+MjAyMzwvWWVhcj48UmVj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</w:fldData>
        </w:fldChar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 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begin">
          <w:fldData xml:space="preserve">PEVuZE5vdGU+PENpdGU+PEF1dGhvcj5QdXJpPC9BdXRob3I+PFllYXI+MjAyMzwvWWVhcj48UmVj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</w:fldData>
        </w:fldChar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EN.CITE.DATA </w:instrText>
      </w:r>
      <w:r w:rsidR="00D819B4">
        <w:rPr>
          <w:rFonts w:ascii="Times New Roman" w:hAnsi="Times New Roman" w:cs="Times New Roman"/>
          <w:color w:val="FF0000"/>
          <w:sz w:val="24"/>
          <w:szCs w:val="24"/>
        </w:rPr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 w:rsidR="00D819B4">
        <w:rPr>
          <w:rFonts w:ascii="Times New Roman" w:hAnsi="Times New Roman" w:cs="Times New Roman"/>
          <w:color w:val="FF0000"/>
          <w:sz w:val="24"/>
          <w:szCs w:val="24"/>
        </w:rPr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>(Opie</w:t>
      </w:r>
      <w:r w:rsidR="00D819B4" w:rsidRPr="00D819B4">
        <w:rPr>
          <w:rFonts w:ascii="Times New Roman" w:hAnsi="Times New Roman" w:cs="Times New Roman"/>
          <w:i/>
          <w:noProof/>
          <w:color w:val="FF0000"/>
          <w:sz w:val="24"/>
          <w:szCs w:val="24"/>
        </w:rPr>
        <w:t xml:space="preserve"> et al.</w:t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2023, Puri</w:t>
      </w:r>
      <w:r w:rsidR="00D819B4" w:rsidRPr="00D819B4">
        <w:rPr>
          <w:rFonts w:ascii="Times New Roman" w:hAnsi="Times New Roman" w:cs="Times New Roman"/>
          <w:i/>
          <w:noProof/>
          <w:color w:val="FF0000"/>
          <w:sz w:val="24"/>
          <w:szCs w:val="24"/>
        </w:rPr>
        <w:t xml:space="preserve"> et al.</w:t>
      </w:r>
      <w:r w:rsidR="00D819B4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2023)</w:t>
      </w:r>
      <w:r w:rsidR="00D819B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</w:rPr>
        <w:t>. Unless stated otherwise, all MEP and VT data are presented as median and 89% HDI.</w:t>
      </w:r>
    </w:p>
    <w:p w14:paraId="5C463E5E" w14:textId="4C98987F" w:rsidR="004D3F67" w:rsidRPr="004D3F67" w:rsidRDefault="004D3F67" w:rsidP="004D3F67">
      <w:pPr>
        <w:spacing w:line="48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D3F67">
        <w:rPr>
          <w:rFonts w:ascii="Times New Roman" w:hAnsi="Times New Roman" w:cs="Times New Roman"/>
          <w:b/>
          <w:bCs/>
          <w:color w:val="FF0000"/>
          <w:sz w:val="28"/>
          <w:szCs w:val="28"/>
        </w:rPr>
        <w:t>Results</w:t>
      </w:r>
    </w:p>
    <w:p w14:paraId="5D9498CF" w14:textId="672D9F54" w:rsidR="004D3F67" w:rsidRPr="000F7253" w:rsidRDefault="004D3F67" w:rsidP="004D3F67">
      <w:pPr>
        <w:spacing w:after="240"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MEP amplitude during the first block of iTMS alone was consistently increased relative to iTMS+VT (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= 95.0%), but this failed to reach a practical level of significance (2.2% in ROPE). Baseline error was increased during iTMS compared to iTMS+VT session, with this effect being consistent (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= 97.7%) and significant (0% in ROPE). MT did not vary at baseline between iTMS+VT and iTMS</w:t>
      </w:r>
      <w:r>
        <w:rPr>
          <w:rFonts w:ascii="Times New Roman" w:hAnsi="Times New Roman" w:cs="Times New Roman"/>
          <w:i/>
          <w:color w:val="FF0000"/>
          <w:sz w:val="24"/>
          <w:szCs w:val="24"/>
          <w:vertAlign w:val="subscript"/>
        </w:rPr>
        <w:t xml:space="preserve">Control </w:t>
      </w:r>
      <w:r>
        <w:rPr>
          <w:rFonts w:ascii="Times New Roman" w:hAnsi="Times New Roman" w:cs="Times New Roman"/>
          <w:color w:val="FF0000"/>
          <w:sz w:val="24"/>
          <w:szCs w:val="24"/>
        </w:rPr>
        <w:t>+VT (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= 64.4%, 100% in ROPE). All other comparisons for baseline stimulation intensities, MEP amplitude, and VT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14C4">
        <w:rPr>
          <w:rFonts w:ascii="Times New Roman" w:hAnsi="Times New Roman" w:cs="Times New Roman"/>
          <w:color w:val="FF0000"/>
          <w:sz w:val="24"/>
          <w:szCs w:val="24"/>
        </w:rPr>
        <w:t>were inconsistent (</w:t>
      </w:r>
      <w:r w:rsidRPr="001914C4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1914C4">
        <w:rPr>
          <w:rFonts w:ascii="Times New Roman" w:hAnsi="Times New Roman" w:cs="Times New Roman"/>
          <w:color w:val="FF0000"/>
          <w:sz w:val="24"/>
          <w:szCs w:val="24"/>
        </w:rPr>
        <w:t xml:space="preserve"> =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914C4">
        <w:rPr>
          <w:rFonts w:ascii="Times New Roman" w:hAnsi="Times New Roman" w:cs="Times New Roman"/>
          <w:color w:val="FF0000"/>
          <w:sz w:val="24"/>
          <w:szCs w:val="24"/>
        </w:rPr>
        <w:t>53.8</w:t>
      </w:r>
      <w:r>
        <w:rPr>
          <w:rFonts w:ascii="Times New Roman" w:hAnsi="Times New Roman" w:cs="Times New Roman"/>
          <w:color w:val="FF0000"/>
          <w:sz w:val="24"/>
          <w:szCs w:val="24"/>
        </w:rPr>
        <w:t>%</w:t>
      </w:r>
      <w:r w:rsidRPr="001914C4">
        <w:rPr>
          <w:rFonts w:ascii="Times New Roman" w:hAnsi="Times New Roman" w:cs="Times New Roman"/>
          <w:color w:val="FF0000"/>
          <w:sz w:val="24"/>
          <w:szCs w:val="24"/>
        </w:rPr>
        <w:t>-9</w:t>
      </w:r>
      <w:r>
        <w:rPr>
          <w:rFonts w:ascii="Times New Roman" w:hAnsi="Times New Roman" w:cs="Times New Roman"/>
          <w:color w:val="FF0000"/>
          <w:sz w:val="24"/>
          <w:szCs w:val="24"/>
        </w:rPr>
        <w:t>4.7</w:t>
      </w:r>
      <w:r w:rsidRPr="001914C4">
        <w:rPr>
          <w:rFonts w:ascii="Times New Roman" w:hAnsi="Times New Roman" w:cs="Times New Roman"/>
          <w:color w:val="FF0000"/>
          <w:sz w:val="24"/>
          <w:szCs w:val="24"/>
        </w:rPr>
        <w:t xml:space="preserve">%) and there was insufficient evidence </w:t>
      </w:r>
      <w:r>
        <w:rPr>
          <w:rFonts w:ascii="Times New Roman" w:hAnsi="Times New Roman" w:cs="Times New Roman"/>
          <w:color w:val="FF0000"/>
          <w:sz w:val="24"/>
          <w:szCs w:val="24"/>
        </w:rPr>
        <w:t>to accept</w:t>
      </w:r>
      <w:r w:rsidRPr="001914C4">
        <w:rPr>
          <w:rFonts w:ascii="Times New Roman" w:hAnsi="Times New Roman" w:cs="Times New Roman"/>
          <w:color w:val="FF0000"/>
          <w:sz w:val="24"/>
          <w:szCs w:val="24"/>
        </w:rPr>
        <w:t xml:space="preserve"> or </w:t>
      </w:r>
      <w:r>
        <w:rPr>
          <w:rFonts w:ascii="Times New Roman" w:hAnsi="Times New Roman" w:cs="Times New Roman"/>
          <w:color w:val="FF0000"/>
          <w:sz w:val="24"/>
          <w:szCs w:val="24"/>
        </w:rPr>
        <w:t>reject</w:t>
      </w:r>
      <w:r w:rsidRPr="001914C4">
        <w:rPr>
          <w:rFonts w:ascii="Times New Roman" w:hAnsi="Times New Roman" w:cs="Times New Roman"/>
          <w:color w:val="FF0000"/>
          <w:sz w:val="24"/>
          <w:szCs w:val="24"/>
        </w:rPr>
        <w:t xml:space="preserve"> the null hypothesis (2.</w:t>
      </w:r>
      <w:r>
        <w:rPr>
          <w:rFonts w:ascii="Times New Roman" w:hAnsi="Times New Roman" w:cs="Times New Roman"/>
          <w:color w:val="FF0000"/>
          <w:sz w:val="24"/>
          <w:szCs w:val="24"/>
        </w:rPr>
        <w:t>2%</w:t>
      </w:r>
      <w:r w:rsidRPr="001914C4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99</w:t>
      </w:r>
      <w:r w:rsidRPr="001914C4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1914C4">
        <w:rPr>
          <w:rFonts w:ascii="Times New Roman" w:hAnsi="Times New Roman" w:cs="Times New Roman"/>
          <w:color w:val="FF0000"/>
          <w:sz w:val="24"/>
          <w:szCs w:val="24"/>
        </w:rPr>
        <w:t>% in ROPE).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8B72880" w14:textId="77777777" w:rsidR="004D3F67" w:rsidRPr="004D3F67" w:rsidRDefault="004D3F67" w:rsidP="004D3F67">
      <w:pPr>
        <w:keepNext/>
        <w:spacing w:line="48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4D3F67">
        <w:rPr>
          <w:rFonts w:ascii="Times New Roman" w:hAnsi="Times New Roman" w:cs="Times New Roman"/>
          <w:i/>
          <w:iCs/>
          <w:color w:val="FF0000"/>
          <w:sz w:val="24"/>
          <w:szCs w:val="24"/>
        </w:rPr>
        <w:lastRenderedPageBreak/>
        <w:t>Effects of iTMS on corticospinal excitability.</w:t>
      </w:r>
    </w:p>
    <w:p w14:paraId="15996E2D" w14:textId="77777777" w:rsidR="004D3F67" w:rsidRDefault="004D3F67" w:rsidP="0088466C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B4CB0">
        <w:rPr>
          <w:rFonts w:ascii="Times New Roman" w:hAnsi="Times New Roman" w:cs="Times New Roman"/>
          <w:color w:val="FF0000"/>
          <w:sz w:val="24"/>
          <w:szCs w:val="24"/>
        </w:rPr>
        <w:t>MEP amplitude during and following iTMS are present</w:t>
      </w:r>
      <w:r>
        <w:rPr>
          <w:rFonts w:ascii="Times New Roman" w:hAnsi="Times New Roman" w:cs="Times New Roman"/>
          <w:color w:val="FF0000"/>
          <w:sz w:val="24"/>
          <w:szCs w:val="24"/>
        </w:rPr>
        <w:t>ed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 xml:space="preserve"> in figure 2.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MEP amplitude during iTMS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 xml:space="preserve"> gradually increased throughout the intervention (</w:t>
      </w:r>
      <w:r w:rsidRPr="003B4CB0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 xml:space="preserve"> = 95-100% and 0% in ROPE for consistent and significant effects).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Furthermore, while there was insufficient evidence to accept or reject the null hypothesis for the effects of session on MEP amplitude during blocks 1-17 (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= 48.0%-86.9%, 13.9%-20.7% in ROPE), responses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 xml:space="preserve"> during block 18 of iTMS</w:t>
      </w:r>
      <w:r>
        <w:rPr>
          <w:rFonts w:ascii="Times New Roman" w:hAnsi="Times New Roman" w:cs="Times New Roman"/>
          <w:i/>
          <w:color w:val="FF0000"/>
          <w:sz w:val="24"/>
          <w:szCs w:val="24"/>
          <w:vertAlign w:val="subscript"/>
        </w:rPr>
        <w:t>Control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>+VT w</w:t>
      </w:r>
      <w:r>
        <w:rPr>
          <w:rFonts w:ascii="Times New Roman" w:hAnsi="Times New Roman" w:cs="Times New Roman"/>
          <w:color w:val="FF0000"/>
          <w:sz w:val="24"/>
          <w:szCs w:val="24"/>
        </w:rPr>
        <w:t>ere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 xml:space="preserve"> increased relative to iTMS+VT, with this effect being consistent (</w:t>
      </w:r>
      <w:r w:rsidRPr="003B4CB0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 xml:space="preserve"> = 97.1%) and significant (0% in ROPE</w:t>
      </w:r>
      <w:r>
        <w:rPr>
          <w:rFonts w:ascii="Times New Roman" w:hAnsi="Times New Roman" w:cs="Times New Roman"/>
          <w:color w:val="FF0000"/>
          <w:sz w:val="24"/>
          <w:szCs w:val="24"/>
        </w:rPr>
        <w:t>; Fig. 2A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FF0000"/>
          <w:sz w:val="24"/>
          <w:szCs w:val="24"/>
        </w:rPr>
        <w:t>In contrast, t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 xml:space="preserve">here was insufficient evidence to accept or reject the null hypothesis for effects of session and time on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single-pulse 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>MEP amplitude following iTMS (</w:t>
      </w:r>
      <w:r w:rsidRPr="003B4CB0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 xml:space="preserve"> = 50.2</w:t>
      </w:r>
      <w:r>
        <w:rPr>
          <w:rFonts w:ascii="Times New Roman" w:hAnsi="Times New Roman" w:cs="Times New Roman"/>
          <w:color w:val="FF0000"/>
          <w:sz w:val="24"/>
          <w:szCs w:val="24"/>
        </w:rPr>
        <w:t>%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>-96.4%, 0.9</w:t>
      </w:r>
      <w:r>
        <w:rPr>
          <w:rFonts w:ascii="Times New Roman" w:hAnsi="Times New Roman" w:cs="Times New Roman"/>
          <w:color w:val="FF0000"/>
          <w:sz w:val="24"/>
          <w:szCs w:val="24"/>
        </w:rPr>
        <w:t>%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>-50.1% in ROPE</w:t>
      </w:r>
      <w:r>
        <w:rPr>
          <w:rFonts w:ascii="Times New Roman" w:hAnsi="Times New Roman" w:cs="Times New Roman"/>
          <w:color w:val="FF0000"/>
          <w:sz w:val="24"/>
          <w:szCs w:val="24"/>
        </w:rPr>
        <w:t>; Fig. 2B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 xml:space="preserve">). </w:t>
      </w:r>
    </w:p>
    <w:p w14:paraId="4DB963BB" w14:textId="4316F0B6" w:rsidR="0088466C" w:rsidRDefault="002F0095" w:rsidP="0088466C">
      <w:pPr>
        <w:pStyle w:val="EndNoteBibliography"/>
        <w:ind w:left="720" w:hanging="720"/>
        <w:jc w:val="left"/>
        <w:rPr>
          <w:szCs w:val="24"/>
        </w:rPr>
      </w:pPr>
      <w:r>
        <w:rPr>
          <w:szCs w:val="24"/>
          <w14:ligatures w14:val="standardContextual"/>
        </w:rPr>
        <w:drawing>
          <wp:inline distT="0" distB="0" distL="0" distR="0" wp14:anchorId="621D5054" wp14:editId="3EEB7F58">
            <wp:extent cx="5731510" cy="2461260"/>
            <wp:effectExtent l="0" t="0" r="2540" b="0"/>
            <wp:docPr id="1859419821" name="Picture 3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19821" name="Picture 3" descr="A close-up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182A2" w14:textId="4FFD8750" w:rsidR="0088466C" w:rsidRPr="002F0095" w:rsidRDefault="002F0095" w:rsidP="002F0095">
      <w:pPr>
        <w:spacing w:after="360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2F0095">
        <w:rPr>
          <w:rFonts w:ascii="Times New Roman" w:hAnsi="Times New Roman" w:cs="Times New Roman"/>
          <w:b/>
          <w:bCs/>
          <w:i/>
          <w:iCs/>
          <w:noProof/>
          <w:color w:val="FF0000"/>
          <w:sz w:val="24"/>
          <w:szCs w:val="24"/>
        </w:rPr>
        <w:t>Figure 2.</w:t>
      </w:r>
      <w:r w:rsidRPr="002F0095">
        <w:rPr>
          <w:rFonts w:ascii="Times New Roman" w:hAnsi="Times New Roman" w:cs="Times New Roman"/>
          <w:i/>
          <w:iCs/>
          <w:noProof/>
          <w:color w:val="FF0000"/>
          <w:sz w:val="24"/>
          <w:szCs w:val="24"/>
        </w:rPr>
        <w:t xml:space="preserve"> Corticospinal excitability changes by iTMS and VT. (A) MEP amplitudes during iTMS, averaged over 10 consecutive MEP trials. (B) TS MEP amplitudes before and after iTMS and VT. Median [89% HDI]. Abbreviations; B, block; iTMSsham, control I-wave periodicity repetitive transcranial magnetic stimulation; iTMS, I-wave periodicity repetitive transcranial magnetic stimulation; MEP, motor-evoked potential; VT, visuomotor task.</w:t>
      </w:r>
    </w:p>
    <w:p w14:paraId="3A246640" w14:textId="77777777" w:rsidR="004D3F67" w:rsidRPr="004D3F67" w:rsidRDefault="004D3F67" w:rsidP="004D3F67">
      <w:pPr>
        <w:spacing w:line="48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4D3F67">
        <w:rPr>
          <w:rFonts w:ascii="Times New Roman" w:hAnsi="Times New Roman" w:cs="Times New Roman"/>
          <w:i/>
          <w:iCs/>
          <w:color w:val="FF0000"/>
          <w:sz w:val="24"/>
          <w:szCs w:val="24"/>
        </w:rPr>
        <w:t>Effects of iTMS on visuomotor training.</w:t>
      </w:r>
    </w:p>
    <w:p w14:paraId="21737E0B" w14:textId="77777777" w:rsidR="004D3F67" w:rsidRDefault="004D3F67" w:rsidP="004D3F67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Performance during VT is shown in figure 3. Error (Fig. 3A) was consistently and significantly reduced (all </w:t>
      </w:r>
      <w:r w:rsidRPr="00275D39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 = 100%, 0% in ROPE) during training (B1-B8) and compared to baseline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(Pre)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. Error was also consistently reduced during B5 (</w:t>
      </w:r>
      <w:r w:rsidRPr="00275D39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 = 98.1%) and B6 (</w:t>
      </w:r>
      <w:r w:rsidRPr="00275D39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 = 98.4%) compared to B2, but these were not practically significant (1.4</w:t>
      </w:r>
      <w:r>
        <w:rPr>
          <w:rFonts w:ascii="Times New Roman" w:hAnsi="Times New Roman" w:cs="Times New Roman"/>
          <w:color w:val="FF0000"/>
          <w:sz w:val="24"/>
          <w:szCs w:val="24"/>
        </w:rPr>
        <w:t>%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-2.4% in ROPE). </w:t>
      </w:r>
      <w:r>
        <w:rPr>
          <w:rFonts w:ascii="Times New Roman" w:hAnsi="Times New Roman" w:cs="Times New Roman"/>
          <w:color w:val="FF0000"/>
          <w:sz w:val="24"/>
          <w:szCs w:val="24"/>
        </w:rPr>
        <w:t>Despite the reduction in error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there was insufficient evidence to accept or reject the null hypothesis for comparisons between sessions 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275D39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 = 68.5</w:t>
      </w:r>
      <w:r>
        <w:rPr>
          <w:rFonts w:ascii="Times New Roman" w:hAnsi="Times New Roman" w:cs="Times New Roman"/>
          <w:color w:val="FF0000"/>
          <w:sz w:val="24"/>
          <w:szCs w:val="24"/>
        </w:rPr>
        <w:t>%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-82.7%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12.7</w:t>
      </w:r>
      <w:r>
        <w:rPr>
          <w:rFonts w:ascii="Times New Roman" w:hAnsi="Times New Roman" w:cs="Times New Roman"/>
          <w:color w:val="FF0000"/>
          <w:sz w:val="24"/>
          <w:szCs w:val="24"/>
        </w:rPr>
        <w:t>%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-36.5% in ROPE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). 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MT (Fig. 3B) also consistently reduced throughout 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lastRenderedPageBreak/>
        <w:t>VT and compared to baseline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275D39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 = 97.2</w:t>
      </w:r>
      <w:r>
        <w:rPr>
          <w:rFonts w:ascii="Times New Roman" w:hAnsi="Times New Roman" w:cs="Times New Roman"/>
          <w:color w:val="FF0000"/>
          <w:sz w:val="24"/>
          <w:szCs w:val="24"/>
        </w:rPr>
        <w:t>%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-100%, 0% in ROPE for significant comparisons). Furthermore, MT was consistently faster during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B8 of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 iTMS+VT compared to </w:t>
      </w:r>
      <w:r w:rsidRPr="003B4CB0">
        <w:rPr>
          <w:rFonts w:ascii="Times New Roman" w:hAnsi="Times New Roman" w:cs="Times New Roman"/>
          <w:color w:val="FF0000"/>
          <w:sz w:val="24"/>
          <w:szCs w:val="24"/>
        </w:rPr>
        <w:t>iTMS</w:t>
      </w:r>
      <w:r>
        <w:rPr>
          <w:rFonts w:ascii="Times New Roman" w:hAnsi="Times New Roman" w:cs="Times New Roman"/>
          <w:i/>
          <w:color w:val="FF0000"/>
          <w:sz w:val="24"/>
          <w:szCs w:val="24"/>
          <w:vertAlign w:val="subscript"/>
        </w:rPr>
        <w:t>Control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+VT session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Pr="00275D39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 = 95.4%), but this was not practically significant (29.1% in ROPE). </w:t>
      </w:r>
      <w:r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kill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also 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consistently and significantly increased throughout VT and compared to baseline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275D39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 = 99.0</w:t>
      </w:r>
      <w:r>
        <w:rPr>
          <w:rFonts w:ascii="Times New Roman" w:hAnsi="Times New Roman" w:cs="Times New Roman"/>
          <w:color w:val="FF0000"/>
          <w:sz w:val="24"/>
          <w:szCs w:val="24"/>
        </w:rPr>
        <w:t>%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-100%, 0% in ROPE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for significant comparisons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color w:val="FF0000"/>
          <w:sz w:val="24"/>
          <w:szCs w:val="24"/>
        </w:rPr>
        <w:t>, and skill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 during B2 and B5 of iTMS+VT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was increased 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compared to iTMS</w:t>
      </w:r>
      <w:r>
        <w:rPr>
          <w:rFonts w:ascii="Times New Roman" w:hAnsi="Times New Roman" w:cs="Times New Roman"/>
          <w:i/>
          <w:color w:val="FF0000"/>
          <w:sz w:val="24"/>
          <w:szCs w:val="24"/>
          <w:vertAlign w:val="subscript"/>
        </w:rPr>
        <w:t>Control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>+VT session, with these effects being consistent (</w:t>
      </w:r>
      <w:r w:rsidRPr="00275D39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275D39">
        <w:rPr>
          <w:rFonts w:ascii="Times New Roman" w:hAnsi="Times New Roman" w:cs="Times New Roman"/>
          <w:color w:val="FF0000"/>
          <w:sz w:val="24"/>
          <w:szCs w:val="24"/>
        </w:rPr>
        <w:t xml:space="preserve"> = 98.1-98.4%) and significant (0% in ROPE).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A80D30">
        <w:rPr>
          <w:rFonts w:ascii="Times New Roman" w:hAnsi="Times New Roman" w:cs="Times New Roman"/>
          <w:color w:val="FF0000"/>
          <w:sz w:val="24"/>
          <w:szCs w:val="24"/>
        </w:rPr>
        <w:t>In order to</w:t>
      </w:r>
      <w:proofErr w:type="gramEnd"/>
      <w:r w:rsidRPr="00A80D30">
        <w:rPr>
          <w:rFonts w:ascii="Times New Roman" w:hAnsi="Times New Roman" w:cs="Times New Roman"/>
          <w:color w:val="FF0000"/>
          <w:sz w:val="24"/>
          <w:szCs w:val="24"/>
        </w:rPr>
        <w:t xml:space="preserve"> account for any potential differences in visuomotor performance at baseline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3F67">
        <w:rPr>
          <w:rFonts w:ascii="Times New Roman" w:hAnsi="Times New Roman" w:cs="Times New Roman"/>
          <w:color w:val="FF0000"/>
          <w:sz w:val="24"/>
          <w:szCs w:val="24"/>
        </w:rPr>
        <w:t>the analysis of performance measures was repeated using data that were expressed as a percentage of baseline. Using this approach, the effects of session on MT and skill failed to provide sufficient evidence to reject or accept the null hypothesis (</w:t>
      </w:r>
      <w:r w:rsidRPr="004D3F67">
        <w:rPr>
          <w:rFonts w:ascii="Times New Roman" w:hAnsi="Times New Roman" w:cs="Times New Roman"/>
          <w:i/>
          <w:color w:val="FF0000"/>
          <w:sz w:val="24"/>
          <w:szCs w:val="24"/>
        </w:rPr>
        <w:t>pd</w:t>
      </w:r>
      <w:r w:rsidRPr="004D3F67">
        <w:rPr>
          <w:rFonts w:ascii="Times New Roman" w:hAnsi="Times New Roman" w:cs="Times New Roman"/>
          <w:color w:val="FF0000"/>
          <w:sz w:val="24"/>
          <w:szCs w:val="24"/>
        </w:rPr>
        <w:t xml:space="preserve"> = 76.5%-76.6%, 23.0%-82.7% in ROPE). All other results were consistent with the original analysis of non-normalised data, indicating </w:t>
      </w:r>
      <w:r>
        <w:rPr>
          <w:rFonts w:ascii="Times New Roman" w:hAnsi="Times New Roman" w:cs="Times New Roman"/>
          <w:color w:val="FF0000"/>
          <w:sz w:val="24"/>
          <w:szCs w:val="24"/>
        </w:rPr>
        <w:t>performance</w:t>
      </w:r>
      <w:r w:rsidRPr="0046490F">
        <w:rPr>
          <w:rFonts w:ascii="Times New Roman" w:hAnsi="Times New Roman" w:cs="Times New Roman"/>
          <w:color w:val="FF0000"/>
          <w:sz w:val="24"/>
          <w:szCs w:val="24"/>
        </w:rPr>
        <w:t xml:space="preserve"> improvement throughout VT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CD12C9" w14:textId="77777777" w:rsidR="0088466C" w:rsidRDefault="0088466C" w:rsidP="004D3F67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</w:p>
    <w:p w14:paraId="137229EC" w14:textId="4EEE427F" w:rsidR="0088466C" w:rsidRDefault="002F0095" w:rsidP="0088466C">
      <w:pPr>
        <w:pStyle w:val="EndNoteBibliography"/>
        <w:ind w:left="720" w:hanging="720"/>
        <w:jc w:val="center"/>
        <w:rPr>
          <w:szCs w:val="24"/>
        </w:rPr>
      </w:pPr>
      <w:r>
        <w:rPr>
          <w:szCs w:val="24"/>
          <w14:ligatures w14:val="standardContextual"/>
        </w:rPr>
        <w:lastRenderedPageBreak/>
        <w:drawing>
          <wp:inline distT="0" distB="0" distL="0" distR="0" wp14:anchorId="2579D5AF" wp14:editId="484CA1E4">
            <wp:extent cx="4081272" cy="7478268"/>
            <wp:effectExtent l="0" t="0" r="0" b="8890"/>
            <wp:docPr id="2144093629" name="Picture 4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093629" name="Picture 4" descr="A graph of different sizes and color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272" cy="747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291F3" w14:textId="77777777" w:rsidR="0088466C" w:rsidRDefault="0088466C" w:rsidP="0088466C">
      <w:pPr>
        <w:pStyle w:val="EndNoteBibliography"/>
        <w:ind w:left="720" w:hanging="720"/>
        <w:rPr>
          <w:szCs w:val="24"/>
        </w:rPr>
      </w:pPr>
    </w:p>
    <w:p w14:paraId="12581242" w14:textId="3949BC1B" w:rsidR="0088466C" w:rsidRPr="002F0095" w:rsidRDefault="002F0095" w:rsidP="002F0095">
      <w:pPr>
        <w:spacing w:after="240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2F0095">
        <w:rPr>
          <w:rFonts w:ascii="Times New Roman" w:hAnsi="Times New Roman" w:cs="Times New Roman"/>
          <w:i/>
          <w:iCs/>
          <w:noProof/>
          <w:color w:val="FF0000"/>
          <w:sz w:val="24"/>
          <w:szCs w:val="24"/>
        </w:rPr>
        <w:t>Figure 3. Changes in motor skills over blocks. Panels (A, B, C) represent error, MT, and skill before and after iTMS, respectively. Median [89% HDI]. Abbreviations; B, block; iTMSsham, control I-wave periodicity repetitive paired-pulse transcranial magnetic stimulation; iTMS, repetitive I-wave periodicity paired-pulse transcranial magnetic stimulation; MT, movement time; VT, visuomotor task.</w:t>
      </w:r>
    </w:p>
    <w:p w14:paraId="27F947A2" w14:textId="77777777" w:rsidR="0088466C" w:rsidRDefault="0088466C" w:rsidP="004D3F67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</w:p>
    <w:p w14:paraId="1892059A" w14:textId="77777777" w:rsidR="0088466C" w:rsidRDefault="0088466C" w:rsidP="004D3F67">
      <w:pPr>
        <w:spacing w:after="240" w:line="480" w:lineRule="auto"/>
        <w:rPr>
          <w:rFonts w:ascii="Times New Roman" w:hAnsi="Times New Roman" w:cs="Times New Roman"/>
          <w:sz w:val="24"/>
          <w:szCs w:val="24"/>
        </w:rPr>
        <w:sectPr w:rsidR="0088466C" w:rsidSect="002F0095">
          <w:pgSz w:w="11906" w:h="16838"/>
          <w:pgMar w:top="993" w:right="1274" w:bottom="993" w:left="1134" w:header="708" w:footer="708" w:gutter="0"/>
          <w:cols w:space="708"/>
          <w:docGrid w:linePitch="360"/>
        </w:sectPr>
      </w:pPr>
    </w:p>
    <w:p w14:paraId="5C670917" w14:textId="5313E96B" w:rsidR="004D3F67" w:rsidRPr="00D819B4" w:rsidRDefault="00D819B4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D819B4">
        <w:rPr>
          <w:rFonts w:ascii="Times New Roman" w:hAnsi="Times New Roman" w:cs="Times New Roman"/>
          <w:b/>
          <w:bCs/>
          <w:sz w:val="28"/>
          <w:szCs w:val="32"/>
        </w:rPr>
        <w:lastRenderedPageBreak/>
        <w:t>References</w:t>
      </w:r>
    </w:p>
    <w:p w14:paraId="3134B871" w14:textId="77777777" w:rsidR="004D3F67" w:rsidRDefault="004D3F67"/>
    <w:p w14:paraId="139C034B" w14:textId="77777777" w:rsidR="00D819B4" w:rsidRPr="00D819B4" w:rsidRDefault="004D3F67" w:rsidP="00D819B4">
      <w:pPr>
        <w:pStyle w:val="EndNoteBibliography"/>
        <w:spacing w:after="24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D819B4" w:rsidRPr="00D819B4">
        <w:t xml:space="preserve">Barr, D. J. (2013). Random effects structure for testing interactions in linear mixed-effects models, Front Psychol. </w:t>
      </w:r>
      <w:r w:rsidR="00D819B4" w:rsidRPr="00D819B4">
        <w:rPr>
          <w:b/>
        </w:rPr>
        <w:t xml:space="preserve">4: </w:t>
      </w:r>
      <w:r w:rsidR="00D819B4" w:rsidRPr="00D819B4">
        <w:t>328.</w:t>
      </w:r>
    </w:p>
    <w:p w14:paraId="50E8391C" w14:textId="77777777" w:rsidR="00D819B4" w:rsidRPr="00D819B4" w:rsidRDefault="00D819B4" w:rsidP="00D819B4">
      <w:pPr>
        <w:pStyle w:val="EndNoteBibliography"/>
        <w:spacing w:after="240"/>
      </w:pPr>
      <w:r w:rsidRPr="00D819B4">
        <w:t xml:space="preserve">Bürkner, P.-C. (2017). "brms: An R package for Bayesian multilevel models using Stan." J Stat Softw </w:t>
      </w:r>
      <w:r w:rsidRPr="00D819B4">
        <w:rPr>
          <w:b/>
        </w:rPr>
        <w:t>80</w:t>
      </w:r>
      <w:r w:rsidRPr="00D819B4">
        <w:t>: 1-28.</w:t>
      </w:r>
    </w:p>
    <w:p w14:paraId="4A480395" w14:textId="77777777" w:rsidR="00D819B4" w:rsidRPr="00D819B4" w:rsidRDefault="00D819B4" w:rsidP="00D819B4">
      <w:pPr>
        <w:pStyle w:val="EndNoteBibliography"/>
        <w:spacing w:after="240"/>
      </w:pPr>
      <w:r w:rsidRPr="00D819B4">
        <w:t xml:space="preserve">Cash, R., N. Benwell, K. Murray, F. Mastaglia and G. Thickbroom (2009). "Neuromodulation by paired-pulse TMS at an I-wave interval facilitates multiple I-waves." Exp Brain Res </w:t>
      </w:r>
      <w:r w:rsidRPr="00D819B4">
        <w:rPr>
          <w:b/>
        </w:rPr>
        <w:t>193</w:t>
      </w:r>
      <w:r w:rsidRPr="00D819B4">
        <w:t>(1): 1-7.</w:t>
      </w:r>
    </w:p>
    <w:p w14:paraId="1360BD9A" w14:textId="77777777" w:rsidR="00D819B4" w:rsidRPr="00D819B4" w:rsidRDefault="00D819B4" w:rsidP="00D819B4">
      <w:pPr>
        <w:pStyle w:val="EndNoteBibliography"/>
        <w:spacing w:after="240"/>
      </w:pPr>
      <w:r w:rsidRPr="00D819B4">
        <w:t xml:space="preserve">Gabry, J., D. Simpson, A. Vehtari, M. Betancourt and A. Gelman (2019). "Visualization in Bayesian workflow." J R Stat Soc Ser A Stat Soc </w:t>
      </w:r>
      <w:r w:rsidRPr="00D819B4">
        <w:rPr>
          <w:b/>
        </w:rPr>
        <w:t>182</w:t>
      </w:r>
      <w:r w:rsidRPr="00D819B4">
        <w:t>(2): 389-402.</w:t>
      </w:r>
    </w:p>
    <w:p w14:paraId="6BD8F444" w14:textId="77777777" w:rsidR="00D819B4" w:rsidRPr="00D819B4" w:rsidRDefault="00D819B4" w:rsidP="00D819B4">
      <w:pPr>
        <w:pStyle w:val="EndNoteBibliography"/>
        <w:spacing w:after="240"/>
      </w:pPr>
      <w:r w:rsidRPr="00D819B4">
        <w:t xml:space="preserve">Gelman, A. and D. B. Rubin (1992). "Inference from iterative simulation using multiple sequences." Stat Sci </w:t>
      </w:r>
      <w:r w:rsidRPr="00D819B4">
        <w:rPr>
          <w:b/>
        </w:rPr>
        <w:t>7</w:t>
      </w:r>
      <w:r w:rsidRPr="00D819B4">
        <w:t>(4): 457-472.</w:t>
      </w:r>
    </w:p>
    <w:p w14:paraId="3809374E" w14:textId="77777777" w:rsidR="00D819B4" w:rsidRPr="00D819B4" w:rsidRDefault="00D819B4" w:rsidP="00D819B4">
      <w:pPr>
        <w:pStyle w:val="EndNoteBibliography"/>
        <w:spacing w:after="240"/>
      </w:pPr>
      <w:r w:rsidRPr="00D819B4">
        <w:t>Hand, B. J., A. Merkin, G. M. Opie, U. Ziemann and J. G. Semmler (2023). "Repetitive paired-pulse TMS increases motor cortex excitability and visuomotor skill acquisition in young and older adults." Cereb Cortex: bhad315.</w:t>
      </w:r>
    </w:p>
    <w:p w14:paraId="0BCFE0AA" w14:textId="77777777" w:rsidR="00D819B4" w:rsidRPr="00D819B4" w:rsidRDefault="00D819B4" w:rsidP="00D819B4">
      <w:pPr>
        <w:pStyle w:val="EndNoteBibliography"/>
        <w:spacing w:after="240"/>
      </w:pPr>
      <w:r w:rsidRPr="00D819B4">
        <w:t xml:space="preserve">Kidgell, D. J., J. Mason, A. Frazer and A. J. Pearce (2016). "I-wave periodicity transcranial magnetic stimulation (iTMS) on corticospinal excitability. A systematic review of the literature." Neuroscience </w:t>
      </w:r>
      <w:r w:rsidRPr="00D819B4">
        <w:rPr>
          <w:b/>
        </w:rPr>
        <w:t>322</w:t>
      </w:r>
      <w:r w:rsidRPr="00D819B4">
        <w:t>: 262-272.</w:t>
      </w:r>
    </w:p>
    <w:p w14:paraId="38D627FE" w14:textId="77777777" w:rsidR="00D819B4" w:rsidRPr="00D819B4" w:rsidRDefault="00D819B4" w:rsidP="00D819B4">
      <w:pPr>
        <w:pStyle w:val="EndNoteBibliography"/>
        <w:spacing w:after="240"/>
      </w:pPr>
      <w:r w:rsidRPr="00D819B4">
        <w:t xml:space="preserve">Kruschke, J. K. (2018). "Rejecting or accepting parameter values in Bayesian estimation." Adv Methods Pract Psychol Sci </w:t>
      </w:r>
      <w:r w:rsidRPr="00D819B4">
        <w:rPr>
          <w:b/>
        </w:rPr>
        <w:t>1</w:t>
      </w:r>
      <w:r w:rsidRPr="00D819B4">
        <w:t>(2): 270-280.</w:t>
      </w:r>
    </w:p>
    <w:p w14:paraId="5CC64787" w14:textId="67564EF8" w:rsidR="00D819B4" w:rsidRPr="00D819B4" w:rsidRDefault="00D819B4" w:rsidP="00D819B4">
      <w:pPr>
        <w:pStyle w:val="EndNoteBibliography"/>
        <w:spacing w:after="240"/>
      </w:pPr>
      <w:r w:rsidRPr="00D819B4">
        <w:t xml:space="preserve">Lenth, R. (2023). "emmeans: Estimated Marginal Means, aka Least-Squares Means (R package version 1.8.5)." from </w:t>
      </w:r>
      <w:hyperlink r:id="rId6" w:history="1">
        <w:r w:rsidRPr="00D819B4">
          <w:rPr>
            <w:rStyle w:val="Hyperlink"/>
          </w:rPr>
          <w:t>https://CRAN.R-project.org/package=emmeans</w:t>
        </w:r>
      </w:hyperlink>
      <w:r w:rsidRPr="00D819B4">
        <w:t>.</w:t>
      </w:r>
    </w:p>
    <w:p w14:paraId="1484F891" w14:textId="77777777" w:rsidR="00D819B4" w:rsidRPr="00D819B4" w:rsidRDefault="00D819B4" w:rsidP="00D819B4">
      <w:pPr>
        <w:pStyle w:val="EndNoteBibliography"/>
        <w:spacing w:after="240"/>
      </w:pPr>
      <w:r w:rsidRPr="00D819B4">
        <w:t>Liao, W. Y., G. M. Opie, U. Ziemann and J. G. Semmler (2023). "Modulation of dorsal premotor cortex differentially influences I‐wave excitability in primary motor cortex of young and older adults." J Physiol.</w:t>
      </w:r>
    </w:p>
    <w:p w14:paraId="4709EDA0" w14:textId="77777777" w:rsidR="00D819B4" w:rsidRPr="00D819B4" w:rsidRDefault="00D819B4" w:rsidP="00D819B4">
      <w:pPr>
        <w:pStyle w:val="EndNoteBibliography"/>
        <w:spacing w:after="240"/>
      </w:pPr>
      <w:r w:rsidRPr="00D819B4">
        <w:t xml:space="preserve">Lo, S. and S. Andrews (2015). "To transform or not to transform: using generalized linear mixed models to analyse reaction time data." Frontiers in Psychology </w:t>
      </w:r>
      <w:r w:rsidRPr="00D819B4">
        <w:rPr>
          <w:b/>
        </w:rPr>
        <w:t>6</w:t>
      </w:r>
      <w:r w:rsidRPr="00D819B4">
        <w:t>.</w:t>
      </w:r>
    </w:p>
    <w:p w14:paraId="5CCDEFB8" w14:textId="77777777" w:rsidR="00D819B4" w:rsidRPr="00D819B4" w:rsidRDefault="00D819B4" w:rsidP="00D819B4">
      <w:pPr>
        <w:pStyle w:val="EndNoteBibliography"/>
        <w:spacing w:after="240"/>
      </w:pPr>
      <w:r w:rsidRPr="00D819B4">
        <w:t xml:space="preserve">Makowski, D., M. S. Ben-Shachar, S. A. Chen and D. Lüdecke (2019). "Indices of effect existence and significance in the Bayesian framework." Front Psychol </w:t>
      </w:r>
      <w:r w:rsidRPr="00D819B4">
        <w:rPr>
          <w:b/>
        </w:rPr>
        <w:t>10</w:t>
      </w:r>
      <w:r w:rsidRPr="00D819B4">
        <w:t>: 2767.</w:t>
      </w:r>
    </w:p>
    <w:p w14:paraId="37751526" w14:textId="77777777" w:rsidR="00D819B4" w:rsidRPr="00D819B4" w:rsidRDefault="00D819B4" w:rsidP="00D819B4">
      <w:pPr>
        <w:pStyle w:val="EndNoteBibliography"/>
        <w:spacing w:after="240"/>
      </w:pPr>
      <w:r w:rsidRPr="00D819B4">
        <w:t>Opie, G. M., J. M. Hughes and R. Puri (2023). "Healthy ageing influences how the shape of alpha and beta oscillations change during reaction time tasks." bioRxiv: 2023.2010.2016.562636.</w:t>
      </w:r>
    </w:p>
    <w:p w14:paraId="3DE09EAB" w14:textId="77777777" w:rsidR="00D819B4" w:rsidRPr="00D819B4" w:rsidRDefault="00D819B4" w:rsidP="00D819B4">
      <w:pPr>
        <w:pStyle w:val="EndNoteBibliography"/>
        <w:spacing w:after="240"/>
      </w:pPr>
      <w:r w:rsidRPr="00D819B4">
        <w:t xml:space="preserve">Puri, R. and M. R. Hinder (2022). "Response bias reveals the role of interhemispheric inhibitory networks in movement preparation and execution." Neuropsychologia </w:t>
      </w:r>
      <w:r w:rsidRPr="00D819B4">
        <w:rPr>
          <w:b/>
        </w:rPr>
        <w:t>165</w:t>
      </w:r>
      <w:r w:rsidRPr="00D819B4">
        <w:t>: 108120.</w:t>
      </w:r>
    </w:p>
    <w:p w14:paraId="096B764E" w14:textId="77777777" w:rsidR="00D819B4" w:rsidRPr="00D819B4" w:rsidRDefault="00D819B4" w:rsidP="00D819B4">
      <w:pPr>
        <w:pStyle w:val="EndNoteBibliography"/>
        <w:spacing w:after="240"/>
      </w:pPr>
      <w:r w:rsidRPr="00D819B4">
        <w:t xml:space="preserve">Puri, R., R. J. St George and M. R. Hinder (2023). "Investigating the role of contextual cues and interhemispheric inhibitory mechanisms in response-selective stopping: a TMS study." Cogn Affect Behav Neurosci </w:t>
      </w:r>
      <w:r w:rsidRPr="00D819B4">
        <w:rPr>
          <w:b/>
        </w:rPr>
        <w:t>23</w:t>
      </w:r>
      <w:r w:rsidRPr="00D819B4">
        <w:t>(1): 84-99.</w:t>
      </w:r>
    </w:p>
    <w:p w14:paraId="55EA293C" w14:textId="77777777" w:rsidR="00D819B4" w:rsidRPr="00D819B4" w:rsidRDefault="00D819B4" w:rsidP="00D819B4">
      <w:pPr>
        <w:pStyle w:val="EndNoteBibliography"/>
        <w:spacing w:after="240"/>
      </w:pPr>
      <w:r w:rsidRPr="00D819B4">
        <w:lastRenderedPageBreak/>
        <w:t>Team, P. (2023a). RStudio: Integrated Development Environment for R., Posit Software, PBC, Boston, MA.</w:t>
      </w:r>
    </w:p>
    <w:p w14:paraId="1EB86CE3" w14:textId="77777777" w:rsidR="00D819B4" w:rsidRPr="00D819B4" w:rsidRDefault="00D819B4" w:rsidP="00D819B4">
      <w:pPr>
        <w:pStyle w:val="EndNoteBibliography"/>
        <w:spacing w:after="240"/>
      </w:pPr>
      <w:r w:rsidRPr="00D819B4">
        <w:t>Team, R. C. (2023b). R: A language and environment for statistical computing., R Foundation for Statistical Computing.</w:t>
      </w:r>
    </w:p>
    <w:p w14:paraId="74731260" w14:textId="77777777" w:rsidR="00D819B4" w:rsidRPr="00D819B4" w:rsidRDefault="00D819B4" w:rsidP="00D819B4">
      <w:pPr>
        <w:pStyle w:val="EndNoteBibliography"/>
      </w:pPr>
      <w:r w:rsidRPr="00D819B4">
        <w:t xml:space="preserve">Thickbroom, G. W., M. L. Byrnes, D. J. Edwards and F. L. Mastaglia (2006). "Repetitive paired-pulse TMS at I-wave periodicity markedly increases corticospinal excitability: a new technique for modulating synaptic plasticity." Clin Neurophysiol </w:t>
      </w:r>
      <w:r w:rsidRPr="00D819B4">
        <w:rPr>
          <w:b/>
        </w:rPr>
        <w:t>117</w:t>
      </w:r>
      <w:r w:rsidRPr="00D819B4">
        <w:t>(1): 61-66.</w:t>
      </w:r>
    </w:p>
    <w:p w14:paraId="6003589D" w14:textId="5A857551" w:rsidR="00AE22C3" w:rsidRDefault="004D3F67">
      <w:r>
        <w:fldChar w:fldCharType="end"/>
      </w:r>
    </w:p>
    <w:sectPr w:rsidR="00AE2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txdx05rsp50jersv4xd094p2r9ztw5dzar&quot;&gt;My EndNote Library&lt;record-ids&gt;&lt;item&gt;2154&lt;/item&gt;&lt;item&gt;2195&lt;/item&gt;&lt;item&gt;2368&lt;/item&gt;&lt;item&gt;2408&lt;/item&gt;&lt;item&gt;2409&lt;/item&gt;&lt;item&gt;2410&lt;/item&gt;&lt;item&gt;2411&lt;/item&gt;&lt;item&gt;2412&lt;/item&gt;&lt;item&gt;2413&lt;/item&gt;&lt;item&gt;2414&lt;/item&gt;&lt;item&gt;2420&lt;/item&gt;&lt;item&gt;2423&lt;/item&gt;&lt;item&gt;2471&lt;/item&gt;&lt;item&gt;2473&lt;/item&gt;&lt;item&gt;2474&lt;/item&gt;&lt;item&gt;2475&lt;/item&gt;&lt;item&gt;2476&lt;/item&gt;&lt;item&gt;2477&lt;/item&gt;&lt;/record-ids&gt;&lt;/item&gt;&lt;/Libraries&gt;"/>
  </w:docVars>
  <w:rsids>
    <w:rsidRoot w:val="004D3F67"/>
    <w:rsid w:val="00037576"/>
    <w:rsid w:val="002F0095"/>
    <w:rsid w:val="003105D2"/>
    <w:rsid w:val="0039393C"/>
    <w:rsid w:val="003B4966"/>
    <w:rsid w:val="00473F03"/>
    <w:rsid w:val="004D3F67"/>
    <w:rsid w:val="00596EE8"/>
    <w:rsid w:val="0062294D"/>
    <w:rsid w:val="006D6B1B"/>
    <w:rsid w:val="0088466C"/>
    <w:rsid w:val="00903BA8"/>
    <w:rsid w:val="0091207A"/>
    <w:rsid w:val="00A17F12"/>
    <w:rsid w:val="00AE22C3"/>
    <w:rsid w:val="00B242BA"/>
    <w:rsid w:val="00D819B4"/>
    <w:rsid w:val="00F006D5"/>
    <w:rsid w:val="00F2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168A"/>
  <w15:chartTrackingRefBased/>
  <w15:docId w15:val="{572FF376-9A7E-4D5A-A249-4F250D74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F67"/>
    <w:pPr>
      <w:widowControl w:val="0"/>
      <w:spacing w:after="0" w:line="240" w:lineRule="auto"/>
      <w:jc w:val="both"/>
    </w:pPr>
    <w:rPr>
      <w:rFonts w:eastAsiaTheme="minorEastAsia"/>
      <w:sz w:val="21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3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F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F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F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F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F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F6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D3F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F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F67"/>
    <w:rPr>
      <w:rFonts w:eastAsiaTheme="minorEastAsia"/>
      <w:sz w:val="20"/>
      <w:szCs w:val="20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4D3F67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4D3F67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D3F67"/>
    <w:rPr>
      <w:rFonts w:ascii="Times New Roman" w:eastAsiaTheme="minorEastAsia" w:hAnsi="Times New Roman" w:cs="Times New Roman"/>
      <w:noProof/>
      <w:sz w:val="24"/>
      <w:lang w:val="en-US" w:eastAsia="ja-JP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D3F67"/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4D3F67"/>
    <w:rPr>
      <w:rFonts w:ascii="Times New Roman" w:eastAsiaTheme="minorEastAsia" w:hAnsi="Times New Roman" w:cs="Times New Roman"/>
      <w:noProof/>
      <w:sz w:val="24"/>
      <w:lang w:val="en-US" w:eastAsia="ja-JP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819B4"/>
    <w:rPr>
      <w:color w:val="605E5C"/>
      <w:shd w:val="clear" w:color="auto" w:fill="E1DFDD"/>
    </w:rPr>
  </w:style>
  <w:style w:type="character" w:customStyle="1" w:styleId="EndNoteBibliography0">
    <w:name w:val="EndNote Bibliography (文字)"/>
    <w:basedOn w:val="DefaultParagraphFont"/>
    <w:rsid w:val="0088466C"/>
    <w:rPr>
      <w:rFonts w:ascii="Yu Mincho" w:eastAsia="Yu Mincho" w:hAnsi="Yu Mincho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AN.R-project.org/package=emmeans" TargetMode="Externa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3672</Words>
  <Characters>20932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McKenzie Opie</dc:creator>
  <cp:keywords/>
  <dc:description/>
  <cp:lastModifiedBy>George McKenzie Opie</cp:lastModifiedBy>
  <cp:revision>8</cp:revision>
  <dcterms:created xsi:type="dcterms:W3CDTF">2024-05-24T03:21:00Z</dcterms:created>
  <dcterms:modified xsi:type="dcterms:W3CDTF">2024-06-03T03:16:00Z</dcterms:modified>
</cp:coreProperties>
</file>