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9E106" w14:textId="77777777" w:rsidR="0058718F" w:rsidRPr="0058718F" w:rsidRDefault="0058718F" w:rsidP="0058718F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58718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The test-retest reliability of non-navigated transcranial magnetic stimulation (TMS)</w:t>
      </w:r>
      <w:r w:rsidRPr="0058718F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 xml:space="preserve"> </w:t>
      </w:r>
      <w:r w:rsidRPr="0058718F">
        <w:rPr>
          <w:rStyle w:val="normaltextrun"/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</w:rPr>
        <w:t>measures of corticospinal pathway excitability</w:t>
      </w:r>
      <w:r w:rsidRPr="0058718F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 in a healthy population across the adult lifespan</w:t>
      </w:r>
    </w:p>
    <w:p w14:paraId="7A4A6AE2" w14:textId="77777777" w:rsidR="0058718F" w:rsidRDefault="0058718F" w:rsidP="0058718F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sz w:val="20"/>
          <w:szCs w:val="20"/>
        </w:rPr>
      </w:pPr>
      <w:r w:rsidRPr="00E914CB">
        <w:rPr>
          <w:rStyle w:val="normaltextrun"/>
          <w:rFonts w:eastAsiaTheme="majorEastAsia"/>
          <w:sz w:val="20"/>
          <w:szCs w:val="20"/>
        </w:rPr>
        <w:t xml:space="preserve">Kathryn C Collins PhD </w:t>
      </w:r>
      <w:r w:rsidRPr="00E914CB">
        <w:rPr>
          <w:rStyle w:val="normaltextrun"/>
          <w:rFonts w:eastAsiaTheme="majorEastAsia"/>
          <w:sz w:val="20"/>
          <w:szCs w:val="20"/>
          <w:vertAlign w:val="superscript"/>
        </w:rPr>
        <w:t>a ,</w:t>
      </w:r>
      <w:r w:rsidRPr="00E914CB">
        <w:rPr>
          <w:rStyle w:val="normaltextrun"/>
          <w:rFonts w:eastAsiaTheme="majorEastAsia"/>
          <w:sz w:val="20"/>
          <w:szCs w:val="20"/>
        </w:rPr>
        <w:t xml:space="preserve"> Allan B Clark, PhD </w:t>
      </w:r>
      <w:r w:rsidRPr="00E914CB">
        <w:rPr>
          <w:rStyle w:val="normaltextrun"/>
          <w:rFonts w:eastAsiaTheme="majorEastAsia"/>
          <w:sz w:val="20"/>
          <w:szCs w:val="20"/>
          <w:vertAlign w:val="superscript"/>
        </w:rPr>
        <w:t>c</w:t>
      </w:r>
      <w:r w:rsidRPr="00E914CB">
        <w:rPr>
          <w:rStyle w:val="normaltextrun"/>
          <w:rFonts w:eastAsiaTheme="majorEastAsia"/>
          <w:sz w:val="20"/>
          <w:szCs w:val="20"/>
        </w:rPr>
        <w:t xml:space="preserve"> Valerie M Pomeroy, PhD </w:t>
      </w:r>
      <w:proofErr w:type="spellStart"/>
      <w:r w:rsidRPr="00E914CB">
        <w:rPr>
          <w:rStyle w:val="normaltextrun"/>
          <w:rFonts w:eastAsiaTheme="majorEastAsia"/>
          <w:sz w:val="20"/>
          <w:szCs w:val="20"/>
          <w:vertAlign w:val="superscript"/>
        </w:rPr>
        <w:t>d,e</w:t>
      </w:r>
      <w:proofErr w:type="spellEnd"/>
      <w:r w:rsidRPr="00E914CB">
        <w:rPr>
          <w:rStyle w:val="normaltextrun"/>
          <w:rFonts w:eastAsiaTheme="majorEastAsia"/>
          <w:sz w:val="20"/>
          <w:szCs w:val="20"/>
        </w:rPr>
        <w:t xml:space="preserve"> and Niamh C Kennedy, PhD</w:t>
      </w:r>
      <w:r w:rsidRPr="00E914CB">
        <w:rPr>
          <w:rStyle w:val="normaltextrun"/>
          <w:rFonts w:eastAsiaTheme="majorEastAsia"/>
          <w:sz w:val="20"/>
          <w:szCs w:val="20"/>
          <w:vertAlign w:val="superscript"/>
        </w:rPr>
        <w:t xml:space="preserve"> b</w:t>
      </w:r>
      <w:r w:rsidRPr="00E914CB">
        <w:rPr>
          <w:rStyle w:val="eop"/>
          <w:rFonts w:eastAsiaTheme="majorEastAsia"/>
          <w:sz w:val="20"/>
          <w:szCs w:val="20"/>
        </w:rPr>
        <w:t> </w:t>
      </w:r>
    </w:p>
    <w:p w14:paraId="1C7861B1" w14:textId="5A53C027" w:rsidR="0058718F" w:rsidRDefault="0058718F" w:rsidP="0058718F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eastAsiaTheme="majorEastAsia"/>
          <w:sz w:val="20"/>
          <w:szCs w:val="20"/>
        </w:rPr>
      </w:pPr>
      <w:r>
        <w:rPr>
          <w:rStyle w:val="eop"/>
          <w:rFonts w:eastAsiaTheme="majorEastAsia"/>
          <w:sz w:val="20"/>
          <w:szCs w:val="20"/>
        </w:rPr>
        <w:t>Journal: Neurological Sciences</w:t>
      </w:r>
    </w:p>
    <w:p w14:paraId="59937D59" w14:textId="5BBCB47F" w:rsidR="0058718F" w:rsidRPr="00E914CB" w:rsidRDefault="0058718F" w:rsidP="0058718F">
      <w:pPr>
        <w:pStyle w:val="paragraph"/>
        <w:spacing w:before="0" w:beforeAutospacing="0" w:after="0" w:afterAutospacing="0" w:line="360" w:lineRule="auto"/>
        <w:textAlignment w:val="baseline"/>
        <w:rPr>
          <w:sz w:val="20"/>
          <w:szCs w:val="20"/>
        </w:rPr>
      </w:pPr>
      <w:r>
        <w:rPr>
          <w:rStyle w:val="eop"/>
          <w:rFonts w:eastAsiaTheme="majorEastAsia"/>
          <w:sz w:val="20"/>
          <w:szCs w:val="20"/>
        </w:rPr>
        <w:t xml:space="preserve">Corresponding Author: Kathryn C Collins; </w:t>
      </w:r>
      <w:r w:rsidRPr="00E914CB">
        <w:rPr>
          <w:rStyle w:val="normaltextrun"/>
          <w:rFonts w:eastAsiaTheme="majorEastAsia"/>
          <w:sz w:val="20"/>
          <w:szCs w:val="20"/>
        </w:rPr>
        <w:t>Faculty of Health and Social Sciences, Bournemouth University, Bournemouth Gateway Building, St Pauls Lane, Bournemouth, BH8 8GP, UK</w:t>
      </w:r>
      <w:r w:rsidRPr="00E914CB">
        <w:rPr>
          <w:rStyle w:val="eop"/>
          <w:rFonts w:eastAsiaTheme="majorEastAsia"/>
          <w:sz w:val="20"/>
          <w:szCs w:val="20"/>
        </w:rPr>
        <w:t xml:space="preserve">; </w:t>
      </w:r>
      <w:hyperlink r:id="rId6" w:history="1">
        <w:r w:rsidRPr="00E914CB">
          <w:rPr>
            <w:rStyle w:val="Hyperlink"/>
            <w:sz w:val="20"/>
            <w:szCs w:val="20"/>
          </w:rPr>
          <w:t>kcollins@bournemouth.ac.uk</w:t>
        </w:r>
      </w:hyperlink>
    </w:p>
    <w:p w14:paraId="72EBFE5B" w14:textId="77777777" w:rsidR="0058718F" w:rsidRDefault="0058718F" w:rsidP="00587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02046D3" w14:textId="77777777" w:rsidR="0058718F" w:rsidRDefault="0058718F" w:rsidP="005871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CF5D56" w14:textId="06DD4D52" w:rsidR="0058718F" w:rsidRPr="0058718F" w:rsidRDefault="0058718F" w:rsidP="0058718F">
      <w:pPr>
        <w:spacing w:after="0" w:line="240" w:lineRule="auto"/>
        <w:rPr>
          <w:rFonts w:ascii="Times New Roman" w:hAnsi="Times New Roman" w:cs="Times New Roman"/>
          <w:b/>
        </w:rPr>
      </w:pPr>
      <w:r w:rsidRPr="0058718F">
        <w:rPr>
          <w:rFonts w:ascii="Times New Roman" w:hAnsi="Times New Roman" w:cs="Times New Roman"/>
          <w:b/>
        </w:rPr>
        <w:t>Supplemental Material</w:t>
      </w:r>
    </w:p>
    <w:p w14:paraId="083C6A96" w14:textId="77777777" w:rsidR="0058718F" w:rsidRDefault="0058718F" w:rsidP="0058718F">
      <w:pPr>
        <w:spacing w:after="0" w:line="240" w:lineRule="auto"/>
        <w:rPr>
          <w:rFonts w:ascii="Times New Roman" w:hAnsi="Times New Roman" w:cs="Times New Roman"/>
          <w:b/>
        </w:rPr>
      </w:pPr>
    </w:p>
    <w:p w14:paraId="10D1B4C4" w14:textId="77777777" w:rsidR="0058718F" w:rsidRPr="0058718F" w:rsidRDefault="0058718F" w:rsidP="0058718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8718F">
        <w:rPr>
          <w:rFonts w:ascii="Times New Roman" w:hAnsi="Times New Roman" w:cs="Times New Roman"/>
          <w:b/>
        </w:rPr>
        <w:t>Supplemental Table 1.   Mean (standard deviation) of MEP characteristics for adults for resting motor threshold (% stimulator output), active motor threshold (% stimulator output), motor evoked potential latency (</w:t>
      </w:r>
      <w:proofErr w:type="spellStart"/>
      <w:r w:rsidRPr="0058718F">
        <w:rPr>
          <w:rFonts w:ascii="Times New Roman" w:hAnsi="Times New Roman" w:cs="Times New Roman"/>
          <w:b/>
        </w:rPr>
        <w:t>ms</w:t>
      </w:r>
      <w:proofErr w:type="spellEnd"/>
      <w:r w:rsidRPr="0058718F">
        <w:rPr>
          <w:rFonts w:ascii="Times New Roman" w:hAnsi="Times New Roman" w:cs="Times New Roman"/>
          <w:b/>
        </w:rPr>
        <w:t>) and silent</w:t>
      </w:r>
      <w:r w:rsidRPr="0058718F">
        <w:rPr>
          <w:rFonts w:ascii="Times New Roman" w:hAnsi="Times New Roman" w:cs="Times New Roman"/>
          <w:b/>
          <w:sz w:val="20"/>
          <w:szCs w:val="20"/>
        </w:rPr>
        <w:t xml:space="preserve"> period  (</w:t>
      </w:r>
      <w:proofErr w:type="spellStart"/>
      <w:r w:rsidRPr="0058718F">
        <w:rPr>
          <w:rFonts w:ascii="Times New Roman" w:hAnsi="Times New Roman" w:cs="Times New Roman"/>
          <w:b/>
          <w:sz w:val="20"/>
          <w:szCs w:val="20"/>
        </w:rPr>
        <w:t>ms</w:t>
      </w:r>
      <w:proofErr w:type="spellEnd"/>
      <w:r w:rsidRPr="0058718F">
        <w:rPr>
          <w:rFonts w:ascii="Times New Roman" w:hAnsi="Times New Roman" w:cs="Times New Roman"/>
          <w:b/>
          <w:sz w:val="20"/>
          <w:szCs w:val="20"/>
        </w:rPr>
        <w:t>)</w:t>
      </w:r>
    </w:p>
    <w:p w14:paraId="5810867D" w14:textId="77777777" w:rsidR="0058718F" w:rsidRDefault="0058718F" w:rsidP="0058718F">
      <w:pPr>
        <w:spacing w:after="0" w:line="240" w:lineRule="auto"/>
        <w:jc w:val="center"/>
        <w:rPr>
          <w:rFonts w:cs="Arial"/>
          <w:bCs/>
        </w:rPr>
      </w:pPr>
    </w:p>
    <w:p w14:paraId="5A2ACC39" w14:textId="77777777" w:rsidR="00234C4A" w:rsidRDefault="00234C4A" w:rsidP="0058718F">
      <w:pPr>
        <w:spacing w:after="0" w:line="320" w:lineRule="exact"/>
        <w:jc w:val="both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9"/>
        <w:gridCol w:w="1267"/>
        <w:gridCol w:w="1267"/>
        <w:gridCol w:w="1267"/>
        <w:gridCol w:w="1266"/>
        <w:gridCol w:w="1266"/>
        <w:gridCol w:w="1266"/>
        <w:gridCol w:w="1492"/>
        <w:gridCol w:w="1492"/>
        <w:gridCol w:w="1236"/>
        <w:gridCol w:w="1230"/>
      </w:tblGrid>
      <w:tr w:rsidR="00234C4A" w:rsidRPr="00234C4A" w14:paraId="192D80F7" w14:textId="77777777" w:rsidTr="005E7515">
        <w:tc>
          <w:tcPr>
            <w:tcW w:w="322" w:type="pct"/>
          </w:tcPr>
          <w:p w14:paraId="44D38AC9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Muscle</w:t>
            </w:r>
          </w:p>
        </w:tc>
        <w:tc>
          <w:tcPr>
            <w:tcW w:w="454" w:type="pct"/>
          </w:tcPr>
          <w:p w14:paraId="02801CF6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RMT Session 1</w:t>
            </w:r>
          </w:p>
        </w:tc>
        <w:tc>
          <w:tcPr>
            <w:tcW w:w="454" w:type="pct"/>
          </w:tcPr>
          <w:p w14:paraId="07E3B7FA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RMT Session 2</w:t>
            </w:r>
          </w:p>
        </w:tc>
        <w:tc>
          <w:tcPr>
            <w:tcW w:w="454" w:type="pct"/>
          </w:tcPr>
          <w:p w14:paraId="4615A48D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AMT Session 1</w:t>
            </w:r>
          </w:p>
        </w:tc>
        <w:tc>
          <w:tcPr>
            <w:tcW w:w="454" w:type="pct"/>
          </w:tcPr>
          <w:p w14:paraId="47567E91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AMT Session 2</w:t>
            </w:r>
          </w:p>
        </w:tc>
        <w:tc>
          <w:tcPr>
            <w:tcW w:w="454" w:type="pct"/>
          </w:tcPr>
          <w:p w14:paraId="5C426AEC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MEP-L Session 1</w:t>
            </w:r>
          </w:p>
        </w:tc>
        <w:tc>
          <w:tcPr>
            <w:tcW w:w="454" w:type="pct"/>
          </w:tcPr>
          <w:p w14:paraId="7B0CCF4D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MEP- L Session 2</w:t>
            </w:r>
          </w:p>
        </w:tc>
        <w:tc>
          <w:tcPr>
            <w:tcW w:w="535" w:type="pct"/>
          </w:tcPr>
          <w:p w14:paraId="3579A892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SP Session 1</w:t>
            </w:r>
          </w:p>
        </w:tc>
        <w:tc>
          <w:tcPr>
            <w:tcW w:w="535" w:type="pct"/>
          </w:tcPr>
          <w:p w14:paraId="1744BC96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SP Session 2</w:t>
            </w:r>
          </w:p>
        </w:tc>
        <w:tc>
          <w:tcPr>
            <w:tcW w:w="443" w:type="pct"/>
          </w:tcPr>
          <w:p w14:paraId="43038E46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RC Session 1</w:t>
            </w:r>
          </w:p>
        </w:tc>
        <w:tc>
          <w:tcPr>
            <w:tcW w:w="441" w:type="pct"/>
          </w:tcPr>
          <w:p w14:paraId="7A75EDB7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RC Session 2</w:t>
            </w:r>
          </w:p>
        </w:tc>
      </w:tr>
      <w:tr w:rsidR="00234C4A" w:rsidRPr="00234C4A" w14:paraId="3B81A72A" w14:textId="77777777" w:rsidTr="00234C4A">
        <w:trPr>
          <w:trHeight w:val="329"/>
        </w:trPr>
        <w:tc>
          <w:tcPr>
            <w:tcW w:w="5000" w:type="pct"/>
            <w:gridSpan w:val="11"/>
          </w:tcPr>
          <w:p w14:paraId="01B94466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Biceps</w:t>
            </w:r>
          </w:p>
        </w:tc>
      </w:tr>
      <w:tr w:rsidR="00234C4A" w:rsidRPr="00234C4A" w14:paraId="4323AE79" w14:textId="77777777" w:rsidTr="005E7515">
        <w:tc>
          <w:tcPr>
            <w:tcW w:w="322" w:type="pct"/>
          </w:tcPr>
          <w:p w14:paraId="77F6D33E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D</w:t>
            </w:r>
          </w:p>
        </w:tc>
        <w:tc>
          <w:tcPr>
            <w:tcW w:w="454" w:type="pct"/>
          </w:tcPr>
          <w:p w14:paraId="5312F253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62±8.47</w:t>
            </w:r>
          </w:p>
        </w:tc>
        <w:tc>
          <w:tcPr>
            <w:tcW w:w="454" w:type="pct"/>
          </w:tcPr>
          <w:p w14:paraId="18E73D49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62±7.06</w:t>
            </w:r>
          </w:p>
        </w:tc>
        <w:tc>
          <w:tcPr>
            <w:tcW w:w="454" w:type="pct"/>
          </w:tcPr>
          <w:p w14:paraId="7A26D8E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48±7.26</w:t>
            </w:r>
          </w:p>
        </w:tc>
        <w:tc>
          <w:tcPr>
            <w:tcW w:w="454" w:type="pct"/>
          </w:tcPr>
          <w:p w14:paraId="3F5C2FBF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47±7.10</w:t>
            </w:r>
          </w:p>
        </w:tc>
        <w:tc>
          <w:tcPr>
            <w:tcW w:w="454" w:type="pct"/>
          </w:tcPr>
          <w:p w14:paraId="4EA088C7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12.48±1.01 </w:t>
            </w:r>
          </w:p>
        </w:tc>
        <w:tc>
          <w:tcPr>
            <w:tcW w:w="454" w:type="pct"/>
          </w:tcPr>
          <w:p w14:paraId="7FAC24B0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12.65±0.98 </w:t>
            </w:r>
          </w:p>
        </w:tc>
        <w:tc>
          <w:tcPr>
            <w:tcW w:w="535" w:type="pct"/>
          </w:tcPr>
          <w:p w14:paraId="0A087172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103.47±25.04 </w:t>
            </w:r>
          </w:p>
        </w:tc>
        <w:tc>
          <w:tcPr>
            <w:tcW w:w="535" w:type="pct"/>
          </w:tcPr>
          <w:p w14:paraId="00F4DF7C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110.74±22.85 </w:t>
            </w:r>
          </w:p>
        </w:tc>
        <w:tc>
          <w:tcPr>
            <w:tcW w:w="443" w:type="pct"/>
          </w:tcPr>
          <w:p w14:paraId="4D2E4CF2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0.12±0.11 </w:t>
            </w:r>
          </w:p>
        </w:tc>
        <w:tc>
          <w:tcPr>
            <w:tcW w:w="441" w:type="pct"/>
          </w:tcPr>
          <w:p w14:paraId="044AC2E6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0.10±0.08 </w:t>
            </w:r>
          </w:p>
        </w:tc>
      </w:tr>
      <w:tr w:rsidR="00234C4A" w:rsidRPr="00234C4A" w14:paraId="08F5E9C2" w14:textId="77777777" w:rsidTr="005E7515">
        <w:tc>
          <w:tcPr>
            <w:tcW w:w="322" w:type="pct"/>
          </w:tcPr>
          <w:p w14:paraId="4AE9254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ND</w:t>
            </w:r>
          </w:p>
        </w:tc>
        <w:tc>
          <w:tcPr>
            <w:tcW w:w="454" w:type="pct"/>
          </w:tcPr>
          <w:p w14:paraId="6D482660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62±6.84</w:t>
            </w:r>
          </w:p>
        </w:tc>
        <w:tc>
          <w:tcPr>
            <w:tcW w:w="454" w:type="pct"/>
          </w:tcPr>
          <w:p w14:paraId="03F52E4F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63±6.60</w:t>
            </w:r>
          </w:p>
        </w:tc>
        <w:tc>
          <w:tcPr>
            <w:tcW w:w="454" w:type="pct"/>
          </w:tcPr>
          <w:p w14:paraId="6FFE42DF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48±7.32</w:t>
            </w:r>
          </w:p>
        </w:tc>
        <w:tc>
          <w:tcPr>
            <w:tcW w:w="454" w:type="pct"/>
          </w:tcPr>
          <w:p w14:paraId="08584B5E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47±7.06</w:t>
            </w:r>
          </w:p>
        </w:tc>
        <w:tc>
          <w:tcPr>
            <w:tcW w:w="454" w:type="pct"/>
          </w:tcPr>
          <w:p w14:paraId="3E500D6C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12.39±1.30 </w:t>
            </w:r>
          </w:p>
        </w:tc>
        <w:tc>
          <w:tcPr>
            <w:tcW w:w="454" w:type="pct"/>
          </w:tcPr>
          <w:p w14:paraId="201FAB86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12.56±1.16 </w:t>
            </w:r>
          </w:p>
        </w:tc>
        <w:tc>
          <w:tcPr>
            <w:tcW w:w="535" w:type="pct"/>
          </w:tcPr>
          <w:p w14:paraId="7A03EB80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105.27±25.61 </w:t>
            </w:r>
          </w:p>
        </w:tc>
        <w:tc>
          <w:tcPr>
            <w:tcW w:w="535" w:type="pct"/>
          </w:tcPr>
          <w:p w14:paraId="036E73B5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109.13±27.36 </w:t>
            </w:r>
          </w:p>
        </w:tc>
        <w:tc>
          <w:tcPr>
            <w:tcW w:w="443" w:type="pct"/>
          </w:tcPr>
          <w:p w14:paraId="3F5990F0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0.23±0.26 </w:t>
            </w:r>
          </w:p>
        </w:tc>
        <w:tc>
          <w:tcPr>
            <w:tcW w:w="441" w:type="pct"/>
          </w:tcPr>
          <w:p w14:paraId="6A1A2B24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0.11±0.05 </w:t>
            </w:r>
          </w:p>
        </w:tc>
      </w:tr>
      <w:tr w:rsidR="00234C4A" w:rsidRPr="00234C4A" w14:paraId="1C80A41D" w14:textId="77777777" w:rsidTr="00E914CB">
        <w:tc>
          <w:tcPr>
            <w:tcW w:w="5000" w:type="pct"/>
            <w:gridSpan w:val="11"/>
          </w:tcPr>
          <w:p w14:paraId="5D157D9C" w14:textId="77777777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ECR</w:t>
            </w:r>
          </w:p>
        </w:tc>
      </w:tr>
      <w:tr w:rsidR="00234C4A" w:rsidRPr="00234C4A" w14:paraId="0E82DEC1" w14:textId="77777777" w:rsidTr="005E7515">
        <w:tc>
          <w:tcPr>
            <w:tcW w:w="322" w:type="pct"/>
          </w:tcPr>
          <w:p w14:paraId="0E24A93B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D</w:t>
            </w:r>
          </w:p>
        </w:tc>
        <w:tc>
          <w:tcPr>
            <w:tcW w:w="454" w:type="pct"/>
          </w:tcPr>
          <w:p w14:paraId="2F7CF4DB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48 ±6.87 </w:t>
            </w:r>
          </w:p>
        </w:tc>
        <w:tc>
          <w:tcPr>
            <w:tcW w:w="454" w:type="pct"/>
          </w:tcPr>
          <w:p w14:paraId="67CA46C7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49 ±8.01 </w:t>
            </w:r>
          </w:p>
        </w:tc>
        <w:tc>
          <w:tcPr>
            <w:tcW w:w="454" w:type="pct"/>
          </w:tcPr>
          <w:p w14:paraId="560A3C99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38 ±4.86 </w:t>
            </w:r>
          </w:p>
        </w:tc>
        <w:tc>
          <w:tcPr>
            <w:tcW w:w="454" w:type="pct"/>
          </w:tcPr>
          <w:p w14:paraId="61C3A08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38 ±5.03 </w:t>
            </w:r>
          </w:p>
        </w:tc>
        <w:tc>
          <w:tcPr>
            <w:tcW w:w="454" w:type="pct"/>
          </w:tcPr>
          <w:p w14:paraId="28F27147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16.48±1.52 </w:t>
            </w:r>
          </w:p>
        </w:tc>
        <w:tc>
          <w:tcPr>
            <w:tcW w:w="454" w:type="pct"/>
          </w:tcPr>
          <w:p w14:paraId="77F06B89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16.40±1.48 </w:t>
            </w:r>
          </w:p>
        </w:tc>
        <w:tc>
          <w:tcPr>
            <w:tcW w:w="535" w:type="pct"/>
          </w:tcPr>
          <w:p w14:paraId="5D5A5031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98.03±28.21 </w:t>
            </w:r>
          </w:p>
        </w:tc>
        <w:tc>
          <w:tcPr>
            <w:tcW w:w="535" w:type="pct"/>
          </w:tcPr>
          <w:p w14:paraId="6CC35784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100.61±28.66 </w:t>
            </w:r>
          </w:p>
        </w:tc>
        <w:tc>
          <w:tcPr>
            <w:tcW w:w="443" w:type="pct"/>
          </w:tcPr>
          <w:p w14:paraId="1D015C7D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0.21±0.38 </w:t>
            </w:r>
          </w:p>
        </w:tc>
        <w:tc>
          <w:tcPr>
            <w:tcW w:w="441" w:type="pct"/>
          </w:tcPr>
          <w:p w14:paraId="5845F2DD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0.09±0.07</w:t>
            </w:r>
          </w:p>
        </w:tc>
      </w:tr>
      <w:tr w:rsidR="00234C4A" w:rsidRPr="00234C4A" w14:paraId="211C5672" w14:textId="77777777" w:rsidTr="005E7515">
        <w:tc>
          <w:tcPr>
            <w:tcW w:w="322" w:type="pct"/>
          </w:tcPr>
          <w:p w14:paraId="4DA85D1E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ND</w:t>
            </w:r>
          </w:p>
        </w:tc>
        <w:tc>
          <w:tcPr>
            <w:tcW w:w="454" w:type="pct"/>
          </w:tcPr>
          <w:p w14:paraId="4F091AEB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50.00±6.83</w:t>
            </w:r>
          </w:p>
        </w:tc>
        <w:tc>
          <w:tcPr>
            <w:tcW w:w="454" w:type="pct"/>
          </w:tcPr>
          <w:p w14:paraId="2B5A8D1A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50.00±6.90</w:t>
            </w:r>
          </w:p>
        </w:tc>
        <w:tc>
          <w:tcPr>
            <w:tcW w:w="454" w:type="pct"/>
          </w:tcPr>
          <w:p w14:paraId="4BE3EF3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40.00±4.92</w:t>
            </w:r>
          </w:p>
        </w:tc>
        <w:tc>
          <w:tcPr>
            <w:tcW w:w="454" w:type="pct"/>
          </w:tcPr>
          <w:p w14:paraId="025D09D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40.00±5.27</w:t>
            </w:r>
          </w:p>
        </w:tc>
        <w:tc>
          <w:tcPr>
            <w:tcW w:w="454" w:type="pct"/>
          </w:tcPr>
          <w:p w14:paraId="464F566C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16.38±1.57</w:t>
            </w:r>
          </w:p>
        </w:tc>
        <w:tc>
          <w:tcPr>
            <w:tcW w:w="454" w:type="pct"/>
          </w:tcPr>
          <w:p w14:paraId="6CB3347E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16.08±1.21</w:t>
            </w:r>
          </w:p>
        </w:tc>
        <w:tc>
          <w:tcPr>
            <w:tcW w:w="535" w:type="pct"/>
          </w:tcPr>
          <w:p w14:paraId="31F1ACA7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107.45±35.43</w:t>
            </w:r>
          </w:p>
        </w:tc>
        <w:tc>
          <w:tcPr>
            <w:tcW w:w="535" w:type="pct"/>
          </w:tcPr>
          <w:p w14:paraId="1F79454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106.33±37.27</w:t>
            </w:r>
          </w:p>
        </w:tc>
        <w:tc>
          <w:tcPr>
            <w:tcW w:w="443" w:type="pct"/>
          </w:tcPr>
          <w:p w14:paraId="0A63A0FE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0.14±0.07 </w:t>
            </w:r>
          </w:p>
          <w:p w14:paraId="2B23EED7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1" w:type="pct"/>
          </w:tcPr>
          <w:p w14:paraId="1C8E7B49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0.12±0.06</w:t>
            </w:r>
          </w:p>
        </w:tc>
      </w:tr>
      <w:tr w:rsidR="00234C4A" w:rsidRPr="00234C4A" w14:paraId="7640010E" w14:textId="77777777" w:rsidTr="00E914CB">
        <w:tc>
          <w:tcPr>
            <w:tcW w:w="5000" w:type="pct"/>
            <w:gridSpan w:val="11"/>
          </w:tcPr>
          <w:p w14:paraId="572D0C5C" w14:textId="2A09FF3F" w:rsidR="00234C4A" w:rsidRPr="00234C4A" w:rsidRDefault="00234C4A" w:rsidP="00E914C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/>
                <w:sz w:val="20"/>
                <w:szCs w:val="20"/>
              </w:rPr>
              <w:t>APB</w:t>
            </w:r>
          </w:p>
        </w:tc>
      </w:tr>
      <w:tr w:rsidR="00234C4A" w:rsidRPr="00234C4A" w14:paraId="4AABBBC7" w14:textId="77777777" w:rsidTr="005E7515">
        <w:tc>
          <w:tcPr>
            <w:tcW w:w="322" w:type="pct"/>
          </w:tcPr>
          <w:p w14:paraId="10757BE9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D</w:t>
            </w:r>
          </w:p>
        </w:tc>
        <w:tc>
          <w:tcPr>
            <w:tcW w:w="454" w:type="pct"/>
          </w:tcPr>
          <w:p w14:paraId="061F5D02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49.00±7.07</w:t>
            </w:r>
          </w:p>
        </w:tc>
        <w:tc>
          <w:tcPr>
            <w:tcW w:w="454" w:type="pct"/>
          </w:tcPr>
          <w:p w14:paraId="7C3FD483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49.00±7.31</w:t>
            </w:r>
          </w:p>
        </w:tc>
        <w:tc>
          <w:tcPr>
            <w:tcW w:w="454" w:type="pct"/>
          </w:tcPr>
          <w:p w14:paraId="37C8AE09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41.00±5.24</w:t>
            </w:r>
          </w:p>
        </w:tc>
        <w:tc>
          <w:tcPr>
            <w:tcW w:w="454" w:type="pct"/>
          </w:tcPr>
          <w:p w14:paraId="28C96045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40.00±4.55</w:t>
            </w:r>
          </w:p>
        </w:tc>
        <w:tc>
          <w:tcPr>
            <w:tcW w:w="454" w:type="pct"/>
          </w:tcPr>
          <w:p w14:paraId="507EF81A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22.93±1.87</w:t>
            </w:r>
          </w:p>
        </w:tc>
        <w:tc>
          <w:tcPr>
            <w:tcW w:w="454" w:type="pct"/>
          </w:tcPr>
          <w:p w14:paraId="3200F0C3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22.59±1.72</w:t>
            </w:r>
          </w:p>
        </w:tc>
        <w:tc>
          <w:tcPr>
            <w:tcW w:w="535" w:type="pct"/>
          </w:tcPr>
          <w:p w14:paraId="6921313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126.56±31.05</w:t>
            </w:r>
          </w:p>
        </w:tc>
        <w:tc>
          <w:tcPr>
            <w:tcW w:w="535" w:type="pct"/>
          </w:tcPr>
          <w:p w14:paraId="396A1D04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137.48±33.05</w:t>
            </w:r>
          </w:p>
        </w:tc>
        <w:tc>
          <w:tcPr>
            <w:tcW w:w="443" w:type="pct"/>
          </w:tcPr>
          <w:p w14:paraId="36E7FCF8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0.17±0.12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1" w:type="pct"/>
          </w:tcPr>
          <w:p w14:paraId="7CE079C0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0.19±0.20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A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234C4A" w:rsidRPr="00234C4A" w14:paraId="613EC0E4" w14:textId="77777777" w:rsidTr="005E7515">
        <w:tc>
          <w:tcPr>
            <w:tcW w:w="322" w:type="pct"/>
          </w:tcPr>
          <w:p w14:paraId="394F930A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ND</w:t>
            </w:r>
          </w:p>
        </w:tc>
        <w:tc>
          <w:tcPr>
            <w:tcW w:w="454" w:type="pct"/>
          </w:tcPr>
          <w:p w14:paraId="3CC8C6FE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51.00±6.77</w:t>
            </w:r>
          </w:p>
        </w:tc>
        <w:tc>
          <w:tcPr>
            <w:tcW w:w="454" w:type="pct"/>
          </w:tcPr>
          <w:p w14:paraId="7D86C860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50.00±6.19</w:t>
            </w:r>
          </w:p>
        </w:tc>
        <w:tc>
          <w:tcPr>
            <w:tcW w:w="454" w:type="pct"/>
          </w:tcPr>
          <w:p w14:paraId="36C1FD5E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42.00±4.95</w:t>
            </w:r>
          </w:p>
        </w:tc>
        <w:tc>
          <w:tcPr>
            <w:tcW w:w="454" w:type="pct"/>
          </w:tcPr>
          <w:p w14:paraId="4B21C79B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41.00±4.43</w:t>
            </w:r>
          </w:p>
        </w:tc>
        <w:tc>
          <w:tcPr>
            <w:tcW w:w="454" w:type="pct"/>
          </w:tcPr>
          <w:p w14:paraId="69F35195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22.31±2.22</w:t>
            </w:r>
          </w:p>
        </w:tc>
        <w:tc>
          <w:tcPr>
            <w:tcW w:w="454" w:type="pct"/>
          </w:tcPr>
          <w:p w14:paraId="368DBDE3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22.49±2.30</w:t>
            </w:r>
          </w:p>
        </w:tc>
        <w:tc>
          <w:tcPr>
            <w:tcW w:w="535" w:type="pct"/>
          </w:tcPr>
          <w:p w14:paraId="76BA717F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133.29±40.03</w:t>
            </w:r>
          </w:p>
        </w:tc>
        <w:tc>
          <w:tcPr>
            <w:tcW w:w="535" w:type="pct"/>
          </w:tcPr>
          <w:p w14:paraId="69A112A4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131.79±39.25</w:t>
            </w:r>
          </w:p>
        </w:tc>
        <w:tc>
          <w:tcPr>
            <w:tcW w:w="443" w:type="pct"/>
          </w:tcPr>
          <w:p w14:paraId="63550102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0.17±0.16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41" w:type="pct"/>
          </w:tcPr>
          <w:p w14:paraId="4F1484FD" w14:textId="77777777" w:rsidR="00234C4A" w:rsidRPr="00234C4A" w:rsidRDefault="00234C4A" w:rsidP="00E914C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>0.14±0.12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B</w:t>
            </w:r>
            <w:r w:rsidRPr="00234C4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</w:tbl>
    <w:p w14:paraId="7C3FAA82" w14:textId="77777777" w:rsidR="005E7515" w:rsidRPr="005E7515" w:rsidRDefault="005E7515" w:rsidP="0058718F">
      <w:pPr>
        <w:spacing w:after="0" w:line="320" w:lineRule="exac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E7515">
        <w:rPr>
          <w:rFonts w:ascii="Times New Roman" w:hAnsi="Times New Roman" w:cs="Times New Roman"/>
          <w:b/>
          <w:sz w:val="20"/>
          <w:szCs w:val="20"/>
        </w:rPr>
        <w:t xml:space="preserve">Supplemental Table 1.   </w:t>
      </w:r>
      <w:r w:rsidRPr="005E7515">
        <w:rPr>
          <w:rFonts w:ascii="Times New Roman" w:hAnsi="Times New Roman" w:cs="Times New Roman"/>
          <w:bCs/>
          <w:sz w:val="20"/>
          <w:szCs w:val="20"/>
        </w:rPr>
        <w:t>Demonstrates the mean and standard deviation of TMS measures (motor threshold (active and resting), MEP latency, silent period, and recruitment curve (sigmoidal)</w:t>
      </w:r>
    </w:p>
    <w:p w14:paraId="623DE328" w14:textId="65EF3035" w:rsidR="009812CD" w:rsidRDefault="0058718F" w:rsidP="005E7515">
      <w:pPr>
        <w:spacing w:after="0" w:line="320" w:lineRule="exact"/>
        <w:jc w:val="both"/>
      </w:pPr>
      <w:r w:rsidRPr="0058718F">
        <w:rPr>
          <w:rFonts w:ascii="Times New Roman" w:hAnsi="Times New Roman" w:cs="Times New Roman"/>
          <w:bCs/>
          <w:sz w:val="20"/>
          <w:szCs w:val="20"/>
        </w:rPr>
        <w:t xml:space="preserve">S1 = session 1; S2 = session 2; </w:t>
      </w:r>
      <w:r w:rsidR="00D8412C">
        <w:rPr>
          <w:rFonts w:ascii="Times New Roman" w:hAnsi="Times New Roman" w:cs="Times New Roman"/>
          <w:bCs/>
          <w:sz w:val="20"/>
          <w:szCs w:val="20"/>
        </w:rPr>
        <w:t xml:space="preserve">D= dominant limb; ND= ND limb; </w:t>
      </w:r>
      <w:r w:rsidRPr="0058718F">
        <w:rPr>
          <w:rFonts w:ascii="Times New Roman" w:hAnsi="Times New Roman" w:cs="Times New Roman"/>
          <w:bCs/>
          <w:sz w:val="20"/>
          <w:szCs w:val="20"/>
        </w:rPr>
        <w:t xml:space="preserve">RMT = resting motor threshold, measured in % of stimulator output; BB = biceps brachii muscle; ECR = extensor carpi radialis muscle; APB = abductor pollicis brevis muscle; AMT = active motor threshold, measured in % of stimulator output; MEP-L = motor evoked potential </w:t>
      </w:r>
      <w:r w:rsidRPr="0058718F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latency, measured in milliseconds; SP = silent period, measured in milliseconds, RC= recruitment curve fitted with a sigmoidal function; </w:t>
      </w:r>
      <w:r w:rsidRPr="0058718F">
        <w:rPr>
          <w:rFonts w:ascii="Times New Roman" w:hAnsi="Times New Roman" w:cs="Times New Roman"/>
          <w:sz w:val="20"/>
          <w:szCs w:val="20"/>
        </w:rPr>
        <w:t xml:space="preserve">n= 51 participants unless stated otherwise; </w:t>
      </w:r>
      <w:r w:rsidRPr="0058718F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8718F">
        <w:rPr>
          <w:rFonts w:ascii="Times New Roman" w:hAnsi="Times New Roman" w:cs="Times New Roman"/>
          <w:sz w:val="20"/>
          <w:szCs w:val="20"/>
        </w:rPr>
        <w:t xml:space="preserve">= 16 participants; </w:t>
      </w:r>
      <w:r w:rsidRPr="0058718F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8718F">
        <w:rPr>
          <w:rFonts w:ascii="Times New Roman" w:hAnsi="Times New Roman" w:cs="Times New Roman"/>
          <w:sz w:val="20"/>
          <w:szCs w:val="20"/>
        </w:rPr>
        <w:t>= 15 participants</w:t>
      </w:r>
    </w:p>
    <w:sectPr w:rsidR="009812CD" w:rsidSect="0058718F">
      <w:footerReference w:type="default" r:id="rId7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B3875" w14:textId="77777777" w:rsidR="001767E2" w:rsidRDefault="001767E2" w:rsidP="001767E2">
      <w:pPr>
        <w:spacing w:after="0" w:line="240" w:lineRule="auto"/>
      </w:pPr>
      <w:r>
        <w:separator/>
      </w:r>
    </w:p>
  </w:endnote>
  <w:endnote w:type="continuationSeparator" w:id="0">
    <w:p w14:paraId="00EF48B5" w14:textId="77777777" w:rsidR="001767E2" w:rsidRDefault="001767E2" w:rsidP="0017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0580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CCEA4F" w14:textId="6A9CE144" w:rsidR="001767E2" w:rsidRDefault="001767E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D4C8B9" w14:textId="77777777" w:rsidR="001767E2" w:rsidRDefault="001767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CB72B" w14:textId="77777777" w:rsidR="001767E2" w:rsidRDefault="001767E2" w:rsidP="001767E2">
      <w:pPr>
        <w:spacing w:after="0" w:line="240" w:lineRule="auto"/>
      </w:pPr>
      <w:r>
        <w:separator/>
      </w:r>
    </w:p>
  </w:footnote>
  <w:footnote w:type="continuationSeparator" w:id="0">
    <w:p w14:paraId="7E0FE693" w14:textId="77777777" w:rsidR="001767E2" w:rsidRDefault="001767E2" w:rsidP="00176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8F"/>
    <w:rsid w:val="00172A43"/>
    <w:rsid w:val="001767E2"/>
    <w:rsid w:val="00234C4A"/>
    <w:rsid w:val="003E7B70"/>
    <w:rsid w:val="0058718F"/>
    <w:rsid w:val="005E7515"/>
    <w:rsid w:val="008269EE"/>
    <w:rsid w:val="009812CD"/>
    <w:rsid w:val="00982233"/>
    <w:rsid w:val="00B70D3B"/>
    <w:rsid w:val="00BB2C55"/>
    <w:rsid w:val="00D8412C"/>
    <w:rsid w:val="00DA5DA3"/>
    <w:rsid w:val="00E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6CABB"/>
  <w15:chartTrackingRefBased/>
  <w15:docId w15:val="{F7907E7C-E999-403C-B2A8-031DAB09D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18F"/>
  </w:style>
  <w:style w:type="paragraph" w:styleId="Heading1">
    <w:name w:val="heading 1"/>
    <w:basedOn w:val="Normal"/>
    <w:next w:val="Normal"/>
    <w:link w:val="Heading1Char"/>
    <w:uiPriority w:val="9"/>
    <w:qFormat/>
    <w:rsid w:val="00587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1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1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1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1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1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1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1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1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1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1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1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7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587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58718F"/>
  </w:style>
  <w:style w:type="character" w:customStyle="1" w:styleId="eop">
    <w:name w:val="eop"/>
    <w:basedOn w:val="DefaultParagraphFont"/>
    <w:rsid w:val="0058718F"/>
  </w:style>
  <w:style w:type="character" w:styleId="Hyperlink">
    <w:name w:val="Hyperlink"/>
    <w:basedOn w:val="DefaultParagraphFont"/>
    <w:uiPriority w:val="99"/>
    <w:unhideWhenUsed/>
    <w:rsid w:val="0058718F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6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7E2"/>
  </w:style>
  <w:style w:type="paragraph" w:styleId="Footer">
    <w:name w:val="footer"/>
    <w:basedOn w:val="Normal"/>
    <w:link w:val="FooterChar"/>
    <w:uiPriority w:val="99"/>
    <w:unhideWhenUsed/>
    <w:rsid w:val="001767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collins@bournemouth.ac.u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2008</Characters>
  <Application>Microsoft Office Word</Application>
  <DocSecurity>0</DocSecurity>
  <Lines>109</Lines>
  <Paragraphs>88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Collins</dc:creator>
  <cp:keywords/>
  <dc:description/>
  <cp:lastModifiedBy>Kathryn Collins</cp:lastModifiedBy>
  <cp:revision>2</cp:revision>
  <dcterms:created xsi:type="dcterms:W3CDTF">2026-02-20T12:42:00Z</dcterms:created>
  <dcterms:modified xsi:type="dcterms:W3CDTF">2026-02-20T12:42:00Z</dcterms:modified>
</cp:coreProperties>
</file>