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F36" w:rsidRDefault="00146F36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146F36">
        <w:rPr>
          <w:rFonts w:ascii="Arial" w:hAnsi="Arial" w:cs="Arial"/>
          <w:b/>
          <w:sz w:val="20"/>
          <w:szCs w:val="20"/>
        </w:rPr>
        <w:t>Supplemental Table</w:t>
      </w:r>
      <w:r w:rsidR="003C1A0B">
        <w:rPr>
          <w:rFonts w:ascii="Arial" w:hAnsi="Arial" w:cs="Arial"/>
          <w:b/>
          <w:sz w:val="20"/>
          <w:szCs w:val="20"/>
        </w:rPr>
        <w:t xml:space="preserve"> 1</w:t>
      </w:r>
      <w:r w:rsidRPr="00146F36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 Correlation between intracranial response rate by </w:t>
      </w:r>
      <w:proofErr w:type="spellStart"/>
      <w:r>
        <w:rPr>
          <w:rFonts w:ascii="Arial" w:hAnsi="Arial" w:cs="Arial"/>
          <w:sz w:val="20"/>
          <w:szCs w:val="20"/>
        </w:rPr>
        <w:t>uni</w:t>
      </w:r>
      <w:proofErr w:type="spellEnd"/>
      <w:r>
        <w:rPr>
          <w:rFonts w:ascii="Arial" w:hAnsi="Arial" w:cs="Arial"/>
          <w:sz w:val="20"/>
          <w:szCs w:val="20"/>
        </w:rPr>
        <w:t xml:space="preserve">-dimensional (modified RECIST) vs. volumetric criteria.  </w:t>
      </w:r>
    </w:p>
    <w:p w:rsidR="00146F36" w:rsidRPr="00146F36" w:rsidRDefault="00146F36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35"/>
        <w:gridCol w:w="1620"/>
        <w:gridCol w:w="1620"/>
        <w:gridCol w:w="1710"/>
        <w:gridCol w:w="1440"/>
      </w:tblGrid>
      <w:tr w:rsidR="002C5984" w:rsidTr="002C5984">
        <w:tc>
          <w:tcPr>
            <w:tcW w:w="2335" w:type="dxa"/>
            <w:shd w:val="clear" w:color="auto" w:fill="E7E6E6" w:themeFill="background2"/>
          </w:tcPr>
          <w:p w:rsidR="002C5984" w:rsidRPr="00584B4F" w:rsidRDefault="002C5984" w:rsidP="002C598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3C1A0B" w:rsidRDefault="002C5984" w:rsidP="002C598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84B4F">
              <w:rPr>
                <w:rFonts w:ascii="Arial" w:hAnsi="Arial" w:cs="Arial"/>
                <w:b/>
                <w:bCs/>
                <w:color w:val="000000"/>
              </w:rPr>
              <w:t xml:space="preserve">Supplemental </w:t>
            </w:r>
          </w:p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  <w:r w:rsidRPr="00584B4F">
              <w:rPr>
                <w:rFonts w:ascii="Arial" w:hAnsi="Arial" w:cs="Arial"/>
                <w:b/>
                <w:bCs/>
                <w:color w:val="000000"/>
              </w:rPr>
              <w:t>Table</w:t>
            </w:r>
            <w:r w:rsidR="003C1A0B">
              <w:rPr>
                <w:rFonts w:ascii="Arial" w:hAnsi="Arial" w:cs="Arial"/>
                <w:b/>
                <w:bCs/>
                <w:color w:val="000000"/>
              </w:rPr>
              <w:t xml:space="preserve"> 1 </w:t>
            </w:r>
          </w:p>
        </w:tc>
        <w:tc>
          <w:tcPr>
            <w:tcW w:w="6390" w:type="dxa"/>
            <w:gridSpan w:val="4"/>
            <w:shd w:val="clear" w:color="auto" w:fill="E7E6E6" w:themeFill="background2"/>
          </w:tcPr>
          <w:p w:rsidR="002C5984" w:rsidRPr="00584B4F" w:rsidRDefault="002C5984" w:rsidP="002C5984">
            <w:pPr>
              <w:keepNext/>
              <w:adjustRightInd w:val="0"/>
              <w:spacing w:before="29" w:after="29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2C5984" w:rsidRPr="00584B4F" w:rsidRDefault="002C5984" w:rsidP="002C5984">
            <w:pPr>
              <w:keepNext/>
              <w:adjustRightInd w:val="0"/>
              <w:spacing w:before="29" w:after="29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84B4F">
              <w:rPr>
                <w:rFonts w:ascii="Arial" w:hAnsi="Arial" w:cs="Arial"/>
                <w:b/>
                <w:bCs/>
                <w:color w:val="000000"/>
              </w:rPr>
              <w:t xml:space="preserve">Best Response by </w:t>
            </w:r>
            <w:proofErr w:type="spellStart"/>
            <w:r w:rsidRPr="00584B4F">
              <w:rPr>
                <w:rFonts w:ascii="Arial" w:hAnsi="Arial" w:cs="Arial"/>
                <w:b/>
                <w:bCs/>
                <w:color w:val="000000"/>
              </w:rPr>
              <w:t>Volumetrics</w:t>
            </w:r>
            <w:proofErr w:type="spellEnd"/>
          </w:p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</w:p>
        </w:tc>
      </w:tr>
      <w:tr w:rsidR="002C5984" w:rsidTr="0067195A">
        <w:tc>
          <w:tcPr>
            <w:tcW w:w="2335" w:type="dxa"/>
          </w:tcPr>
          <w:p w:rsidR="002C5984" w:rsidRPr="00584B4F" w:rsidRDefault="002C5984" w:rsidP="002C5984">
            <w:pPr>
              <w:keepNext/>
              <w:adjustRightInd w:val="0"/>
              <w:spacing w:before="29" w:after="29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2C5984" w:rsidRPr="00584B4F" w:rsidRDefault="002C5984" w:rsidP="002C5984">
            <w:pPr>
              <w:keepNext/>
              <w:adjustRightInd w:val="0"/>
              <w:spacing w:before="29" w:after="29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84B4F">
              <w:rPr>
                <w:rFonts w:ascii="Arial" w:hAnsi="Arial" w:cs="Arial"/>
                <w:b/>
                <w:bCs/>
                <w:color w:val="000000"/>
              </w:rPr>
              <w:t>Best Response by</w:t>
            </w:r>
          </w:p>
          <w:p w:rsidR="002C5984" w:rsidRPr="00584B4F" w:rsidRDefault="002C5984" w:rsidP="002C598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84B4F">
              <w:rPr>
                <w:rFonts w:ascii="Arial" w:hAnsi="Arial" w:cs="Arial"/>
                <w:b/>
                <w:bCs/>
                <w:color w:val="000000"/>
              </w:rPr>
              <w:t>modified RECIST</w:t>
            </w:r>
          </w:p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2C5984" w:rsidRPr="00584B4F" w:rsidRDefault="002C5984" w:rsidP="002C5984">
            <w:pPr>
              <w:jc w:val="center"/>
              <w:rPr>
                <w:rFonts w:ascii="Arial" w:hAnsi="Arial" w:cs="Arial"/>
                <w:b/>
              </w:rPr>
            </w:pPr>
          </w:p>
          <w:p w:rsidR="002C5984" w:rsidRPr="00584B4F" w:rsidRDefault="002C5984" w:rsidP="002C5984">
            <w:pPr>
              <w:jc w:val="center"/>
              <w:rPr>
                <w:rFonts w:ascii="Arial" w:hAnsi="Arial" w:cs="Arial"/>
                <w:b/>
              </w:rPr>
            </w:pPr>
            <w:r w:rsidRPr="00584B4F">
              <w:rPr>
                <w:rFonts w:ascii="Arial" w:hAnsi="Arial" w:cs="Arial"/>
                <w:b/>
              </w:rPr>
              <w:t>PR</w:t>
            </w:r>
          </w:p>
        </w:tc>
        <w:tc>
          <w:tcPr>
            <w:tcW w:w="1620" w:type="dxa"/>
          </w:tcPr>
          <w:p w:rsidR="002C5984" w:rsidRPr="00584B4F" w:rsidRDefault="002C5984" w:rsidP="002C5984">
            <w:pPr>
              <w:jc w:val="center"/>
              <w:rPr>
                <w:rFonts w:ascii="Arial" w:hAnsi="Arial" w:cs="Arial"/>
                <w:b/>
              </w:rPr>
            </w:pPr>
          </w:p>
          <w:p w:rsidR="002C5984" w:rsidRPr="00584B4F" w:rsidRDefault="002C5984" w:rsidP="002C5984">
            <w:pPr>
              <w:jc w:val="center"/>
              <w:rPr>
                <w:rFonts w:ascii="Arial" w:hAnsi="Arial" w:cs="Arial"/>
                <w:b/>
              </w:rPr>
            </w:pPr>
            <w:r w:rsidRPr="00584B4F">
              <w:rPr>
                <w:rFonts w:ascii="Arial" w:hAnsi="Arial" w:cs="Arial"/>
                <w:b/>
              </w:rPr>
              <w:t>SD</w:t>
            </w:r>
          </w:p>
        </w:tc>
        <w:tc>
          <w:tcPr>
            <w:tcW w:w="1710" w:type="dxa"/>
          </w:tcPr>
          <w:p w:rsidR="002C5984" w:rsidRPr="00584B4F" w:rsidRDefault="002C5984" w:rsidP="002C5984">
            <w:pPr>
              <w:jc w:val="center"/>
              <w:rPr>
                <w:rFonts w:ascii="Arial" w:hAnsi="Arial" w:cs="Arial"/>
                <w:b/>
              </w:rPr>
            </w:pPr>
          </w:p>
          <w:p w:rsidR="002C5984" w:rsidRPr="00584B4F" w:rsidRDefault="002C5984" w:rsidP="002C5984">
            <w:pPr>
              <w:jc w:val="center"/>
              <w:rPr>
                <w:rFonts w:ascii="Arial" w:hAnsi="Arial" w:cs="Arial"/>
                <w:b/>
              </w:rPr>
            </w:pPr>
            <w:r w:rsidRPr="00584B4F">
              <w:rPr>
                <w:rFonts w:ascii="Arial" w:hAnsi="Arial" w:cs="Arial"/>
                <w:b/>
              </w:rPr>
              <w:t>PD</w:t>
            </w:r>
          </w:p>
        </w:tc>
        <w:tc>
          <w:tcPr>
            <w:tcW w:w="1440" w:type="dxa"/>
          </w:tcPr>
          <w:p w:rsidR="002C5984" w:rsidRPr="00584B4F" w:rsidRDefault="002C5984" w:rsidP="002C5984">
            <w:pPr>
              <w:jc w:val="center"/>
              <w:rPr>
                <w:rFonts w:ascii="Arial" w:hAnsi="Arial" w:cs="Arial"/>
                <w:b/>
              </w:rPr>
            </w:pPr>
          </w:p>
          <w:p w:rsidR="002C5984" w:rsidRPr="00584B4F" w:rsidRDefault="002C5984" w:rsidP="002C5984">
            <w:pPr>
              <w:jc w:val="center"/>
              <w:rPr>
                <w:rFonts w:ascii="Arial" w:hAnsi="Arial" w:cs="Arial"/>
                <w:b/>
              </w:rPr>
            </w:pPr>
            <w:r w:rsidRPr="00584B4F">
              <w:rPr>
                <w:rFonts w:ascii="Arial" w:hAnsi="Arial" w:cs="Arial"/>
                <w:b/>
              </w:rPr>
              <w:t>Total</w:t>
            </w:r>
          </w:p>
        </w:tc>
      </w:tr>
      <w:tr w:rsidR="002C5984" w:rsidTr="0067195A">
        <w:tc>
          <w:tcPr>
            <w:tcW w:w="2335" w:type="dxa"/>
          </w:tcPr>
          <w:p w:rsidR="002C5984" w:rsidRPr="00584B4F" w:rsidRDefault="002C5984" w:rsidP="002C5984">
            <w:pPr>
              <w:jc w:val="center"/>
              <w:rPr>
                <w:rFonts w:ascii="Arial" w:hAnsi="Arial" w:cs="Arial"/>
                <w:b/>
              </w:rPr>
            </w:pPr>
          </w:p>
          <w:p w:rsidR="002C5984" w:rsidRPr="00584B4F" w:rsidRDefault="002C5984" w:rsidP="002C5984">
            <w:pPr>
              <w:jc w:val="center"/>
              <w:rPr>
                <w:rFonts w:ascii="Arial" w:hAnsi="Arial" w:cs="Arial"/>
                <w:b/>
              </w:rPr>
            </w:pPr>
            <w:r w:rsidRPr="00584B4F">
              <w:rPr>
                <w:rFonts w:ascii="Arial" w:hAnsi="Arial" w:cs="Arial"/>
                <w:b/>
              </w:rPr>
              <w:t>PR</w:t>
            </w:r>
          </w:p>
          <w:p w:rsidR="002C5984" w:rsidRPr="00584B4F" w:rsidRDefault="002C5984" w:rsidP="002C598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2C5984" w:rsidRPr="00584B4F" w:rsidRDefault="002C5984" w:rsidP="002C5984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2C5984" w:rsidRPr="0067195A" w:rsidRDefault="002C5984" w:rsidP="002C5984">
            <w:pPr>
              <w:jc w:val="center"/>
              <w:rPr>
                <w:rFonts w:ascii="Arial" w:hAnsi="Arial" w:cs="Arial"/>
                <w:b/>
              </w:rPr>
            </w:pPr>
            <w:r w:rsidRPr="0067195A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620" w:type="dxa"/>
          </w:tcPr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</w:p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  <w:r w:rsidRPr="00584B4F">
              <w:rPr>
                <w:rFonts w:ascii="Arial" w:hAnsi="Arial" w:cs="Arial"/>
              </w:rPr>
              <w:t>1</w:t>
            </w:r>
          </w:p>
        </w:tc>
        <w:tc>
          <w:tcPr>
            <w:tcW w:w="1710" w:type="dxa"/>
          </w:tcPr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</w:p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  <w:r w:rsidRPr="00584B4F"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</w:p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  <w:r w:rsidRPr="00584B4F">
              <w:rPr>
                <w:rFonts w:ascii="Arial" w:hAnsi="Arial" w:cs="Arial"/>
              </w:rPr>
              <w:t>4</w:t>
            </w:r>
          </w:p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  <w:r w:rsidRPr="00584B4F">
              <w:rPr>
                <w:rFonts w:ascii="Arial" w:hAnsi="Arial" w:cs="Arial"/>
              </w:rPr>
              <w:t>14.8%</w:t>
            </w:r>
          </w:p>
        </w:tc>
      </w:tr>
      <w:tr w:rsidR="002C5984" w:rsidTr="0067195A">
        <w:tc>
          <w:tcPr>
            <w:tcW w:w="2335" w:type="dxa"/>
          </w:tcPr>
          <w:p w:rsidR="002C5984" w:rsidRPr="00584B4F" w:rsidRDefault="002C5984" w:rsidP="002C5984">
            <w:pPr>
              <w:jc w:val="center"/>
              <w:rPr>
                <w:rFonts w:ascii="Arial" w:hAnsi="Arial" w:cs="Arial"/>
                <w:b/>
              </w:rPr>
            </w:pPr>
          </w:p>
          <w:p w:rsidR="002C5984" w:rsidRPr="00584B4F" w:rsidRDefault="002C5984" w:rsidP="002C5984">
            <w:pPr>
              <w:jc w:val="center"/>
              <w:rPr>
                <w:rFonts w:ascii="Arial" w:hAnsi="Arial" w:cs="Arial"/>
                <w:b/>
              </w:rPr>
            </w:pPr>
            <w:r w:rsidRPr="00584B4F">
              <w:rPr>
                <w:rFonts w:ascii="Arial" w:hAnsi="Arial" w:cs="Arial"/>
                <w:b/>
              </w:rPr>
              <w:t>SD</w:t>
            </w:r>
          </w:p>
        </w:tc>
        <w:tc>
          <w:tcPr>
            <w:tcW w:w="1620" w:type="dxa"/>
          </w:tcPr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</w:p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  <w:r w:rsidRPr="00584B4F">
              <w:rPr>
                <w:rFonts w:ascii="Arial" w:hAnsi="Arial" w:cs="Arial"/>
              </w:rPr>
              <w:t>3</w:t>
            </w:r>
          </w:p>
        </w:tc>
        <w:tc>
          <w:tcPr>
            <w:tcW w:w="1620" w:type="dxa"/>
          </w:tcPr>
          <w:p w:rsidR="002C5984" w:rsidRPr="00584B4F" w:rsidRDefault="002C5984" w:rsidP="002C5984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2C5984" w:rsidRPr="0067195A" w:rsidRDefault="002C5984" w:rsidP="002C5984">
            <w:pPr>
              <w:jc w:val="center"/>
              <w:rPr>
                <w:rFonts w:ascii="Arial" w:hAnsi="Arial" w:cs="Arial"/>
                <w:b/>
              </w:rPr>
            </w:pPr>
            <w:r w:rsidRPr="0067195A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710" w:type="dxa"/>
          </w:tcPr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</w:p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  <w:r w:rsidRPr="00584B4F">
              <w:rPr>
                <w:rFonts w:ascii="Arial" w:hAnsi="Arial" w:cs="Arial"/>
              </w:rPr>
              <w:t>2</w:t>
            </w:r>
          </w:p>
        </w:tc>
        <w:tc>
          <w:tcPr>
            <w:tcW w:w="1440" w:type="dxa"/>
          </w:tcPr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</w:p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  <w:r w:rsidRPr="00584B4F">
              <w:rPr>
                <w:rFonts w:ascii="Arial" w:hAnsi="Arial" w:cs="Arial"/>
              </w:rPr>
              <w:t>11</w:t>
            </w:r>
          </w:p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  <w:r w:rsidRPr="00584B4F">
              <w:rPr>
                <w:rFonts w:ascii="Arial" w:hAnsi="Arial" w:cs="Arial"/>
              </w:rPr>
              <w:t>40.7%</w:t>
            </w:r>
          </w:p>
        </w:tc>
      </w:tr>
      <w:tr w:rsidR="002C5984" w:rsidTr="0067195A">
        <w:tc>
          <w:tcPr>
            <w:tcW w:w="2335" w:type="dxa"/>
          </w:tcPr>
          <w:p w:rsidR="002C5984" w:rsidRPr="00584B4F" w:rsidRDefault="002C5984" w:rsidP="002C5984">
            <w:pPr>
              <w:jc w:val="center"/>
              <w:rPr>
                <w:rFonts w:ascii="Arial" w:hAnsi="Arial" w:cs="Arial"/>
                <w:b/>
              </w:rPr>
            </w:pPr>
          </w:p>
          <w:p w:rsidR="002C5984" w:rsidRPr="00584B4F" w:rsidRDefault="002C5984" w:rsidP="002C5984">
            <w:pPr>
              <w:jc w:val="center"/>
              <w:rPr>
                <w:rFonts w:ascii="Arial" w:hAnsi="Arial" w:cs="Arial"/>
                <w:b/>
              </w:rPr>
            </w:pPr>
            <w:r w:rsidRPr="00584B4F">
              <w:rPr>
                <w:rFonts w:ascii="Arial" w:hAnsi="Arial" w:cs="Arial"/>
                <w:b/>
              </w:rPr>
              <w:t>PD</w:t>
            </w:r>
          </w:p>
        </w:tc>
        <w:tc>
          <w:tcPr>
            <w:tcW w:w="1620" w:type="dxa"/>
          </w:tcPr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</w:p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  <w:r w:rsidRPr="00584B4F"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</w:p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  <w:r w:rsidRPr="00584B4F">
              <w:rPr>
                <w:rFonts w:ascii="Arial" w:hAnsi="Arial" w:cs="Arial"/>
              </w:rPr>
              <w:t>4</w:t>
            </w:r>
          </w:p>
        </w:tc>
        <w:tc>
          <w:tcPr>
            <w:tcW w:w="1710" w:type="dxa"/>
          </w:tcPr>
          <w:p w:rsidR="002C5984" w:rsidRPr="00584B4F" w:rsidRDefault="002C5984" w:rsidP="002C5984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2C5984" w:rsidRPr="0067195A" w:rsidRDefault="002C5984" w:rsidP="002C5984">
            <w:pPr>
              <w:jc w:val="center"/>
              <w:rPr>
                <w:rFonts w:ascii="Arial" w:hAnsi="Arial" w:cs="Arial"/>
                <w:b/>
              </w:rPr>
            </w:pPr>
            <w:r w:rsidRPr="0067195A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440" w:type="dxa"/>
          </w:tcPr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</w:p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  <w:r w:rsidRPr="00584B4F">
              <w:rPr>
                <w:rFonts w:ascii="Arial" w:hAnsi="Arial" w:cs="Arial"/>
              </w:rPr>
              <w:t>12</w:t>
            </w:r>
          </w:p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  <w:r w:rsidRPr="00584B4F">
              <w:rPr>
                <w:rFonts w:ascii="Arial" w:hAnsi="Arial" w:cs="Arial"/>
              </w:rPr>
              <w:t>44.4%</w:t>
            </w:r>
          </w:p>
        </w:tc>
      </w:tr>
      <w:tr w:rsidR="002C5984" w:rsidTr="0067195A">
        <w:tc>
          <w:tcPr>
            <w:tcW w:w="2335" w:type="dxa"/>
          </w:tcPr>
          <w:p w:rsidR="002C5984" w:rsidRPr="00584B4F" w:rsidRDefault="002C5984" w:rsidP="002C5984">
            <w:pPr>
              <w:jc w:val="center"/>
              <w:rPr>
                <w:rFonts w:ascii="Arial" w:hAnsi="Arial" w:cs="Arial"/>
                <w:b/>
              </w:rPr>
            </w:pPr>
          </w:p>
          <w:p w:rsidR="002C5984" w:rsidRPr="00584B4F" w:rsidRDefault="002C5984" w:rsidP="002C5984">
            <w:pPr>
              <w:jc w:val="center"/>
              <w:rPr>
                <w:rFonts w:ascii="Arial" w:hAnsi="Arial" w:cs="Arial"/>
                <w:b/>
              </w:rPr>
            </w:pPr>
            <w:r w:rsidRPr="00584B4F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620" w:type="dxa"/>
          </w:tcPr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</w:p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  <w:r w:rsidRPr="00584B4F">
              <w:rPr>
                <w:rFonts w:ascii="Arial" w:hAnsi="Arial" w:cs="Arial"/>
              </w:rPr>
              <w:t>6</w:t>
            </w:r>
          </w:p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  <w:r w:rsidRPr="00584B4F">
              <w:rPr>
                <w:rFonts w:ascii="Arial" w:hAnsi="Arial" w:cs="Arial"/>
              </w:rPr>
              <w:t>22%</w:t>
            </w:r>
          </w:p>
        </w:tc>
        <w:tc>
          <w:tcPr>
            <w:tcW w:w="1620" w:type="dxa"/>
          </w:tcPr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</w:p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  <w:r w:rsidRPr="00584B4F">
              <w:rPr>
                <w:rFonts w:ascii="Arial" w:hAnsi="Arial" w:cs="Arial"/>
              </w:rPr>
              <w:t>11</w:t>
            </w:r>
          </w:p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  <w:r w:rsidRPr="00584B4F">
              <w:rPr>
                <w:rFonts w:ascii="Arial" w:hAnsi="Arial" w:cs="Arial"/>
              </w:rPr>
              <w:t>40.7%</w:t>
            </w:r>
          </w:p>
        </w:tc>
        <w:tc>
          <w:tcPr>
            <w:tcW w:w="1710" w:type="dxa"/>
          </w:tcPr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</w:p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  <w:r w:rsidRPr="00584B4F">
              <w:rPr>
                <w:rFonts w:ascii="Arial" w:hAnsi="Arial" w:cs="Arial"/>
              </w:rPr>
              <w:t>10</w:t>
            </w:r>
          </w:p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  <w:r w:rsidRPr="00584B4F">
              <w:rPr>
                <w:rFonts w:ascii="Arial" w:hAnsi="Arial" w:cs="Arial"/>
              </w:rPr>
              <w:t>37%</w:t>
            </w:r>
          </w:p>
        </w:tc>
        <w:tc>
          <w:tcPr>
            <w:tcW w:w="1440" w:type="dxa"/>
          </w:tcPr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</w:p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  <w:r w:rsidRPr="00584B4F">
              <w:rPr>
                <w:rFonts w:ascii="Arial" w:hAnsi="Arial" w:cs="Arial"/>
              </w:rPr>
              <w:t>27</w:t>
            </w:r>
          </w:p>
          <w:p w:rsidR="002C5984" w:rsidRPr="00584B4F" w:rsidRDefault="002C5984" w:rsidP="002C5984">
            <w:pPr>
              <w:jc w:val="center"/>
              <w:rPr>
                <w:rFonts w:ascii="Arial" w:hAnsi="Arial" w:cs="Arial"/>
              </w:rPr>
            </w:pPr>
            <w:r w:rsidRPr="00584B4F">
              <w:rPr>
                <w:rFonts w:ascii="Arial" w:hAnsi="Arial" w:cs="Arial"/>
              </w:rPr>
              <w:t>100%</w:t>
            </w:r>
          </w:p>
          <w:p w:rsidR="00584B4F" w:rsidRPr="00584B4F" w:rsidRDefault="00584B4F" w:rsidP="002C5984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1216F" w:rsidRDefault="0041216F"/>
    <w:p w:rsidR="00EC1FB5" w:rsidRDefault="00EC1FB5">
      <w:r>
        <w:br w:type="page"/>
      </w:r>
    </w:p>
    <w:p w:rsidR="00EC1FB5" w:rsidRPr="00A7791C" w:rsidRDefault="00EC1FB5" w:rsidP="00EC1FB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u w:val="single"/>
        </w:rPr>
      </w:pPr>
      <w:r w:rsidRPr="00A7791C">
        <w:rPr>
          <w:rFonts w:ascii="Arial" w:eastAsia="Calibri" w:hAnsi="Arial" w:cs="Arial"/>
          <w:b/>
          <w:color w:val="000000"/>
          <w:u w:val="single"/>
        </w:rPr>
        <w:lastRenderedPageBreak/>
        <w:t>Supplemental Table 2</w:t>
      </w:r>
      <w:r w:rsidRPr="00A7791C">
        <w:rPr>
          <w:rFonts w:ascii="Arial" w:eastAsia="Calibri" w:hAnsi="Arial" w:cs="Arial"/>
          <w:color w:val="000000"/>
          <w:u w:val="single"/>
        </w:rPr>
        <w:t>.</w:t>
      </w:r>
      <w:r w:rsidRPr="00A7791C">
        <w:rPr>
          <w:rFonts w:ascii="Arial" w:eastAsia="Calibri" w:hAnsi="Arial" w:cs="Arial"/>
          <w:color w:val="000000"/>
        </w:rPr>
        <w:t xml:space="preserve"> Health-related quality of life scores at pre-study and first follow-up assessment (n = 25) as well as comparison of change in health-related quality of life (HRQL) from pre-study to first follow-</w:t>
      </w:r>
      <w:proofErr w:type="spellStart"/>
      <w:r w:rsidRPr="00A7791C">
        <w:rPr>
          <w:rFonts w:ascii="Arial" w:eastAsia="Calibri" w:hAnsi="Arial" w:cs="Arial"/>
          <w:color w:val="000000"/>
        </w:rPr>
        <w:t>up</w:t>
      </w:r>
      <w:r w:rsidRPr="00A7791C">
        <w:rPr>
          <w:rFonts w:ascii="Arial" w:eastAsia="Calibri" w:hAnsi="Arial" w:cs="Arial"/>
          <w:color w:val="000000"/>
          <w:vertAlign w:val="superscript"/>
        </w:rPr>
        <w:t>a</w:t>
      </w:r>
      <w:proofErr w:type="spellEnd"/>
      <w:r w:rsidRPr="00A7791C">
        <w:rPr>
          <w:rFonts w:ascii="Arial" w:eastAsia="Calibri" w:hAnsi="Arial" w:cs="Arial"/>
          <w:color w:val="000000"/>
        </w:rPr>
        <w:t xml:space="preserve"> between those who received vs. did not receive a clinical benefit from treatment.</w:t>
      </w:r>
    </w:p>
    <w:p w:rsidR="00EC1FB5" w:rsidRPr="00A7791C" w:rsidRDefault="00EC1FB5" w:rsidP="00EC1FB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u w:val="single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808"/>
        <w:gridCol w:w="1890"/>
        <w:gridCol w:w="1944"/>
        <w:gridCol w:w="2214"/>
      </w:tblGrid>
      <w:tr w:rsidR="00EC1FB5" w:rsidRPr="00A7791C" w:rsidTr="002F177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</w:p>
          <w:p w:rsidR="00EC1FB5" w:rsidRPr="00A7791C" w:rsidRDefault="00EC1FB5" w:rsidP="002F1775">
            <w:pPr>
              <w:rPr>
                <w:rFonts w:ascii="Arial" w:eastAsia="Calibri" w:hAnsi="Arial" w:cs="Arial"/>
                <w:b/>
              </w:rPr>
            </w:pPr>
            <w:r w:rsidRPr="00A7791C">
              <w:rPr>
                <w:rFonts w:ascii="Arial" w:eastAsia="Calibri" w:hAnsi="Arial" w:cs="Arial"/>
                <w:b/>
                <w:color w:val="000000"/>
              </w:rPr>
              <w:t>Health-related quality of life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</w:rPr>
            </w:pPr>
          </w:p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Baseline:</w:t>
            </w:r>
          </w:p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Mean (SD)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</w:rPr>
            </w:pPr>
          </w:p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  <w:vertAlign w:val="superscript"/>
              </w:rPr>
            </w:pPr>
            <w:proofErr w:type="spellStart"/>
            <w:r w:rsidRPr="00A7791C">
              <w:rPr>
                <w:rFonts w:ascii="Arial" w:eastAsia="Calibri" w:hAnsi="Arial" w:cs="Arial"/>
              </w:rPr>
              <w:t>Follow-up:</w:t>
            </w:r>
            <w:r w:rsidRPr="00A7791C">
              <w:rPr>
                <w:rFonts w:ascii="Arial" w:eastAsia="Calibri" w:hAnsi="Arial" w:cs="Arial"/>
                <w:vertAlign w:val="superscript"/>
              </w:rPr>
              <w:t>a</w:t>
            </w:r>
            <w:proofErr w:type="spellEnd"/>
          </w:p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Mean (SD)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</w:rPr>
            </w:pPr>
          </w:p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Paired t-test</w:t>
            </w:r>
          </w:p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</w:rPr>
            </w:pPr>
          </w:p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EC1FB5" w:rsidRPr="00A7791C" w:rsidTr="002F177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Physical well-being</w:t>
            </w:r>
          </w:p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22.0 (4.3)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18.6 (7.1)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3.1</w:t>
            </w:r>
            <w:r w:rsidRPr="00A7791C">
              <w:rPr>
                <w:rFonts w:ascii="Arial" w:eastAsia="Calibri" w:hAnsi="Arial" w:cs="Arial"/>
                <w:i/>
              </w:rPr>
              <w:t>, p&lt;.01</w:t>
            </w:r>
          </w:p>
        </w:tc>
      </w:tr>
      <w:tr w:rsidR="00EC1FB5" w:rsidRPr="00A7791C" w:rsidTr="002F177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Emotional well-being</w:t>
            </w:r>
          </w:p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17.5 (4.1)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16.5 (4.0)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 xml:space="preserve">1.1, </w:t>
            </w:r>
            <w:r w:rsidRPr="00A7791C">
              <w:rPr>
                <w:rFonts w:ascii="Arial" w:eastAsia="Calibri" w:hAnsi="Arial" w:cs="Arial"/>
                <w:i/>
              </w:rPr>
              <w:t>ns</w:t>
            </w:r>
          </w:p>
        </w:tc>
      </w:tr>
      <w:tr w:rsidR="00EC1FB5" w:rsidRPr="00A7791C" w:rsidTr="002F177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Social/family well-being</w:t>
            </w:r>
          </w:p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23.9 (3.4)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23.3 (3.7)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 xml:space="preserve">1.0, </w:t>
            </w:r>
            <w:r w:rsidRPr="00A7791C">
              <w:rPr>
                <w:rFonts w:ascii="Arial" w:eastAsia="Calibri" w:hAnsi="Arial" w:cs="Arial"/>
                <w:i/>
              </w:rPr>
              <w:t>ns</w:t>
            </w:r>
          </w:p>
        </w:tc>
      </w:tr>
      <w:tr w:rsidR="00EC1FB5" w:rsidRPr="00A7791C" w:rsidTr="002F177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Functional well-being</w:t>
            </w:r>
          </w:p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16.5  (6.1)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14.7  (5.3)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 xml:space="preserve">1.6, </w:t>
            </w:r>
            <w:r w:rsidRPr="00A7791C">
              <w:rPr>
                <w:rFonts w:ascii="Arial" w:eastAsia="Calibri" w:hAnsi="Arial" w:cs="Arial"/>
                <w:i/>
              </w:rPr>
              <w:t>ns</w:t>
            </w:r>
          </w:p>
        </w:tc>
      </w:tr>
      <w:tr w:rsidR="00EC1FB5" w:rsidRPr="00A7791C" w:rsidTr="002F177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Breast cancer subscale</w:t>
            </w:r>
          </w:p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25.5 (6.3)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25.0 (5.1)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 xml:space="preserve">.5, </w:t>
            </w:r>
            <w:r w:rsidRPr="00A7791C">
              <w:rPr>
                <w:rFonts w:ascii="Arial" w:eastAsia="Calibri" w:hAnsi="Arial" w:cs="Arial"/>
                <w:i/>
              </w:rPr>
              <w:t>ns</w:t>
            </w:r>
          </w:p>
        </w:tc>
      </w:tr>
      <w:tr w:rsidR="00EC1FB5" w:rsidRPr="00A7791C" w:rsidTr="002F177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Brain cancer subscale</w:t>
            </w:r>
          </w:p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69.4 (16.3)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65.1 (14.9)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 xml:space="preserve">1.7, </w:t>
            </w:r>
            <w:r w:rsidRPr="00A7791C">
              <w:rPr>
                <w:rFonts w:ascii="Arial" w:eastAsia="Calibri" w:hAnsi="Arial" w:cs="Arial"/>
                <w:i/>
              </w:rPr>
              <w:t>ns</w:t>
            </w:r>
          </w:p>
        </w:tc>
      </w:tr>
      <w:tr w:rsidR="00EC1FB5" w:rsidRPr="00A7791C" w:rsidTr="002F177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C1FB5" w:rsidRPr="00A7791C" w:rsidRDefault="00EC1FB5" w:rsidP="002F1775">
            <w:pPr>
              <w:rPr>
                <w:rFonts w:ascii="Arial" w:eastAsia="Calibri" w:hAnsi="Arial" w:cs="Arial"/>
                <w:b/>
              </w:rPr>
            </w:pPr>
          </w:p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  <w:b/>
                <w:color w:val="000000"/>
              </w:rPr>
              <w:t>Health-related quality of life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 xml:space="preserve">Change for those </w:t>
            </w:r>
            <w:r w:rsidRPr="00A7791C">
              <w:rPr>
                <w:rFonts w:ascii="Arial" w:eastAsia="Calibri" w:hAnsi="Arial" w:cs="Arial"/>
                <w:i/>
              </w:rPr>
              <w:t>with</w:t>
            </w:r>
            <w:r w:rsidRPr="00A7791C">
              <w:rPr>
                <w:rFonts w:ascii="Arial" w:eastAsia="Calibri" w:hAnsi="Arial" w:cs="Arial"/>
              </w:rPr>
              <w:t xml:space="preserve"> clinical benefit (n=8):</w:t>
            </w:r>
          </w:p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Mean  (SD)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 xml:space="preserve">Change for those </w:t>
            </w:r>
            <w:r w:rsidRPr="00A7791C">
              <w:rPr>
                <w:rFonts w:ascii="Arial" w:eastAsia="Calibri" w:hAnsi="Arial" w:cs="Arial"/>
                <w:i/>
              </w:rPr>
              <w:t>without</w:t>
            </w:r>
            <w:r w:rsidRPr="00A7791C">
              <w:rPr>
                <w:rFonts w:ascii="Arial" w:eastAsia="Calibri" w:hAnsi="Arial" w:cs="Arial"/>
              </w:rPr>
              <w:t xml:space="preserve"> clinical benefit (n=16):</w:t>
            </w:r>
          </w:p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Mean (SD)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</w:rPr>
            </w:pPr>
          </w:p>
          <w:p w:rsidR="00EC1FB5" w:rsidRPr="00A7791C" w:rsidRDefault="00EC1FB5" w:rsidP="002F1775">
            <w:pPr>
              <w:jc w:val="center"/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Independent samples t-test</w:t>
            </w:r>
          </w:p>
        </w:tc>
      </w:tr>
      <w:tr w:rsidR="00EC1FB5" w:rsidRPr="00A7791C" w:rsidTr="002F177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Physical well-being</w:t>
            </w:r>
          </w:p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-1.2 (3.8)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-4.6 (6.0)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-1.7, ns</w:t>
            </w:r>
          </w:p>
        </w:tc>
      </w:tr>
      <w:tr w:rsidR="00EC1FB5" w:rsidRPr="00A7791C" w:rsidTr="002F177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Emotional well-being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 xml:space="preserve">  -.1 (5.9)</w:t>
            </w:r>
          </w:p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-1.5 (4.3)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 xml:space="preserve"> -.60, ns</w:t>
            </w:r>
          </w:p>
        </w:tc>
      </w:tr>
      <w:tr w:rsidR="00EC1FB5" w:rsidRPr="00A7791C" w:rsidTr="002F177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Social/family well-being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 xml:space="preserve">  -.9 (3.6)</w:t>
            </w:r>
          </w:p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 xml:space="preserve">  -.4 (2.2)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 xml:space="preserve">  .37, ns</w:t>
            </w:r>
          </w:p>
        </w:tc>
      </w:tr>
      <w:tr w:rsidR="00EC1FB5" w:rsidRPr="00A7791C" w:rsidTr="002F177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Functional well-being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 xml:space="preserve">  -.9 (5.5)</w:t>
            </w:r>
          </w:p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-2.3 (5.8)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 xml:space="preserve"> -.59, ns</w:t>
            </w:r>
          </w:p>
        </w:tc>
      </w:tr>
      <w:tr w:rsidR="00EC1FB5" w:rsidRPr="00A7791C" w:rsidTr="002F177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Breast cancer subscale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 xml:space="preserve">  -.6 (6.3)</w:t>
            </w:r>
          </w:p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 xml:space="preserve">  -.4 (4.4)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 xml:space="preserve">  .09, ns</w:t>
            </w:r>
          </w:p>
        </w:tc>
      </w:tr>
      <w:tr w:rsidR="00EC1FB5" w:rsidRPr="00A7791C" w:rsidTr="002F177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Brain cancer subscale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-1.5 (8.2)</w:t>
            </w:r>
          </w:p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>-5.9 (13.8)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B5" w:rsidRPr="00A7791C" w:rsidRDefault="00EC1FB5" w:rsidP="002F1775">
            <w:pPr>
              <w:rPr>
                <w:rFonts w:ascii="Arial" w:eastAsia="Calibri" w:hAnsi="Arial" w:cs="Arial"/>
              </w:rPr>
            </w:pPr>
            <w:r w:rsidRPr="00A7791C">
              <w:rPr>
                <w:rFonts w:ascii="Arial" w:eastAsia="Calibri" w:hAnsi="Arial" w:cs="Arial"/>
              </w:rPr>
              <w:t xml:space="preserve"> -.93, ns</w:t>
            </w:r>
          </w:p>
        </w:tc>
      </w:tr>
    </w:tbl>
    <w:p w:rsidR="00EC1FB5" w:rsidRPr="00A7791C" w:rsidRDefault="00EC1FB5" w:rsidP="00EC1FB5">
      <w:pPr>
        <w:spacing w:before="120" w:after="120" w:line="240" w:lineRule="auto"/>
        <w:rPr>
          <w:rFonts w:ascii="Arial" w:eastAsia="Calibri" w:hAnsi="Arial" w:cs="Arial"/>
        </w:rPr>
      </w:pPr>
      <w:proofErr w:type="spellStart"/>
      <w:proofErr w:type="gramStart"/>
      <w:r w:rsidRPr="00A7791C">
        <w:rPr>
          <w:rFonts w:ascii="Arial" w:eastAsia="Calibri" w:hAnsi="Arial" w:cs="Arial"/>
          <w:vertAlign w:val="superscript"/>
        </w:rPr>
        <w:t>a</w:t>
      </w:r>
      <w:proofErr w:type="spellEnd"/>
      <w:proofErr w:type="gramEnd"/>
      <w:r w:rsidRPr="00A7791C">
        <w:rPr>
          <w:rFonts w:ascii="Arial" w:eastAsia="Calibri" w:hAnsi="Arial" w:cs="Arial"/>
        </w:rPr>
        <w:t xml:space="preserve"> For 15 subjects, this HRQL was obtained at the end of cycle 3;  for 10 subjects, it was obtained in the end of treatment evaluation that was held within the same 9 week timeframe.  </w:t>
      </w:r>
    </w:p>
    <w:p w:rsidR="00EC1FB5" w:rsidRPr="00A7791C" w:rsidRDefault="00EC1FB5" w:rsidP="00EC1FB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u w:val="single"/>
        </w:rPr>
      </w:pPr>
    </w:p>
    <w:p w:rsidR="00EC1FB5" w:rsidRDefault="00EC1FB5" w:rsidP="00EC1FB5"/>
    <w:p w:rsidR="0041216F" w:rsidRDefault="0041216F" w:rsidP="00EC1FB5"/>
    <w:sectPr w:rsidR="004121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E7"/>
    <w:rsid w:val="00146F36"/>
    <w:rsid w:val="002C5984"/>
    <w:rsid w:val="002F3DE7"/>
    <w:rsid w:val="003C1A0B"/>
    <w:rsid w:val="0041216F"/>
    <w:rsid w:val="00584B4F"/>
    <w:rsid w:val="0067195A"/>
    <w:rsid w:val="00841FC9"/>
    <w:rsid w:val="00C66E72"/>
    <w:rsid w:val="00D73C3E"/>
    <w:rsid w:val="00DE2975"/>
    <w:rsid w:val="00EC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23F2C6-CE92-406F-AE85-DB6D228B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59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EC1FB5"/>
    <w:pPr>
      <w:spacing w:after="0" w:line="240" w:lineRule="auto"/>
    </w:pPr>
    <w:rPr>
      <w:rFonts w:eastAsia="MS Mincho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North Carolina at Chapel Hill</Company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Anders, Carey Kernodle</dc:creator>
  <cp:keywords/>
  <dc:description/>
  <cp:lastModifiedBy>Anders, Carey Kernodle</cp:lastModifiedBy>
  <cp:revision>2</cp:revision>
  <dcterms:created xsi:type="dcterms:W3CDTF">2014-01-05T13:40:00Z</dcterms:created>
  <dcterms:modified xsi:type="dcterms:W3CDTF">2014-01-05T13:40:00Z</dcterms:modified>
</cp:coreProperties>
</file>