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E93" w:rsidRDefault="004B2F33">
      <w:pPr>
        <w:rPr>
          <w:rFonts w:ascii="Arial" w:hAnsi="Arial" w:cs="Arial"/>
          <w:sz w:val="24"/>
          <w:u w:val="single"/>
        </w:rPr>
      </w:pPr>
      <w:r w:rsidRPr="004B2F33">
        <w:rPr>
          <w:rFonts w:ascii="Arial" w:hAnsi="Arial" w:cs="Arial"/>
          <w:sz w:val="24"/>
          <w:u w:val="single"/>
        </w:rPr>
        <w:t>Supplemental Results</w:t>
      </w:r>
    </w:p>
    <w:p w:rsidR="004B2F33" w:rsidRDefault="004B2F33">
      <w:pPr>
        <w:rPr>
          <w:rFonts w:ascii="Arial" w:hAnsi="Arial" w:cs="Arial"/>
          <w:sz w:val="24"/>
          <w:u w:val="single"/>
        </w:rPr>
      </w:pPr>
    </w:p>
    <w:p w:rsidR="004B2F33" w:rsidRDefault="004B2F33" w:rsidP="004B2F33">
      <w:pPr>
        <w:spacing w:line="480" w:lineRule="auto"/>
        <w:jc w:val="both"/>
        <w:rPr>
          <w:rFonts w:ascii="Arial" w:hAnsi="Arial" w:cs="Arial"/>
          <w:i/>
          <w:sz w:val="24"/>
          <w:szCs w:val="24"/>
          <w:u w:val="single"/>
        </w:rPr>
      </w:pPr>
      <w:r w:rsidRPr="004B2F33">
        <w:rPr>
          <w:rFonts w:ascii="Arial" w:hAnsi="Arial" w:cs="Arial"/>
          <w:i/>
          <w:sz w:val="24"/>
          <w:szCs w:val="24"/>
          <w:u w:val="single"/>
        </w:rPr>
        <w:t xml:space="preserve">Volumetric Analysis of Intracranial Response  </w:t>
      </w:r>
    </w:p>
    <w:p w:rsidR="004B2F33" w:rsidRPr="004B2F33" w:rsidRDefault="004B2F33" w:rsidP="004B2F33">
      <w:pPr>
        <w:spacing w:line="480" w:lineRule="auto"/>
        <w:jc w:val="both"/>
        <w:rPr>
          <w:rFonts w:ascii="Arial" w:hAnsi="Arial" w:cs="Arial"/>
          <w:sz w:val="24"/>
          <w:szCs w:val="24"/>
        </w:rPr>
      </w:pPr>
      <w:r w:rsidRPr="00051C3F">
        <w:rPr>
          <w:rFonts w:ascii="Arial" w:hAnsi="Arial" w:cs="Arial"/>
          <w:sz w:val="24"/>
          <w:szCs w:val="24"/>
        </w:rPr>
        <w:t>Specifically, 3 SD responses by modified RECIST criteria were classified as PR by volumetric criteria, while 4 PD responses by modified RECIST were classified as SD by volumetric analysis.  No PR as determined by volumetric criteria was classified as PD, by modified RECIST criteria, and vice versa.  Moreover, no PD as determined by volumetric criteria was classified as a PR by modified RECIST, and vice versa.  Finally, the association of modified RECIST and volumetric criteria for intracranial response with overall survival was evaluated.</w:t>
      </w:r>
      <w:r w:rsidR="00183915" w:rsidRPr="00183915">
        <w:rPr>
          <w:rFonts w:ascii="Arial" w:hAnsi="Arial" w:cs="Arial"/>
          <w:sz w:val="24"/>
          <w:szCs w:val="24"/>
        </w:rPr>
        <w:t xml:space="preserve"> </w:t>
      </w:r>
      <w:r w:rsidR="00183915" w:rsidRPr="00051C3F">
        <w:rPr>
          <w:rFonts w:ascii="Arial" w:hAnsi="Arial" w:cs="Arial"/>
          <w:sz w:val="24"/>
          <w:szCs w:val="24"/>
        </w:rPr>
        <w:t xml:space="preserve">Achieving a PR by RECIST criteria was significantly associated with </w:t>
      </w:r>
      <w:r w:rsidR="00183915">
        <w:rPr>
          <w:rFonts w:ascii="Arial" w:hAnsi="Arial" w:cs="Arial"/>
          <w:sz w:val="24"/>
          <w:szCs w:val="24"/>
        </w:rPr>
        <w:t>OS (HR=0.12, 95%CI 0.015-0.877</w:t>
      </w:r>
      <w:r w:rsidR="00183915" w:rsidRPr="00051C3F">
        <w:rPr>
          <w:rFonts w:ascii="Arial" w:hAnsi="Arial" w:cs="Arial"/>
          <w:sz w:val="24"/>
          <w:szCs w:val="24"/>
        </w:rPr>
        <w:t>, p=0.037), while a PR as determined by volumetric criteria did not (HR=0.</w:t>
      </w:r>
      <w:r w:rsidR="00183915">
        <w:rPr>
          <w:rFonts w:ascii="Arial" w:hAnsi="Arial" w:cs="Arial"/>
          <w:sz w:val="24"/>
          <w:szCs w:val="24"/>
        </w:rPr>
        <w:t>41, 95%</w:t>
      </w:r>
      <w:r w:rsidR="00183915" w:rsidRPr="00051C3F">
        <w:rPr>
          <w:rFonts w:ascii="Arial" w:hAnsi="Arial" w:cs="Arial"/>
          <w:sz w:val="24"/>
          <w:szCs w:val="24"/>
        </w:rPr>
        <w:t>CI</w:t>
      </w:r>
      <w:r w:rsidR="00183915">
        <w:rPr>
          <w:rFonts w:ascii="Arial" w:hAnsi="Arial" w:cs="Arial"/>
          <w:sz w:val="24"/>
          <w:szCs w:val="24"/>
        </w:rPr>
        <w:t xml:space="preserve"> 0.120-1.39</w:t>
      </w:r>
      <w:r w:rsidR="00183915" w:rsidRPr="00051C3F">
        <w:rPr>
          <w:rFonts w:ascii="Arial" w:hAnsi="Arial" w:cs="Arial"/>
          <w:sz w:val="24"/>
          <w:szCs w:val="24"/>
        </w:rPr>
        <w:t xml:space="preserve">, p=0.15).    </w:t>
      </w:r>
    </w:p>
    <w:p w:rsidR="00431AE5" w:rsidRDefault="00431AE5" w:rsidP="004B2F33">
      <w:pPr>
        <w:spacing w:line="480" w:lineRule="auto"/>
        <w:jc w:val="both"/>
        <w:rPr>
          <w:rFonts w:ascii="Arial" w:hAnsi="Arial" w:cs="Arial"/>
          <w:i/>
          <w:sz w:val="24"/>
          <w:szCs w:val="24"/>
          <w:u w:val="single"/>
        </w:rPr>
      </w:pPr>
    </w:p>
    <w:p w:rsidR="004B2F33" w:rsidRPr="00051C3F" w:rsidRDefault="004B2F33" w:rsidP="004B2F33">
      <w:pPr>
        <w:spacing w:line="480" w:lineRule="auto"/>
        <w:jc w:val="both"/>
        <w:rPr>
          <w:rFonts w:ascii="Arial" w:hAnsi="Arial" w:cs="Arial"/>
          <w:i/>
          <w:sz w:val="24"/>
          <w:szCs w:val="24"/>
          <w:u w:val="single"/>
        </w:rPr>
      </w:pPr>
      <w:r w:rsidRPr="00051C3F">
        <w:rPr>
          <w:rFonts w:ascii="Arial" w:hAnsi="Arial" w:cs="Arial"/>
          <w:i/>
          <w:sz w:val="24"/>
          <w:szCs w:val="24"/>
          <w:u w:val="single"/>
        </w:rPr>
        <w:t>Health-related Quality of Life (HRQL).</w:t>
      </w:r>
    </w:p>
    <w:p w:rsidR="004B2F33" w:rsidRPr="00051C3F" w:rsidRDefault="004B2F33" w:rsidP="004B2F33">
      <w:pPr>
        <w:spacing w:line="480" w:lineRule="auto"/>
        <w:ind w:firstLine="720"/>
        <w:jc w:val="both"/>
        <w:rPr>
          <w:rFonts w:ascii="Arial" w:hAnsi="Arial" w:cs="Arial"/>
          <w:sz w:val="24"/>
          <w:szCs w:val="24"/>
        </w:rPr>
      </w:pPr>
      <w:r w:rsidRPr="00051C3F">
        <w:rPr>
          <w:rFonts w:ascii="Arial" w:hAnsi="Arial" w:cs="Arial"/>
          <w:sz w:val="24"/>
          <w:szCs w:val="24"/>
        </w:rPr>
        <w:t>Of the 37, 11 completed the baseline HRQL only, and 25 completed at least a baseline and one follow-up HRQL. One subject did not complete the baseline but did complete subsequent assessments; this subject was excluded from the HRQ</w:t>
      </w:r>
      <w:bookmarkStart w:id="0" w:name="_GoBack"/>
      <w:bookmarkEnd w:id="0"/>
      <w:r w:rsidRPr="00051C3F">
        <w:rPr>
          <w:rFonts w:ascii="Arial" w:hAnsi="Arial" w:cs="Arial"/>
          <w:sz w:val="24"/>
          <w:szCs w:val="24"/>
        </w:rPr>
        <w:t>L analysis.  For the HRQL analyses, all subjects with data from at least two time points (baseline and one other) were included (n = 25).  For 15 of the 25, the second time point was cycle 3; for the remaining 10 participants, the second time point was end of treatment.  Because of the small sample size, it was not possible to analyze the HRQL data with a general linear model that would allow the use of all possible data. Therefore, results should be considered preliminary.</w:t>
      </w:r>
    </w:p>
    <w:p w:rsidR="004B2F33" w:rsidRPr="004B2F33" w:rsidRDefault="004B2F33">
      <w:pPr>
        <w:rPr>
          <w:rFonts w:ascii="Arial" w:hAnsi="Arial" w:cs="Arial"/>
          <w:sz w:val="24"/>
          <w:u w:val="single"/>
        </w:rPr>
      </w:pPr>
    </w:p>
    <w:sectPr w:rsidR="004B2F33" w:rsidRPr="004B2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EA"/>
    <w:rsid w:val="000D74EA"/>
    <w:rsid w:val="000F2299"/>
    <w:rsid w:val="00183915"/>
    <w:rsid w:val="00431AE5"/>
    <w:rsid w:val="004B2F33"/>
    <w:rsid w:val="008A2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47A4D-11D7-46CD-AD9F-06E83C8F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Carey Kernodle</dc:creator>
  <cp:keywords/>
  <dc:description/>
  <cp:lastModifiedBy>Anders, Carey Kernodle</cp:lastModifiedBy>
  <cp:revision>4</cp:revision>
  <dcterms:created xsi:type="dcterms:W3CDTF">2014-06-03T19:16:00Z</dcterms:created>
  <dcterms:modified xsi:type="dcterms:W3CDTF">2014-06-05T18:18:00Z</dcterms:modified>
</cp:coreProperties>
</file>