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BB62E" w14:textId="77777777" w:rsidR="00714EA8" w:rsidRDefault="00714EA8" w:rsidP="00714EA8">
      <w:pPr>
        <w:pStyle w:val="berschrift1"/>
      </w:pPr>
      <w:bookmarkStart w:id="0" w:name="_GoBack"/>
      <w:bookmarkEnd w:id="0"/>
      <w:r>
        <w:t>Detailed description of the data analysis</w:t>
      </w:r>
    </w:p>
    <w:p w14:paraId="4248E5D7" w14:textId="633B9DE6" w:rsidR="00714EA8" w:rsidRDefault="00714EA8" w:rsidP="00714EA8">
      <w:pPr>
        <w:widowControl w:val="0"/>
      </w:pPr>
      <w:r>
        <w:t xml:space="preserve">The application of the previously-proposed </w:t>
      </w:r>
      <w:r w:rsidRPr="00351745">
        <w:t>six-factor risk index</w:t>
      </w:r>
      <w:r>
        <w:t xml:space="preserve"> for persisting pain was performed according to the instructions in Table A1 in the appendix of </w:t>
      </w:r>
      <w:r>
        <w:fldChar w:fldCharType="begin"/>
      </w:r>
      <w:r>
        <w:instrText xml:space="preserve"> ADDIN EN.CITE &lt;EndNote&gt;&lt;Cite&gt;&lt;Author&gt;Sipilä&lt;/Author&gt;&lt;Year&gt;2012&lt;/Year&gt;&lt;RecNum&gt;12253&lt;/RecNum&gt;&lt;DisplayText&gt;[17]&lt;/DisplayText&gt;&lt;record&gt;&lt;rec-number&gt;12253&lt;/rec-number&gt;&lt;foreign-keys&gt;&lt;key app="EN" db-id="asfzetfvyt5z2oe2af8p9aehfprpvtt2rv22" timestamp="1458549158"&gt;12253&lt;/key&gt;&lt;/foreign-keys&gt;&lt;ref-type name="Journal Article"&gt;17&lt;/ref-type&gt;&lt;contributors&gt;&lt;authors&gt;&lt;author&gt;Sipilä, R&lt;/author&gt;&lt;author&gt;Estlander, A-M&lt;/author&gt;&lt;author&gt;Tasmuth, T&lt;/author&gt;&lt;author&gt;Kataja, M&lt;/author&gt;&lt;author&gt;Kalso, E&lt;/author&gt;&lt;/authors&gt;&lt;/contributors&gt;&lt;titles&gt;&lt;title&gt;Development of a screening instrument for risk factors of persistent pain after breast cancer surgery&lt;/title&gt;&lt;secondary-title&gt;Br J Cancer&lt;/secondary-title&gt;&lt;/titles&gt;&lt;periodical&gt;&lt;full-title&gt;Br J Cancer&lt;/full-title&gt;&lt;/periodical&gt;&lt;pages&gt;1459-66&lt;/pages&gt;&lt;volume&gt;107&lt;/volume&gt;&lt;number&gt;9&lt;/number&gt;&lt;dates&gt;&lt;year&gt;2012&lt;/year&gt;&lt;/dates&gt;&lt;isbn&gt;1532-1827&lt;/isbn&gt;&lt;accession-num&gt;23093294&lt;/accession-num&gt;&lt;label&gt;eng&lt;/label&gt;&lt;urls&gt;&lt;related-urls&gt;&lt;url&gt;http://dx.doi.org/10.1038/bjc.2012.445&lt;/url&gt;&lt;url&gt;http://www.ncbi.nlm.nih.gov/pmc/articles/PMC3493779/pdf/bjc2012445a.pdf&lt;/url&gt;&lt;/related-urls&gt;&lt;/urls&gt;&lt;custom2&gt;PMC3493779&lt;/custom2&gt;&lt;electronic-resource-num&gt;10.1038/bjc.2012.445&lt;/electronic-resource-num&gt;&lt;remote-database-name&gt;PubMed&lt;/remote-database-name&gt;&lt;remote-database-provider&gt;Pubmed2Endnote by Riadh Hammami&lt;/remote-database-provider&gt;&lt;/record&gt;&lt;/Cite&gt;&lt;/EndNote&gt;</w:instrText>
      </w:r>
      <w:r>
        <w:fldChar w:fldCharType="separate"/>
      </w:r>
      <w:r>
        <w:rPr>
          <w:noProof/>
        </w:rPr>
        <w:t>[17]</w:t>
      </w:r>
      <w:r>
        <w:fldChar w:fldCharType="end"/>
      </w:r>
      <w:r>
        <w:t>. In brief, the six items “a</w:t>
      </w:r>
      <w:r w:rsidRPr="003E1122">
        <w:t>ge</w:t>
      </w:r>
      <w:r>
        <w:t>”, “c</w:t>
      </w:r>
      <w:r w:rsidRPr="003E1122">
        <w:t>hronic pain of any kind</w:t>
      </w:r>
      <w:r>
        <w:t>”, “n</w:t>
      </w:r>
      <w:r w:rsidRPr="003E1122">
        <w:t>umber of previous operations</w:t>
      </w:r>
      <w:r>
        <w:t>”, “b</w:t>
      </w:r>
      <w:r w:rsidRPr="003E1122">
        <w:t>ody mass index</w:t>
      </w:r>
      <w:r>
        <w:t>”, “</w:t>
      </w:r>
      <w:proofErr w:type="gramStart"/>
      <w:r>
        <w:t>p</w:t>
      </w:r>
      <w:r w:rsidRPr="003E1122">
        <w:t>reoperative</w:t>
      </w:r>
      <w:proofErr w:type="gramEnd"/>
      <w:r w:rsidRPr="003E1122">
        <w:t xml:space="preserve"> pain in the area to be operated on</w:t>
      </w:r>
      <w:r>
        <w:t>” and “s</w:t>
      </w:r>
      <w:r w:rsidRPr="003E1122">
        <w:t>moking</w:t>
      </w:r>
      <w:r>
        <w:t xml:space="preserve">” were weighted according to these instructions. For example, age </w:t>
      </w:r>
      <w:r>
        <w:rPr>
          <w:rFonts w:cs="Calibri"/>
        </w:rPr>
        <w:t>≤</w:t>
      </w:r>
      <w:r>
        <w:t xml:space="preserve"> 39 years was given a weight of 0, age 40 – 69 years a weight of 8, and age </w:t>
      </w:r>
      <w:r>
        <w:rPr>
          <w:rFonts w:cs="Calibri"/>
        </w:rPr>
        <w:t>≥</w:t>
      </w:r>
      <w:r>
        <w:t xml:space="preserve"> 70 years a weight of 16. The respective weights for the six parameters were added and a sum </w:t>
      </w:r>
      <w:r>
        <w:rPr>
          <w:rFonts w:cs="Calibri"/>
        </w:rPr>
        <w:t>≥</w:t>
      </w:r>
      <w:r>
        <w:t xml:space="preserve"> 20 was taken as predicting persistent pain.</w:t>
      </w:r>
    </w:p>
    <w:p w14:paraId="01A64EDD" w14:textId="05123F78" w:rsidR="00714EA8" w:rsidRDefault="00714EA8" w:rsidP="00714EA8">
      <w:pPr>
        <w:widowControl w:val="0"/>
      </w:pPr>
      <w:r>
        <w:t>In addition, a novel and independently-designed analysis was performed to assess whether the classification performance could be improved</w:t>
      </w:r>
      <w:r w:rsidRPr="00D73C62">
        <w:t xml:space="preserve"> </w:t>
      </w:r>
      <w:r>
        <w:t>from that obtained with the previously proposed diagnostic tool. Data analysis was performed using the MATLAB (</w:t>
      </w:r>
      <w:proofErr w:type="spellStart"/>
      <w:r>
        <w:t>MathWorks</w:t>
      </w:r>
      <w:proofErr w:type="spellEnd"/>
      <w:r>
        <w:t xml:space="preserve">, Natick, MS, USA) and R (version 3.2.3 for Linux; </w:t>
      </w:r>
      <w:hyperlink r:id="rId7" w:history="1">
        <w:r>
          <w:rPr>
            <w:rStyle w:val="Hyperlink"/>
          </w:rPr>
          <w:t>http://CRAN.R-project.org/</w:t>
        </w:r>
      </w:hyperlink>
      <w:r>
        <w:t xml:space="preserve"> </w:t>
      </w:r>
      <w:r>
        <w:fldChar w:fldCharType="begin"/>
      </w:r>
      <w:r w:rsidR="00231AAC">
        <w:instrText xml:space="preserve"> ADDIN EN.CITE &lt;EndNote&gt;&lt;Cite&gt;&lt;Author&gt;R Development Core Team&lt;/Author&gt;&lt;Year&gt;2008&lt;/Year&gt;&lt;RecNum&gt;12357&lt;/RecNum&gt;&lt;DisplayText&gt;[16]&lt;/DisplayText&gt;&lt;record&gt;&lt;rec-number&gt;12357&lt;/rec-number&gt;&lt;foreign-keys&gt;&lt;key app="EN" db-id="asfzetfvyt5z2oe2af8p9aehfprpvtt2rv22" timestamp="1467199658"&gt;12357&lt;/key&gt;&lt;/foreign-keys&gt;&lt;ref-type name="Journal Article"&gt;17&lt;/ref-type&gt;&lt;contributors&gt;&lt;authors&gt;&lt;author&gt;R Development Core Team, &lt;/author&gt;&lt;/authors&gt;&lt;/contributors&gt;&lt;auth-address&gt;http://www.R-project.org&lt;/auth-address&gt;&lt;titles&gt;&lt;title&gt;R: A Language and Environment for Statistical Computing&lt;/title&gt;&lt;/titles&gt;&lt;dates&gt;&lt;year&gt;2008&lt;/year&gt;&lt;/dates&gt;&lt;pub-location&gt;Vienna, Austria&lt;/pub-location&gt;&lt;urls&gt;&lt;/urls&gt;&lt;/record&gt;&lt;/Cite&gt;&lt;/EndNote&gt;</w:instrText>
      </w:r>
      <w:r>
        <w:fldChar w:fldCharType="separate"/>
      </w:r>
      <w:r>
        <w:rPr>
          <w:noProof/>
        </w:rPr>
        <w:t>[16]</w:t>
      </w:r>
      <w:r>
        <w:fldChar w:fldCharType="end"/>
      </w:r>
      <w:r>
        <w:t xml:space="preserve">) software packages. We used </w:t>
      </w:r>
      <w:r>
        <w:rPr>
          <w:lang w:val="en-GB"/>
        </w:rPr>
        <w:t xml:space="preserve">supervised machine-learning </w:t>
      </w:r>
      <w:r>
        <w:rPr>
          <w:lang w:val="en-GB"/>
        </w:rPr>
        <w:fldChar w:fldCharType="begin"/>
      </w:r>
      <w:r>
        <w:rPr>
          <w:lang w:val="en-GB"/>
        </w:rPr>
        <w:instrText xml:space="preserve"> ADDIN EN.CITE &lt;EndNote&gt;&lt;Cite&gt;&lt;Author&gt;Murphy&lt;/Author&gt;&lt;Year&gt;2012&lt;/Year&gt;&lt;RecNum&gt;12255&lt;/RecNum&gt;&lt;DisplayText&gt;[14]&lt;/DisplayText&gt;&lt;record&gt;&lt;rec-number&gt;12255&lt;/rec-number&gt;&lt;foreign-keys&gt;&lt;key app="EN" db-id="asfzetfvyt5z2oe2af8p9aehfprpvtt2rv22" timestamp="1458564536"&gt;12255&lt;/key&gt;&lt;/foreign-keys&gt;&lt;ref-type name="Book"&gt;6&lt;/ref-type&gt;&lt;contributors&gt;&lt;authors&gt;&lt;author&gt;Kevin P. Murphy&lt;/author&gt;&lt;/authors&gt;&lt;/contributors&gt;&lt;titles&gt;&lt;title&gt;Machine Learning: A Probabilistic Perspective&lt;/title&gt;&lt;/titles&gt;&lt;pages&gt;1096&lt;/pages&gt;&lt;dates&gt;&lt;year&gt;2012&lt;/year&gt;&lt;/dates&gt;&lt;publisher&gt;The MIT Press&lt;/publisher&gt;&lt;isbn&gt;0262018020, 9780262018029&lt;/isbn&gt;&lt;urls&gt;&lt;/urls&gt;&lt;/record&gt;&lt;/Cite&gt;&lt;/EndNote&gt;</w:instrText>
      </w:r>
      <w:r>
        <w:rPr>
          <w:lang w:val="en-GB"/>
        </w:rPr>
        <w:fldChar w:fldCharType="separate"/>
      </w:r>
      <w:r>
        <w:rPr>
          <w:noProof/>
          <w:lang w:val="en-GB"/>
        </w:rPr>
        <w:t>[14]</w:t>
      </w:r>
      <w:r>
        <w:rPr>
          <w:lang w:val="en-GB"/>
        </w:rPr>
        <w:fldChar w:fldCharType="end"/>
      </w:r>
      <w:r w:rsidDel="000A55CA">
        <w:rPr>
          <w:lang w:val="en-GB"/>
        </w:rPr>
        <w:t xml:space="preserve"> </w:t>
      </w:r>
      <w:r>
        <w:rPr>
          <w:lang w:val="en-GB"/>
        </w:rPr>
        <w:t xml:space="preserve">and feature-selection techniques </w:t>
      </w:r>
      <w:r>
        <w:rPr>
          <w:lang w:val="en-GB"/>
        </w:rPr>
        <w:fldChar w:fldCharType="begin"/>
      </w:r>
      <w:r>
        <w:rPr>
          <w:lang w:val="en-GB"/>
        </w:rPr>
        <w:instrText xml:space="preserve"> ADDIN EN.CITE &lt;EndNote&gt;&lt;Cite&gt;&lt;Author&gt;Guyon&lt;/Author&gt;&lt;Year&gt;2003&lt;/Year&gt;&lt;RecNum&gt;12254&lt;/RecNum&gt;&lt;DisplayText&gt;[8]&lt;/DisplayText&gt;&lt;record&gt;&lt;rec-number&gt;12254&lt;/rec-number&gt;&lt;foreign-keys&gt;&lt;key app="EN" db-id="asfzetfvyt5z2oe2af8p9aehfprpvtt2rv22" timestamp="1458549700"&gt;12254&lt;/key&gt;&lt;/foreign-keys&gt;&lt;ref-type name="Journal Article"&gt;17&lt;/ref-type&gt;&lt;contributors&gt;&lt;authors&gt;&lt;author&gt;Isabelle Guyon&lt;/author&gt;&lt;author&gt;Andr&lt;/author&gt;&lt;author&gt;#233&lt;/author&gt;&lt;author&gt;Elisseeff&lt;/author&gt;&lt;/authors&gt;&lt;/contributors&gt;&lt;titles&gt;&lt;title&gt;An introduction to variable and feature selection&lt;/title&gt;&lt;secondary-title&gt;J. Mach. Learn. Res.&lt;/secondary-title&gt;&lt;/titles&gt;&lt;periodical&gt;&lt;full-title&gt;J. Mach. Learn. Res.&lt;/full-title&gt;&lt;/periodical&gt;&lt;pages&gt;1157-1182&lt;/pages&gt;&lt;volume&gt;3&lt;/volume&gt;&lt;dates&gt;&lt;year&gt;2003&lt;/year&gt;&lt;/dates&gt;&lt;isbn&gt;1532-4435&lt;/isbn&gt;&lt;urls&gt;&lt;/urls&gt;&lt;custom1&gt;944968&lt;/custom1&gt;&lt;/record&gt;&lt;/Cite&gt;&lt;/EndNote&gt;</w:instrText>
      </w:r>
      <w:r>
        <w:rPr>
          <w:lang w:val="en-GB"/>
        </w:rPr>
        <w:fldChar w:fldCharType="separate"/>
      </w:r>
      <w:r>
        <w:rPr>
          <w:noProof/>
          <w:lang w:val="en-GB"/>
        </w:rPr>
        <w:t>[8]</w:t>
      </w:r>
      <w:r>
        <w:rPr>
          <w:lang w:val="en-GB"/>
        </w:rPr>
        <w:fldChar w:fldCharType="end"/>
      </w:r>
      <w:r>
        <w:t xml:space="preserve"> to identify parameters from the data acquired before surgery and up to the sixth month after surgery that could predict the presence or absence of persisting pain in the area operated on during the three-year follow-up available for the present analysis. In this approach, the goal is to learn a mapping from inputs </w:t>
      </w:r>
      <w:r>
        <w:rPr>
          <w:i/>
        </w:rPr>
        <w:t>x</w:t>
      </w:r>
      <w:r>
        <w:t xml:space="preserve"> to outputs </w:t>
      </w:r>
      <w:r>
        <w:rPr>
          <w:i/>
        </w:rPr>
        <w:t>y</w:t>
      </w:r>
      <w:r>
        <w:t xml:space="preserve">, given a </w:t>
      </w:r>
      <w:r w:rsidRPr="0028592F">
        <w:t xml:space="preserve">labelled set of input-output </w:t>
      </w:r>
      <w:proofErr w:type="gramStart"/>
      <w:r w:rsidRPr="0028592F">
        <w:t xml:space="preserve">pairs </w:t>
      </w:r>
      <w:proofErr w:type="gramEnd"/>
      <m:oMath>
        <m:r>
          <w:rPr>
            <w:rFonts w:ascii="Cambria Math" w:hAnsi="Cambria Math"/>
          </w:rPr>
          <m:t>D=</m:t>
        </m:r>
        <m:d>
          <m:dPr>
            <m:begChr m:val="{"/>
            <m:endChr m:val="}"/>
            <m:ctrlPr>
              <w:rPr>
                <w:rFonts w:ascii="Cambria Math" w:hAnsi="Cambria Math"/>
                <w:i/>
                <w:iCs/>
                <w:lang w:val="de-DE"/>
              </w:rPr>
            </m:ctrlPr>
          </m:dPr>
          <m:e>
            <m:d>
              <m:dPr>
                <m:ctrlPr>
                  <w:rPr>
                    <w:rFonts w:ascii="Cambria Math" w:hAnsi="Cambria Math"/>
                    <w:i/>
                    <w:iCs/>
                    <w:lang w:val="de-DE"/>
                  </w:rPr>
                </m:ctrlPr>
              </m:dPr>
              <m:e>
                <m:sSub>
                  <m:sSubPr>
                    <m:ctrlPr>
                      <w:rPr>
                        <w:rFonts w:ascii="Cambria Math" w:hAnsi="Cambria Math"/>
                        <w:i/>
                        <w:iCs/>
                        <w:lang w:val="de-DE"/>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iCs/>
                        <w:lang w:val="de-DE"/>
                      </w:rPr>
                    </m:ctrlPr>
                  </m:sSubPr>
                  <m:e>
                    <m:r>
                      <w:rPr>
                        <w:rFonts w:ascii="Cambria Math" w:hAnsi="Cambria Math"/>
                      </w:rPr>
                      <m:t>y</m:t>
                    </m:r>
                    <m:ctrlPr>
                      <w:rPr>
                        <w:rFonts w:ascii="Cambria Math" w:hAnsi="Cambria Math"/>
                        <w:i/>
                      </w:rPr>
                    </m:ctrlPr>
                  </m:e>
                  <m:sub>
                    <m:r>
                      <w:rPr>
                        <w:rFonts w:ascii="Cambria Math" w:hAnsi="Cambria Math"/>
                      </w:rPr>
                      <m:t>i</m:t>
                    </m:r>
                  </m:sub>
                </m:sSub>
              </m:e>
            </m:d>
            <m:ctrlPr>
              <w:rPr>
                <w:rFonts w:ascii="Cambria Math" w:hAnsi="Cambria Math"/>
                <w:i/>
              </w:rPr>
            </m:ctrlPr>
          </m:e>
          <m:e>
            <m:sSub>
              <m:sSubPr>
                <m:ctrlPr>
                  <w:rPr>
                    <w:rFonts w:ascii="Cambria Math" w:hAnsi="Cambria Math"/>
                    <w:i/>
                    <w:iCs/>
                    <w:lang w:val="de-DE"/>
                  </w:rPr>
                </m:ctrlPr>
              </m:sSubPr>
              <m:e>
                <m:r>
                  <w:rPr>
                    <w:rFonts w:ascii="Cambria Math" w:hAnsi="Cambria Math"/>
                  </w:rPr>
                  <m:t>x</m:t>
                </m:r>
                <m:ctrlPr>
                  <w:rPr>
                    <w:rFonts w:ascii="Cambria Math" w:hAnsi="Cambria Math"/>
                    <w:i/>
                  </w:rPr>
                </m:ctrlPr>
              </m:e>
              <m:sub>
                <m:r>
                  <w:rPr>
                    <w:rFonts w:ascii="Cambria Math" w:hAnsi="Cambria Math"/>
                  </w:rPr>
                  <m:t>i</m:t>
                </m:r>
              </m:sub>
            </m:sSub>
            <m:r>
              <m:rPr>
                <m:sty m:val="p"/>
              </m:rPr>
              <w:rPr>
                <w:rFonts w:ascii="Cambria Math" w:hAnsi="Cambria Math"/>
              </w:rPr>
              <w:sym w:font="Symbol" w:char="F0CE"/>
            </m:r>
            <m:r>
              <m:rPr>
                <m:sty m:val="p"/>
              </m:rPr>
              <w:rPr>
                <w:rFonts w:ascii="Cambria Math" w:hAnsi="Cambria Math"/>
              </w:rPr>
              <m:t xml:space="preserve"> X, </m:t>
            </m:r>
            <m:sSub>
              <m:sSubPr>
                <m:ctrlPr>
                  <w:rPr>
                    <w:rFonts w:ascii="Cambria Math" w:hAnsi="Cambria Math"/>
                    <w:i/>
                    <w:iCs/>
                    <w:lang w:val="de-DE"/>
                  </w:rPr>
                </m:ctrlPr>
              </m:sSubPr>
              <m:e>
                <m:r>
                  <w:rPr>
                    <w:rFonts w:ascii="Cambria Math" w:hAnsi="Cambria Math"/>
                  </w:rPr>
                  <m:t>y</m:t>
                </m:r>
                <m:ctrlPr>
                  <w:rPr>
                    <w:rFonts w:ascii="Cambria Math" w:hAnsi="Cambria Math"/>
                  </w:rPr>
                </m:ctrlPr>
              </m:e>
              <m:sub>
                <m:r>
                  <w:rPr>
                    <w:rFonts w:ascii="Cambria Math" w:hAnsi="Cambria Math"/>
                  </w:rPr>
                  <m:t>i</m:t>
                </m:r>
              </m:sub>
            </m:sSub>
            <m:r>
              <m:rPr>
                <m:sty m:val="p"/>
              </m:rPr>
              <w:rPr>
                <w:rFonts w:ascii="Cambria Math" w:hAnsi="Cambria Math"/>
              </w:rPr>
              <w:sym w:font="Symbol" w:char="F0CE"/>
            </m:r>
            <m:r>
              <m:rPr>
                <m:sty m:val="p"/>
              </m:rPr>
              <w:rPr>
                <w:rFonts w:ascii="Cambria Math" w:hAnsi="Cambria Math"/>
              </w:rPr>
              <m:t>Y,</m:t>
            </m:r>
            <m:r>
              <w:rPr>
                <w:rFonts w:ascii="Cambria Math" w:hAnsi="Cambria Math"/>
              </w:rPr>
              <m:t xml:space="preserve"> </m:t>
            </m:r>
            <m:r>
              <w:rPr>
                <w:rFonts w:ascii="Cambria Math" w:hAnsi="Cambria Math"/>
                <w:lang w:val="de-DE"/>
              </w:rPr>
              <m:t>i</m:t>
            </m:r>
            <m:r>
              <w:rPr>
                <w:rFonts w:ascii="Cambria Math" w:hAnsi="Cambria Math"/>
              </w:rPr>
              <m:t>=1…n</m:t>
            </m:r>
          </m:e>
        </m:d>
      </m:oMath>
      <w:r>
        <w:t xml:space="preserve">. Here, </w:t>
      </w:r>
      <w:r w:rsidRPr="00610CC3">
        <w:rPr>
          <w:i/>
        </w:rPr>
        <w:t>D</w:t>
      </w:r>
      <w:r>
        <w:t xml:space="preserve"> denotes the so-called “</w:t>
      </w:r>
      <w:r w:rsidRPr="001223FD">
        <w:t>data space</w:t>
      </w:r>
      <w:r>
        <w:rPr>
          <w:rStyle w:val="Funotenzeichen"/>
        </w:rPr>
        <w:footnoteReference w:id="2"/>
      </w:r>
      <w:r>
        <w:t xml:space="preserve">” with a predefined </w:t>
      </w:r>
      <w:r w:rsidRPr="00505F03">
        <w:t xml:space="preserve">division </w:t>
      </w:r>
      <w:r w:rsidRPr="00CE2939">
        <w:t xml:space="preserve">into an input space </w:t>
      </w:r>
      <w:r w:rsidRPr="000F35F7">
        <w:rPr>
          <w:i/>
        </w:rPr>
        <w:t>X</w:t>
      </w:r>
      <w:r w:rsidRPr="00694767">
        <w:t xml:space="preserve"> comprising </w:t>
      </w:r>
      <w:r w:rsidRPr="00694767">
        <w:rPr>
          <w:i/>
        </w:rPr>
        <w:t>x</w:t>
      </w:r>
      <w:r w:rsidRPr="00694767">
        <w:rPr>
          <w:i/>
          <w:vertAlign w:val="subscript"/>
        </w:rPr>
        <w:t>i</w:t>
      </w:r>
      <w:r w:rsidRPr="000D38D6">
        <w:t xml:space="preserve"> as the features</w:t>
      </w:r>
      <w:r>
        <w:t xml:space="preserve"> (parameters)</w:t>
      </w:r>
      <w:r w:rsidRPr="000D38D6">
        <w:t xml:space="preserve"> </w:t>
      </w:r>
      <w:r w:rsidRPr="000D38D6">
        <w:lastRenderedPageBreak/>
        <w:t>possibly predicting the diagnosis, and the output space</w:t>
      </w:r>
      <w:r>
        <w:t xml:space="preserve"> </w:t>
      </w:r>
      <w:r w:rsidRPr="00EF6E36">
        <w:rPr>
          <w:i/>
        </w:rPr>
        <w:t>Y</w:t>
      </w:r>
      <w:r>
        <w:rPr>
          <w:i/>
        </w:rPr>
        <w:t xml:space="preserve"> </w:t>
      </w:r>
      <w:r w:rsidRPr="00EF6E36">
        <w:t>comprising</w:t>
      </w:r>
      <w:r>
        <w:rPr>
          <w:i/>
        </w:rPr>
        <w:t xml:space="preserve"> </w:t>
      </w:r>
      <w:proofErr w:type="spellStart"/>
      <w:r>
        <w:rPr>
          <w:i/>
        </w:rPr>
        <w:t>y</w:t>
      </w:r>
      <w:r w:rsidRPr="00EF6E36">
        <w:rPr>
          <w:i/>
          <w:vertAlign w:val="subscript"/>
        </w:rPr>
        <w:t>i</w:t>
      </w:r>
      <w:proofErr w:type="spellEnd"/>
      <w:r w:rsidRPr="00EF6E36">
        <w:t xml:space="preserve"> </w:t>
      </w:r>
      <w:r>
        <w:t>as the classes or diagnostic groups.</w:t>
      </w:r>
    </w:p>
    <w:p w14:paraId="642C1B05" w14:textId="77777777" w:rsidR="00714EA8" w:rsidRDefault="00714EA8" w:rsidP="00714EA8">
      <w:pPr>
        <w:widowControl w:val="0"/>
      </w:pPr>
      <w:r>
        <w:t xml:space="preserve">The analysis was performed in four main steps (Figure 2 in the main document). </w:t>
      </w:r>
      <w:r w:rsidRPr="00E818F0">
        <w:rPr>
          <w:b/>
        </w:rPr>
        <w:t>First</w:t>
      </w:r>
      <w:r>
        <w:t>, the so-called “output space” was established by identifying the groups</w:t>
      </w:r>
      <w:r w:rsidRPr="004527B5">
        <w:t xml:space="preserve"> or “classes”</w:t>
      </w:r>
      <w:r>
        <w:t xml:space="preserve"> of patients with respect to persistent pain. In the following, the term “persisting pain group” and “non-persisting pain group” or “classes” will be used when referring to these groups. Subsequently, the input or </w:t>
      </w:r>
      <w:r w:rsidRPr="007B75D9">
        <w:t>feature</w:t>
      </w:r>
      <w:r>
        <w:t xml:space="preserve"> space was analyzed to identify those </w:t>
      </w:r>
      <w:r w:rsidRPr="007B75D9">
        <w:t>parameters</w:t>
      </w:r>
      <w:r>
        <w:t xml:space="preserve"> that provided a valid assignment of a patient to the classes of persisting or non-persisting pain. This included the </w:t>
      </w:r>
      <w:r w:rsidRPr="00E818F0">
        <w:rPr>
          <w:b/>
        </w:rPr>
        <w:t>second</w:t>
      </w:r>
      <w:r>
        <w:t xml:space="preserve"> analytical step comprising a “feature” pre-selection, during which all </w:t>
      </w:r>
      <w:r w:rsidRPr="007B75D9">
        <w:t>parameters</w:t>
      </w:r>
      <w:r>
        <w:t xml:space="preserve"> were analyzed with respect to differences </w:t>
      </w:r>
      <w:r w:rsidRPr="00E818F0">
        <w:t xml:space="preserve">between the </w:t>
      </w:r>
      <w:r w:rsidRPr="00E3219F">
        <w:t>pain</w:t>
      </w:r>
      <w:r>
        <w:t>-</w:t>
      </w:r>
      <w:r w:rsidRPr="00E3219F">
        <w:t xml:space="preserve">persistence </w:t>
      </w:r>
      <w:r>
        <w:t>groups</w:t>
      </w:r>
      <w:r w:rsidRPr="00E3219F">
        <w:t xml:space="preserve"> </w:t>
      </w:r>
      <w:r>
        <w:t xml:space="preserve">established in the output space. Those </w:t>
      </w:r>
      <w:r w:rsidRPr="007B75D9">
        <w:t>parameters</w:t>
      </w:r>
      <w:r>
        <w:t xml:space="preserve"> that had passed that step were taken into the </w:t>
      </w:r>
      <w:r w:rsidRPr="00E818F0">
        <w:rPr>
          <w:b/>
        </w:rPr>
        <w:t>third</w:t>
      </w:r>
      <w:r>
        <w:t xml:space="preserve"> analytical step of feature selection, which eliminated all </w:t>
      </w:r>
      <w:r w:rsidRPr="007B75D9">
        <w:t>parameters</w:t>
      </w:r>
      <w:r>
        <w:t xml:space="preserve"> distinguishing between pain persistence groups but not providing additional relevant information justifying their inclusion in a tool (“classifier”) predictive of persisting pain. The remaining parameters, in the following called “features”, were taken into the </w:t>
      </w:r>
      <w:r w:rsidRPr="00E818F0">
        <w:rPr>
          <w:b/>
        </w:rPr>
        <w:t>fo</w:t>
      </w:r>
      <w:r>
        <w:rPr>
          <w:b/>
        </w:rPr>
        <w:t>u</w:t>
      </w:r>
      <w:r w:rsidRPr="00E818F0">
        <w:rPr>
          <w:b/>
        </w:rPr>
        <w:t>rth</w:t>
      </w:r>
      <w:r>
        <w:t xml:space="preserve"> step of the data analysis in which the predictive tool or “classifier” was constructed and assessed with respect to standard test performance measures. Details of this machine-learned data analysis are described below.</w:t>
      </w:r>
    </w:p>
    <w:p w14:paraId="0B158B80" w14:textId="77777777" w:rsidR="00714EA8" w:rsidRPr="00E818F0" w:rsidRDefault="00714EA8" w:rsidP="00714EA8">
      <w:pPr>
        <w:pStyle w:val="berschrift3"/>
      </w:pPr>
      <w:r w:rsidRPr="00643E5E">
        <w:t>Class</w:t>
      </w:r>
      <w:r w:rsidRPr="00E818F0">
        <w:t xml:space="preserve"> </w:t>
      </w:r>
      <w:r w:rsidRPr="00593885">
        <w:t>identification</w:t>
      </w:r>
      <w:r w:rsidRPr="00643E5E">
        <w:t xml:space="preserve"> for persist</w:t>
      </w:r>
      <w:r>
        <w:t>ing</w:t>
      </w:r>
      <w:r w:rsidRPr="00643E5E">
        <w:t xml:space="preserve"> pain</w:t>
      </w:r>
    </w:p>
    <w:p w14:paraId="54957608" w14:textId="02E0FE74" w:rsidR="00714EA8" w:rsidRDefault="00714EA8" w:rsidP="00714EA8">
      <w:r>
        <w:t xml:space="preserve">The first analytical step addressed the output space (for definition, see previous section), i.e., the identification of the </w:t>
      </w:r>
      <w:r w:rsidRPr="004527B5">
        <w:t>groups or classes</w:t>
      </w:r>
      <w:r>
        <w:t xml:space="preserve"> of patients with respect to persisting pain. To obtain the output space for machine-learning, a robust classification of the patients into women who develop persisting pain versus those who clearly do not was used (Figure 2 in the main document, left part). This classification was derived from the NRS ratings of pain </w:t>
      </w:r>
      <w:r w:rsidRPr="004A0810">
        <w:t xml:space="preserve">intensity </w:t>
      </w:r>
      <w:r>
        <w:t xml:space="preserve">in the area of surgery </w:t>
      </w:r>
      <w:r w:rsidRPr="004A0810">
        <w:t>at 12, 24, and 36 months.</w:t>
      </w:r>
      <w:r>
        <w:t xml:space="preserve"> A value of NRS = 3 was used as a clinically-established cut-off for no or mild pain (NRS 0 - 3) versus NRS</w:t>
      </w:r>
      <w:r w:rsidR="00882494">
        <w:t xml:space="preserve"> </w:t>
      </w:r>
      <w:r>
        <w:t xml:space="preserve">= 4 – 10 for moderate to severe pain despite analgesic medication </w:t>
      </w:r>
      <w:r>
        <w:fldChar w:fldCharType="begin">
          <w:fldData xml:space="preserve">PEVuZE5vdGU+PENpdGU+PEF1dGhvcj5Ed29ya2luPC9BdXRob3I+PFllYXI+MjAwNTwvWWVhcj48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=
</w:fldData>
        </w:fldChar>
      </w:r>
      <w:r>
        <w:instrText xml:space="preserve"> ADDIN EN.CITE </w:instrText>
      </w:r>
      <w:r>
        <w:fldChar w:fldCharType="begin">
          <w:fldData xml:space="preserve">PEVuZE5vdGU+PENpdGU+PEF1dGhvcj5Ed29ya2luPC9BdXRob3I+PFllYXI+MjAwNTwvWWVhcj48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=
</w:fldData>
        </w:fldChar>
      </w:r>
      <w:r>
        <w:instrText xml:space="preserve"> ADDIN EN.CITE.DATA </w:instrText>
      </w:r>
      <w:r>
        <w:fldChar w:fldCharType="end"/>
      </w:r>
      <w:r>
        <w:fldChar w:fldCharType="separate"/>
      </w:r>
      <w:r>
        <w:rPr>
          <w:noProof/>
        </w:rPr>
        <w:t>[6, 9]</w:t>
      </w:r>
      <w:r>
        <w:fldChar w:fldCharType="end"/>
      </w:r>
      <w:r>
        <w:t xml:space="preserve">. Using these criteria, patients with NRS </w:t>
      </w:r>
      <w:r>
        <w:rPr>
          <w:rFonts w:cs="Calibri"/>
        </w:rPr>
        <w:t>≤</w:t>
      </w:r>
      <w:r>
        <w:t xml:space="preserve"> 3 at month 36 after surgery </w:t>
      </w:r>
      <m:oMath>
        <m:r>
          <w:rPr>
            <w:rFonts w:ascii="Cambria Math" w:hAnsi="Cambria Math"/>
          </w:rPr>
          <m:t>(</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 3)</m:t>
        </m:r>
      </m:oMath>
      <w:r>
        <w:t xml:space="preserve"> were identified as belonging to the “non-persisting pain” group, while those with </w:t>
      </w:r>
      <m:oMath>
        <m:r>
          <w:rPr>
            <w:rFonts w:ascii="Cambria Math" w:hAnsi="Cambria Math"/>
          </w:rPr>
          <m:t>(</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≥4)</m:t>
        </m:r>
      </m:oMath>
      <w:r>
        <w:t xml:space="preserve"> had “persisting pain”. A further criterion for the “non-persisting pain” group was the presence of no to mild pain (NRS ≤ 3) at months 12, 24 and 36 after surgery, i.e.</w:t>
      </w:r>
      <w:proofErr w:type="gramStart"/>
      <w:r>
        <w:t xml:space="preserve">, </w:t>
      </w:r>
      <w:proofErr w:type="gramEnd"/>
      <m:oMath>
        <m:sSub>
          <m:sSubPr>
            <m:ctrlPr>
              <w:rPr>
                <w:rFonts w:ascii="Cambria Math" w:hAnsi="Cambria Math"/>
                <w:i/>
              </w:rPr>
            </m:ctrlPr>
          </m:sSubPr>
          <m:e>
            <m:r>
              <w:rPr>
                <w:rFonts w:ascii="Cambria Math" w:hAnsi="Cambria Math"/>
              </w:rPr>
              <m:t>NRS</m:t>
            </m:r>
          </m:e>
          <m:sub>
            <m:r>
              <w:rPr>
                <w:rFonts w:ascii="Cambria Math" w:hAnsi="Cambria Math"/>
                <w:vertAlign w:val="subscript"/>
              </w:rPr>
              <m:t>month12..month</m:t>
            </m:r>
            <m:r>
              <w:rPr>
                <w:rFonts w:ascii="Cambria Math" w:hAnsi="Cambria Math"/>
                <w:vertAlign w:val="subscript"/>
              </w:rPr>
              <m:t>36</m:t>
            </m:r>
          </m:sub>
        </m:sSub>
        <m:r>
          <w:rPr>
            <w:rFonts w:ascii="Cambria Math" w:hAnsi="Cambria Math"/>
          </w:rPr>
          <m:t>≤ 3</m:t>
        </m:r>
      </m:oMath>
      <w:r>
        <w:t xml:space="preserve">. In order to enhance the contrast between the groups, the “persisting pain” group was further characterized by having rated pain as NRS &gt; 0 at </w:t>
      </w:r>
      <w:proofErr w:type="spellStart"/>
      <w:r>
        <w:t>all time</w:t>
      </w:r>
      <w:proofErr w:type="spellEnd"/>
      <w:r>
        <w:t xml:space="preserve"> points of 12, 24 and 36 months after surgery and with no tendency toward amelioration of pain, i.e. no decrease in NRS ratings. Hence, the “persisting pain” group was observed under the following conditions</w:t>
      </w:r>
      <w:proofErr w:type="gramStart"/>
      <w:r>
        <w:t xml:space="preserve">: </w:t>
      </w:r>
      <w:proofErr w:type="gramEnd"/>
      <m:oMath>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 xml:space="preserve">≥ 4 and </m:t>
        </m:r>
        <m:sSub>
          <m:sSubPr>
            <m:ctrlPr>
              <w:rPr>
                <w:rFonts w:ascii="Cambria Math" w:hAnsi="Cambria Math"/>
                <w:i/>
              </w:rPr>
            </m:ctrlPr>
          </m:sSubPr>
          <m:e>
            <m:r>
              <w:rPr>
                <w:rFonts w:ascii="Cambria Math" w:hAnsi="Cambria Math"/>
              </w:rPr>
              <m:t>NRS</m:t>
            </m:r>
          </m:e>
          <m:sub>
            <m:r>
              <w:rPr>
                <w:rFonts w:ascii="Cambria Math" w:hAnsi="Cambria Math"/>
              </w:rPr>
              <m:t>month12..month</m:t>
            </m:r>
            <m:r>
              <w:rPr>
                <w:rFonts w:ascii="Cambria Math" w:hAnsi="Cambria Math"/>
              </w:rPr>
              <m:t xml:space="preserve">36 </m:t>
            </m:r>
          </m:sub>
        </m:sSub>
        <m:r>
          <w:rPr>
            <w:rFonts w:ascii="Cambria Math" w:hAnsi="Cambria Math"/>
          </w:rPr>
          <m:t>&gt;0 and (</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24</m:t>
            </m:r>
          </m:sub>
        </m:sSub>
        <m:r>
          <w:rPr>
            <w:rFonts w:ascii="Cambria Math" w:hAnsi="Cambria Math"/>
          </w:rPr>
          <m:t>)≥0</m:t>
        </m:r>
      </m:oMath>
      <w:r>
        <w:t xml:space="preserve">. </w:t>
      </w:r>
      <w:r w:rsidRPr="00AC4679">
        <w:t>This enabled the classification of 833 patients. The</w:t>
      </w:r>
      <w:r w:rsidRPr="005947F3">
        <w:t xml:space="preserve"> classification of the remaining 167 patients was achieved by applying the following rules: If all available ratings were </w:t>
      </w:r>
      <m:oMath>
        <m:sSub>
          <m:sSubPr>
            <m:ctrlPr>
              <w:rPr>
                <w:rFonts w:ascii="Cambria Math" w:hAnsi="Cambria Math"/>
                <w:i/>
              </w:rPr>
            </m:ctrlPr>
          </m:sSubPr>
          <m:e>
            <m:r>
              <w:rPr>
                <w:rFonts w:ascii="Cambria Math" w:hAnsi="Cambria Math"/>
              </w:rPr>
              <m:t>NRS</m:t>
            </m:r>
          </m:e>
          <m:sub>
            <m:r>
              <w:rPr>
                <w:rFonts w:ascii="Cambria Math" w:hAnsi="Cambria Math"/>
                <w:vertAlign w:val="subscript"/>
              </w:rPr>
              <m:t>month12..month</m:t>
            </m:r>
            <m:r>
              <w:rPr>
                <w:rFonts w:ascii="Cambria Math" w:hAnsi="Cambria Math"/>
                <w:vertAlign w:val="subscript"/>
              </w:rPr>
              <m:t>36</m:t>
            </m:r>
          </m:sub>
        </m:sSub>
        <m:r>
          <w:rPr>
            <w:rFonts w:ascii="Cambria Math" w:hAnsi="Cambria Math"/>
          </w:rPr>
          <m:t>≥ 4</m:t>
        </m:r>
      </m:oMath>
      <w:r w:rsidRPr="005947F3">
        <w:t xml:space="preserve"> then the case was subsumed to the “persisting pain” group (n</w:t>
      </w:r>
      <w:r w:rsidRPr="003646D4">
        <w:t xml:space="preserve"> </w:t>
      </w:r>
      <w:r w:rsidRPr="005947F3">
        <w:t>=</w:t>
      </w:r>
      <w:r w:rsidRPr="003646D4">
        <w:t xml:space="preserve"> </w:t>
      </w:r>
      <w:r w:rsidRPr="005947F3">
        <w:t>2</w:t>
      </w:r>
      <w:r>
        <w:t>1</w:t>
      </w:r>
      <w:r w:rsidRPr="005947F3">
        <w:t>).</w:t>
      </w:r>
      <w:r w:rsidRPr="00A07A30">
        <w:t xml:space="preserve"> </w:t>
      </w:r>
      <w:r w:rsidRPr="003646D4">
        <w:t xml:space="preserve">By contrast, if the available ratings were </w:t>
      </w:r>
      <m:oMath>
        <m:sSub>
          <m:sSubPr>
            <m:ctrlPr>
              <w:rPr>
                <w:rFonts w:ascii="Cambria Math" w:hAnsi="Cambria Math"/>
                <w:i/>
              </w:rPr>
            </m:ctrlPr>
          </m:sSubPr>
          <m:e>
            <m:r>
              <w:rPr>
                <w:rFonts w:ascii="Cambria Math" w:hAnsi="Cambria Math"/>
              </w:rPr>
              <m:t>NRS</m:t>
            </m:r>
          </m:e>
          <m:sub>
            <m:r>
              <w:rPr>
                <w:rFonts w:ascii="Cambria Math" w:hAnsi="Cambria Math"/>
                <w:vertAlign w:val="subscript"/>
              </w:rPr>
              <m:t>month6..month</m:t>
            </m:r>
            <m:r>
              <w:rPr>
                <w:rFonts w:ascii="Cambria Math" w:hAnsi="Cambria Math"/>
                <w:vertAlign w:val="subscript"/>
              </w:rPr>
              <m:t>36</m:t>
            </m:r>
          </m:sub>
        </m:sSub>
        <m:r>
          <w:rPr>
            <w:rFonts w:ascii="Cambria Math" w:hAnsi="Cambria Math"/>
          </w:rPr>
          <m:t>≤ 3</m:t>
        </m:r>
      </m:oMath>
      <w:r w:rsidRPr="005947F3">
        <w:t xml:space="preserve"> </w:t>
      </w:r>
      <w:proofErr w:type="gramStart"/>
      <w:r w:rsidRPr="005947F3">
        <w:t xml:space="preserve">and </w:t>
      </w:r>
      <w:proofErr w:type="gramEnd"/>
      <m:oMath>
        <m:r>
          <w:rPr>
            <w:rFonts w:ascii="Cambria Math" w:hAnsi="Cambria Math"/>
          </w:rPr>
          <m:t>(</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24</m:t>
            </m:r>
          </m:sub>
        </m:sSub>
        <m:r>
          <w:rPr>
            <w:rFonts w:ascii="Cambria Math" w:hAnsi="Cambria Math"/>
          </w:rPr>
          <m:t>&lt;</m:t>
        </m:r>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6</m:t>
            </m:r>
          </m:sub>
        </m:sSub>
        <m:r>
          <w:rPr>
            <w:rFonts w:ascii="Cambria Math" w:hAnsi="Cambria Math"/>
          </w:rPr>
          <m:t>)</m:t>
        </m:r>
      </m:oMath>
      <w:r w:rsidRPr="00A07A30">
        <w:t xml:space="preserve">, </w:t>
      </w:r>
      <w:r w:rsidRPr="003646D4">
        <w:t xml:space="preserve">i.e. a decrease over time, </w:t>
      </w:r>
      <w:r w:rsidRPr="005947F3">
        <w:t>then the case was subsumed in</w:t>
      </w:r>
      <w:r w:rsidRPr="00A07A30">
        <w:t>to</w:t>
      </w:r>
      <w:r w:rsidRPr="005947F3">
        <w:t xml:space="preserve"> the “non-persisting pain” group (n</w:t>
      </w:r>
      <w:r w:rsidRPr="003646D4">
        <w:t xml:space="preserve"> </w:t>
      </w:r>
      <w:r w:rsidRPr="005947F3">
        <w:t>=</w:t>
      </w:r>
      <w:r w:rsidRPr="003646D4">
        <w:t xml:space="preserve"> </w:t>
      </w:r>
      <w:r w:rsidRPr="005947F3">
        <w:t>146).</w:t>
      </w:r>
      <w:r w:rsidRPr="00A07A30">
        <w:t xml:space="preserve"> </w:t>
      </w:r>
      <w:r w:rsidRPr="005947F3">
        <w:t>This finally resulted in a binary classification which was then approached by means of machine-learning.</w:t>
      </w:r>
    </w:p>
    <w:p w14:paraId="04DDE428" w14:textId="77777777" w:rsidR="00714EA8" w:rsidRDefault="00714EA8" w:rsidP="00714EA8">
      <w:pPr>
        <w:pStyle w:val="berschrift3"/>
      </w:pPr>
      <w:r w:rsidRPr="00593885">
        <w:t>Feature pre-selection</w:t>
      </w:r>
    </w:p>
    <w:p w14:paraId="4F867E70" w14:textId="57AAE23F" w:rsidR="00714EA8" w:rsidRDefault="00714EA8">
      <w:r>
        <w:t xml:space="preserve">Following the above-described establishment of the “output space” consisting of a robust group structure of clinical interest (persisting pain or non-persisting pain), “feature” selection was applied to the “input space” (Figure 2 in the main document, right part) of the 542 </w:t>
      </w:r>
      <w:r w:rsidRPr="00643E5E">
        <w:t>parameters,</w:t>
      </w:r>
      <w:r>
        <w:t xml:space="preserve"> comprising 52 continuous-scaled, 154 discrete and 336 binary variables, that had been acquired preoperatively and during the six months after surgery. This step </w:t>
      </w:r>
      <w:r w:rsidRPr="0015378C">
        <w:t>additionally included the combination</w:t>
      </w:r>
      <w:r>
        <w:t xml:space="preserve"> (aggregation) of pain-related </w:t>
      </w:r>
      <w:r w:rsidRPr="008F6F7D">
        <w:t>parameters</w:t>
      </w:r>
      <w:r>
        <w:t xml:space="preserve"> evaluated at different time points. Supervised “greedy” machine-learning was applied to identify “features” that best distinguished between the persisting and non-persisting pain groups. Secondly, from the candidates (original or aggregated “features”) identified during the first step, “features” that provided the largest contributions to the sensitivity and specificity of the clinical diagnostic tool were allocated to the final classifier. “Feature” pre-selection started with separate analyses of available </w:t>
      </w:r>
      <w:r w:rsidRPr="008F6F7D">
        <w:t>parameters</w:t>
      </w:r>
      <w:r>
        <w:t xml:space="preserve"> (continuous/interval scaled, discrete or binary variables), </w:t>
      </w:r>
      <w:r w:rsidRPr="004E367D">
        <w:t xml:space="preserve">with respect </w:t>
      </w:r>
      <w:r w:rsidRPr="00F926EE">
        <w:t>to differences of their</w:t>
      </w:r>
      <w:r>
        <w:t xml:space="preserve"> distributions </w:t>
      </w:r>
      <w:r w:rsidRPr="004E367D">
        <w:t xml:space="preserve">between the persisting </w:t>
      </w:r>
      <w:r>
        <w:t>or</w:t>
      </w:r>
      <w:r w:rsidRPr="004E367D">
        <w:t xml:space="preserve"> </w:t>
      </w:r>
      <w:r>
        <w:t>n</w:t>
      </w:r>
      <w:r w:rsidRPr="004E367D">
        <w:t xml:space="preserve">on-persisting pain </w:t>
      </w:r>
      <w:r>
        <w:t>groups. During this process, correlations between variables were not analyzed, except for the closely-related parameters “body weight</w:t>
      </w:r>
      <w:proofErr w:type="gramStart"/>
      <w:r>
        <w:t>“ and</w:t>
      </w:r>
      <w:proofErr w:type="gramEnd"/>
      <w:r>
        <w:t xml:space="preserve"> “BMI,” of which the slightly better performing variable BMI was selected. For each </w:t>
      </w:r>
      <w:r w:rsidRPr="004E367D">
        <w:t>variable</w:t>
      </w:r>
      <w:r>
        <w:t xml:space="preserve"> type, appropriate statistical or informatics criteria were applied to analyze whether they displayed class differences according to standard approaches in machine learning </w:t>
      </w:r>
      <w:r>
        <w:fldChar w:fldCharType="begin">
          <w:fldData xml:space="preserve">PEVuZE5vdGU+PENpdGU+PEF1dGhvcj5UcmlwYXRoaTwvQXV0aG9yPjxZZWFyPjIwMTE8L1llYXI+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==
</w:fldData>
        </w:fldChar>
      </w:r>
      <w:r>
        <w:instrText xml:space="preserve"> ADDIN EN.CITE </w:instrText>
      </w:r>
      <w:r>
        <w:fldChar w:fldCharType="begin">
          <w:fldData xml:space="preserve">PEVuZE5vdGU+PENpdGU+PEF1dGhvcj5UcmlwYXRoaTwvQXV0aG9yPjxZZWFyPjIwMTE8L1llYXI+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==
</w:fldData>
        </w:fldChar>
      </w:r>
      <w:r>
        <w:instrText xml:space="preserve"> ADDIN EN.CITE.DATA </w:instrText>
      </w:r>
      <w:r>
        <w:fldChar w:fldCharType="end"/>
      </w:r>
      <w:r>
        <w:fldChar w:fldCharType="separate"/>
      </w:r>
      <w:r>
        <w:rPr>
          <w:noProof/>
        </w:rPr>
        <w:t>[5, 18, 20]</w:t>
      </w:r>
      <w:r>
        <w:fldChar w:fldCharType="end"/>
      </w:r>
      <w:r>
        <w:t>. This will be described in the following paragraphs.</w:t>
      </w:r>
    </w:p>
    <w:p w14:paraId="75AD7975" w14:textId="77777777" w:rsidR="00714EA8" w:rsidRPr="0044750D" w:rsidRDefault="00714EA8" w:rsidP="00714EA8">
      <w:pPr>
        <w:pStyle w:val="berschrift4"/>
      </w:pPr>
      <w:r w:rsidRPr="00087982">
        <w:t>Feature pre-selection of interval-scaled variables</w:t>
      </w:r>
    </w:p>
    <w:p w14:paraId="1B19777D" w14:textId="0843E111" w:rsidR="00714EA8" w:rsidRDefault="00714EA8">
      <w:r>
        <w:t xml:space="preserve">The 52 </w:t>
      </w:r>
      <w:r w:rsidRPr="004E367D">
        <w:t>variables</w:t>
      </w:r>
      <w:r>
        <w:t xml:space="preserve"> available as continuous (interval-scaled) vectors </w:t>
      </w:r>
      <m:oMath>
        <m:r>
          <w:rPr>
            <w:rFonts w:ascii="Cambria Math" w:hAnsi="Cambria Math"/>
          </w:rPr>
          <m:t>X∈</m:t>
        </m:r>
        <m:sSup>
          <m:sSupPr>
            <m:ctrlPr>
              <w:rPr>
                <w:rFonts w:ascii="Cambria Math" w:hAnsi="Cambria Math"/>
                <w:i/>
              </w:rPr>
            </m:ctrlPr>
          </m:sSupPr>
          <m:e>
            <m:r>
              <m:rPr>
                <m:scr m:val="script"/>
              </m:rPr>
              <w:rPr>
                <w:rFonts w:ascii="Cambria Math" w:hAnsi="Cambria Math"/>
              </w:rPr>
              <m:t>R</m:t>
            </m:r>
          </m:e>
          <m:sup>
            <m:r>
              <w:rPr>
                <w:rFonts w:ascii="Cambria Math" w:hAnsi="Cambria Math"/>
              </w:rPr>
              <m:t>d</m:t>
            </m:r>
          </m:sup>
        </m:sSup>
      </m:oMath>
      <w:r>
        <w:t xml:space="preserve"> (feature vector) were mapped to the discrete classes </w:t>
      </w:r>
      <m:oMath>
        <m:r>
          <w:rPr>
            <w:rFonts w:ascii="Cambria Math" w:hAnsi="Cambria Math"/>
          </w:rPr>
          <m:t>Y∈</m:t>
        </m:r>
        <m:r>
          <m:rPr>
            <m:sty m:val="p"/>
          </m:rPr>
          <w:rPr>
            <w:rFonts w:ascii="Cambria Math" w:hAnsi="Cambria Math"/>
          </w:rPr>
          <m:t>Y</m:t>
        </m:r>
      </m:oMath>
      <w:r>
        <w:t xml:space="preserve"> with classes </w:t>
      </w:r>
      <w:r>
        <w:rPr>
          <w:i/>
        </w:rPr>
        <w:t>y</w:t>
      </w:r>
      <w:r>
        <w:rPr>
          <w:i/>
          <w:vertAlign w:val="subscript"/>
        </w:rPr>
        <w:t>1</w:t>
      </w:r>
      <w:r>
        <w:t xml:space="preserve"> and </w:t>
      </w:r>
      <w:r>
        <w:rPr>
          <w:i/>
        </w:rPr>
        <w:t>y</w:t>
      </w:r>
      <w:r>
        <w:rPr>
          <w:i/>
          <w:vertAlign w:val="subscript"/>
        </w:rPr>
        <w:t>2</w:t>
      </w:r>
      <w:r>
        <w:t xml:space="preserve"> accounting for the inclusion in or exclusion from the “persisting pain” group of a patient (see above). The classification rule </w:t>
      </w:r>
      <m:oMath>
        <m:sSup>
          <m:sSupPr>
            <m:ctrlPr>
              <w:rPr>
                <w:rFonts w:ascii="Cambria Math" w:hAnsi="Cambria Math"/>
                <w:i/>
              </w:rPr>
            </m:ctrlPr>
          </m:sSupPr>
          <m:e>
            <m:r>
              <m:rPr>
                <m:sty m:val="p"/>
              </m:rPr>
              <w:rPr>
                <w:rFonts w:ascii="Cambria Math" w:hAnsi="Cambria Math"/>
              </w:rPr>
              <m:t xml:space="preserve">ψ: </m:t>
            </m:r>
            <m:r>
              <m:rPr>
                <m:scr m:val="script"/>
              </m:rPr>
              <w:rPr>
                <w:rFonts w:ascii="Cambria Math" w:hAnsi="Cambria Math"/>
              </w:rPr>
              <m:t>R</m:t>
            </m:r>
          </m:e>
          <m:sup>
            <m:r>
              <w:rPr>
                <w:rFonts w:ascii="Cambria Math" w:hAnsi="Cambria Math"/>
              </w:rPr>
              <m:t>d</m:t>
            </m:r>
          </m:sup>
        </m:sSup>
        <m:r>
          <w:rPr>
            <w:rFonts w:ascii="Cambria Math" w:hAnsi="Cambria Math"/>
          </w:rPr>
          <m:t>→Y</m:t>
        </m:r>
      </m:oMath>
      <w:r>
        <w:t xml:space="preserve"> assigned a class label (persisting or non-persisting pain) to the data on the basis of the observation of its feature vector by partitioning the feature space in two decision regions </w:t>
      </w:r>
      <w:r>
        <w:rPr>
          <w:i/>
        </w:rPr>
        <w:t>D</w:t>
      </w:r>
      <w:r>
        <w:rPr>
          <w:i/>
          <w:vertAlign w:val="subscript"/>
        </w:rPr>
        <w:t>1</w:t>
      </w:r>
      <w:r>
        <w:t xml:space="preserve">, </w:t>
      </w:r>
      <w:r>
        <w:rPr>
          <w:i/>
        </w:rPr>
        <w:t>D</w:t>
      </w:r>
      <w:r>
        <w:rPr>
          <w:i/>
          <w:vertAlign w:val="subscript"/>
        </w:rPr>
        <w:t>2</w:t>
      </w:r>
      <w:r>
        <w:t xml:space="preserve"> (yes or no, respectively) </w:t>
      </w:r>
      <w:r w:rsidRPr="00322F39">
        <w:t xml:space="preserve">such that </w:t>
      </w:r>
      <m:oMath>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m:t>
        </m:r>
        <m:d>
          <m:dPr>
            <m:begChr m:val="{"/>
            <m:endChr m:val="}"/>
            <m:ctrlPr>
              <w:rPr>
                <w:rFonts w:ascii="Cambria Math" w:hAnsi="Cambria Math"/>
                <w:i/>
              </w:rPr>
            </m:ctrlPr>
          </m:dPr>
          <m:e>
            <m:r>
              <w:rPr>
                <w:rFonts w:ascii="Cambria Math" w:hAnsi="Cambria Math"/>
              </w:rPr>
              <m:t>x∈</m:t>
            </m:r>
            <m:sSup>
              <m:sSupPr>
                <m:ctrlPr>
                  <w:rPr>
                    <w:rFonts w:ascii="Cambria Math" w:hAnsi="Cambria Math"/>
                    <w:i/>
                  </w:rPr>
                </m:ctrlPr>
              </m:sSupPr>
              <m:e>
                <m:r>
                  <m:rPr>
                    <m:scr m:val="script"/>
                  </m:rPr>
                  <w:rPr>
                    <w:rFonts w:ascii="Cambria Math" w:hAnsi="Cambria Math"/>
                  </w:rPr>
                  <m:t>R</m:t>
                </m:r>
              </m:e>
              <m:sup>
                <m:r>
                  <w:rPr>
                    <w:rFonts w:ascii="Cambria Math" w:hAnsi="Cambria Math"/>
                  </w:rPr>
                  <m:t>d</m:t>
                </m:r>
              </m:sup>
            </m:sSup>
          </m:e>
          <m:e>
            <m:r>
              <m:rPr>
                <m:sty m:val="p"/>
              </m:rPr>
              <w:rPr>
                <w:rFonts w:ascii="Cambria Math" w:hAnsi="Cambria Math"/>
              </w:rPr>
              <m:t>ψ</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oMath>
      <w:r>
        <w:t xml:space="preserve">. The border between the two classes was obtained by applying the </w:t>
      </w:r>
      <w:r w:rsidRPr="00A95639">
        <w:t xml:space="preserve">Bayesian decision rule as </w:t>
      </w:r>
      <m:oMath>
        <m:sSub>
          <m:sSubPr>
            <m:ctrlPr>
              <w:rPr>
                <w:rFonts w:ascii="Cambria Math" w:hAnsi="Cambria Math"/>
              </w:rPr>
            </m:ctrlPr>
          </m:sSubPr>
          <m:e>
            <m:r>
              <m:rPr>
                <m:sty m:val="p"/>
              </m:rPr>
              <w:rPr>
                <w:rFonts w:ascii="Cambria Math" w:hAnsi="Cambria Math"/>
              </w:rPr>
              <m:t>ψ</m:t>
            </m:r>
          </m:e>
          <m:sub>
            <m:r>
              <w:rPr>
                <w:rFonts w:ascii="Cambria Math" w:hAnsi="Cambria Math"/>
              </w:rPr>
              <m:t>B</m:t>
            </m:r>
          </m:sub>
        </m:sSub>
        <m:d>
          <m:dPr>
            <m:ctrlPr>
              <w:rPr>
                <w:rFonts w:ascii="Cambria Math" w:hAnsi="Cambria Math"/>
                <w:i/>
              </w:rPr>
            </m:ctrlPr>
          </m:dPr>
          <m:e>
            <m:r>
              <w:rPr>
                <w:rFonts w:ascii="Cambria Math" w:hAnsi="Cambria Math"/>
              </w:rPr>
              <m:t>x</m:t>
            </m:r>
          </m:e>
        </m:d>
        <m:r>
          <w:rPr>
            <w:rFonts w:ascii="Cambria Math" w:hAnsi="Cambria Math"/>
          </w:rPr>
          <m:t xml:space="preserve">=if </m:t>
        </m:r>
        <m:sSub>
          <m:sSubPr>
            <m:ctrlPr>
              <w:rPr>
                <w:rFonts w:ascii="Cambria Math" w:hAnsi="Cambria Math"/>
                <w:i/>
              </w:rPr>
            </m:ctrlPr>
          </m:sSubPr>
          <m:e>
            <m:r>
              <w:rPr>
                <w:rFonts w:ascii="Cambria Math" w:hAnsi="Cambria Math"/>
              </w:rPr>
              <m:t>p</m:t>
            </m:r>
          </m:e>
          <m:sub>
            <m:r>
              <w:rPr>
                <w:rFonts w:ascii="Cambria Math" w:hAnsi="Cambria Math"/>
              </w:rPr>
              <m:t>Y|X</m:t>
            </m:r>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e>
          <m:e>
            <m:r>
              <w:rPr>
                <w:rFonts w:ascii="Cambria Math" w:hAnsi="Cambria Math"/>
              </w:rPr>
              <m:t>x</m:t>
            </m:r>
          </m:e>
        </m:d>
        <m:r>
          <w:rPr>
            <w:rFonts w:ascii="Cambria Math" w:hAnsi="Cambria Math"/>
          </w:rPr>
          <m:t>&gt;</m:t>
        </m:r>
        <m:sSub>
          <m:sSubPr>
            <m:ctrlPr>
              <w:rPr>
                <w:rFonts w:ascii="Cambria Math" w:hAnsi="Cambria Math"/>
                <w:i/>
              </w:rPr>
            </m:ctrlPr>
          </m:sSubPr>
          <m:e>
            <m:r>
              <w:rPr>
                <w:rFonts w:ascii="Cambria Math" w:hAnsi="Cambria Math"/>
              </w:rPr>
              <m:t>p</m:t>
            </m:r>
          </m:e>
          <m:sub>
            <m:r>
              <w:rPr>
                <w:rFonts w:ascii="Cambria Math" w:hAnsi="Cambria Math"/>
              </w:rPr>
              <m:t>Y|X</m:t>
            </m:r>
          </m:sub>
        </m:sSub>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2</m:t>
                </m:r>
              </m:sub>
            </m:sSub>
          </m:e>
          <m:e>
            <m:r>
              <w:rPr>
                <w:rFonts w:ascii="Cambria Math" w:hAnsi="Cambria Math"/>
              </w:rPr>
              <m:t>x</m:t>
            </m:r>
          </m:e>
        </m:d>
        <m:r>
          <w:rPr>
            <w:rFonts w:ascii="Cambria Math" w:hAnsi="Cambria Math"/>
          </w:rPr>
          <m:t xml:space="preserve"> then </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 xml:space="preserve">else </m:t>
        </m:r>
        <m:sSub>
          <m:sSubPr>
            <m:ctrlPr>
              <w:rPr>
                <w:rFonts w:ascii="Cambria Math" w:hAnsi="Cambria Math"/>
                <w:i/>
              </w:rPr>
            </m:ctrlPr>
          </m:sSubPr>
          <m:e>
            <m:r>
              <w:rPr>
                <w:rFonts w:ascii="Cambria Math" w:hAnsi="Cambria Math"/>
              </w:rPr>
              <m:t>y</m:t>
            </m:r>
          </m:e>
          <m:sub>
            <m:r>
              <w:rPr>
                <w:rFonts w:ascii="Cambria Math" w:hAnsi="Cambria Math"/>
              </w:rPr>
              <m:t>2</m:t>
            </m:r>
          </m:sub>
        </m:sSub>
      </m:oMath>
      <w:r w:rsidRPr="00A95639">
        <w:t xml:space="preserve"> </w:t>
      </w:r>
      <w:r w:rsidRPr="00A95639">
        <w:fldChar w:fldCharType="begin"/>
      </w:r>
      <w:r>
        <w:instrText xml:space="preserve"> ADDIN EN.CITE &lt;EndNote&gt;&lt;Cite&gt;&lt;Author&gt;McGrayne&lt;/Author&gt;&lt;Year&gt;2011&lt;/Year&gt;&lt;RecNum&gt;11964&lt;/RecNum&gt;&lt;DisplayText&gt;[12]&lt;/DisplayText&gt;&lt;record&gt;&lt;rec-number&gt;11964&lt;/rec-number&gt;&lt;foreign-keys&gt;&lt;key app="EN" db-id="asfzetfvyt5z2oe2af8p9aehfprpvtt2rv22" timestamp="1439910878"&gt;11964&lt;/key&gt;&lt;/foreign-keys&gt;&lt;ref-type name="Book"&gt;6&lt;/ref-type&gt;&lt;contributors&gt;&lt;authors&gt;&lt;author&gt;McGrayne, S. B.&lt;/author&gt;&lt;/authors&gt;&lt;/contributors&gt;&lt;titles&gt;&lt;title&gt;The Theory That Would Not Die: How Bayes&amp;apos; Rule Cracked the Enigma Code, Hunted Down Russian Submarines &amp;amp; Emerged Triumphant from Two Centuries of Controversy.&lt;/title&gt;&lt;/titles&gt;&lt;dates&gt;&lt;year&gt;2011&lt;/year&gt;&lt;/dates&gt;&lt;pub-location&gt;New Haven, CT, USA&lt;/pub-location&gt;&lt;publisher&gt;Yale University Press&lt;/publisher&gt;&lt;urls&gt;&lt;/urls&gt;&lt;/record&gt;&lt;/Cite&gt;&lt;/EndNote&gt;</w:instrText>
      </w:r>
      <w:r w:rsidRPr="00A95639">
        <w:fldChar w:fldCharType="separate"/>
      </w:r>
      <w:r>
        <w:rPr>
          <w:noProof/>
        </w:rPr>
        <w:t>[12]</w:t>
      </w:r>
      <w:r w:rsidRPr="00A95639">
        <w:fldChar w:fldCharType="end"/>
      </w:r>
      <w:r w:rsidRPr="00A95639">
        <w:t>. For 17</w:t>
      </w:r>
      <w:r>
        <w:t xml:space="preserve"> continuous variables, a decision border,</w:t>
      </w:r>
      <w:r w:rsidRPr="00451D9D">
        <w:t xml:space="preserve"> </w:t>
      </w:r>
      <w:r>
        <w:t xml:space="preserve">i.e. the point where the decision rule </w:t>
      </w:r>
      <m:oMath>
        <m:sSub>
          <m:sSubPr>
            <m:ctrlPr>
              <w:rPr>
                <w:rFonts w:ascii="Cambria Math" w:hAnsi="Cambria Math"/>
              </w:rPr>
            </m:ctrlPr>
          </m:sSubPr>
          <m:e>
            <m:r>
              <m:rPr>
                <m:sty m:val="p"/>
              </m:rPr>
              <w:rPr>
                <w:rFonts w:ascii="Cambria Math" w:hAnsi="Cambria Math"/>
              </w:rPr>
              <m:t>ψ</m:t>
            </m:r>
          </m:e>
          <m:sub>
            <m:r>
              <w:rPr>
                <w:rFonts w:ascii="Cambria Math" w:hAnsi="Cambria Math"/>
              </w:rPr>
              <m:t>B</m:t>
            </m:r>
          </m:sub>
        </m:sSub>
        <m:d>
          <m:dPr>
            <m:ctrlPr>
              <w:rPr>
                <w:rFonts w:ascii="Cambria Math" w:hAnsi="Cambria Math"/>
                <w:i/>
              </w:rPr>
            </m:ctrlPr>
          </m:dPr>
          <m:e>
            <m:r>
              <w:rPr>
                <w:rFonts w:ascii="Cambria Math" w:hAnsi="Cambria Math"/>
              </w:rPr>
              <m:t>x</m:t>
            </m:r>
          </m:e>
        </m:d>
        <m:r>
          <w:rPr>
            <w:rFonts w:ascii="Cambria Math" w:hAnsi="Cambria Math"/>
          </w:rPr>
          <m:t xml:space="preserve"> </m:t>
        </m:r>
      </m:oMath>
      <w:r>
        <w:t>changes its value, could be obtained. For the other continuous variables, the distributions among patients belonging to a class and those not belonging to that class were virtually identical, not allowing a separation of the persisting pain and non-persisting pain groups.</w:t>
      </w:r>
    </w:p>
    <w:p w14:paraId="3B09C529" w14:textId="77777777" w:rsidR="00714EA8" w:rsidRPr="00CF7C8A" w:rsidRDefault="00714EA8" w:rsidP="00714EA8">
      <w:pPr>
        <w:pStyle w:val="berschrift4"/>
      </w:pPr>
      <w:r w:rsidRPr="00087982">
        <w:t>Feature pre-selection of discrete variables</w:t>
      </w:r>
    </w:p>
    <w:p w14:paraId="00DD8C11" w14:textId="263CE894" w:rsidR="00714EA8" w:rsidRDefault="00714EA8">
      <w:pPr>
        <w:tabs>
          <w:tab w:val="left" w:pos="5490"/>
        </w:tabs>
      </w:pPr>
      <w:r>
        <w:t xml:space="preserve">Of the 154 </w:t>
      </w:r>
      <w:r w:rsidRPr="004C2638">
        <w:t>variables</w:t>
      </w:r>
      <w:r>
        <w:t xml:space="preserve"> available as discrete vectors </w:t>
      </w:r>
      <m:oMath>
        <m:r>
          <w:rPr>
            <w:rFonts w:ascii="Cambria Math" w:hAnsi="Cambria Math"/>
          </w:rPr>
          <m:t>X∈</m:t>
        </m:r>
        <m:sSup>
          <m:sSupPr>
            <m:ctrlPr>
              <w:rPr>
                <w:rFonts w:ascii="Cambria Math" w:hAnsi="Cambria Math"/>
                <w:i/>
              </w:rPr>
            </m:ctrlPr>
          </m:sSupPr>
          <m:e>
            <m:r>
              <w:rPr>
                <w:rFonts w:ascii="Cambria Math" w:hAnsi="Cambria Math"/>
              </w:rPr>
              <m:t>N</m:t>
            </m:r>
          </m:e>
          <m:sup>
            <m:r>
              <w:rPr>
                <w:rFonts w:ascii="Cambria Math" w:hAnsi="Cambria Math"/>
              </w:rPr>
              <m:t>d</m:t>
            </m:r>
          </m:sup>
        </m:sSup>
      </m:oMath>
      <w:r>
        <w:t xml:space="preserve"> (feature vector), 41 were not directly related to pain while 113 addressed pain or its impact on the patient’s life. Specifically, pain-related </w:t>
      </w:r>
      <w:r w:rsidRPr="004C2638">
        <w:t>parameters</w:t>
      </w:r>
      <w:r>
        <w:t xml:space="preserve"> included questions about how much the pain has affected the patient’s life or disturbed the patient’s sleep: these were asked separately for relevant body locations including the operated breast, the axilla, the upper arm, the lower arm, hand/fingers and the associated joints of the same side, and any other body location (“elsewhere”). In the machine-learning approach aimed at identifying the most informative parameters (features) for patient classification, a major focus on pain-related </w:t>
      </w:r>
      <w:r w:rsidRPr="004C2638">
        <w:t>parameters</w:t>
      </w:r>
      <w:r>
        <w:t xml:space="preserve"> could have led to the selection of many closely-related </w:t>
      </w:r>
      <w:r w:rsidRPr="004C2638">
        <w:t>parameters</w:t>
      </w:r>
      <w:r>
        <w:t xml:space="preserve">, disregarding other clinical parameters (features). Therefore, an additional aggregation step was implemented combining several pain-related </w:t>
      </w:r>
      <w:r w:rsidRPr="004C2638">
        <w:t>parameters</w:t>
      </w:r>
      <w:r>
        <w:t xml:space="preserve"> as shown in Table 1 and described in detail in the following paragraph.</w:t>
      </w:r>
    </w:p>
    <w:p w14:paraId="4E53174E" w14:textId="66DF0148" w:rsidR="00714EA8" w:rsidRDefault="00714EA8">
      <w:pPr>
        <w:tabs>
          <w:tab w:val="left" w:pos="5490"/>
        </w:tabs>
      </w:pPr>
      <w:r>
        <w:t xml:space="preserve">Aggregation for body area was obtained as the arithmetic mean of the ratings of pain-related impact </w:t>
      </w:r>
      <w:r w:rsidRPr="003A5F33">
        <w:t xml:space="preserve">on the patient’s life asked separately for several anatomical regions, which are specified in full detail in Table 1. For example, the average degree to which pain in the upper extremity had influenced the patient’s life at month 1 after surgery was obtained </w:t>
      </w:r>
      <w:proofErr w:type="gramStart"/>
      <w:r w:rsidRPr="003A5F33">
        <w:t xml:space="preserve">as </w:t>
      </w:r>
      <w:proofErr w:type="gramEnd"/>
      <m:oMath>
        <m:sSub>
          <m:sSubPr>
            <m:ctrlPr>
              <w:rPr>
                <w:rFonts w:ascii="Cambria Math" w:hAnsi="Cambria Math"/>
                <w:i/>
              </w:rPr>
            </m:ctrlPr>
          </m:sSubPr>
          <m:e>
            <m:r>
              <w:rPr>
                <w:rFonts w:ascii="Cambria Math" w:hAnsi="Cambria Math"/>
              </w:rPr>
              <m:t>AffectingLife</m:t>
            </m:r>
            <m:ctrlPr>
              <w:rPr>
                <w:rFonts w:ascii="Cambria Math" w:hAnsi="Cambria Math"/>
              </w:rPr>
            </m:ctrlPr>
          </m:e>
          <m:sub>
            <m:r>
              <w:rPr>
                <w:rFonts w:ascii="Cambria Math" w:hAnsi="Cambria Math"/>
                <w:vertAlign w:val="subscript"/>
              </w:rPr>
              <m:t>extremity,month</m:t>
            </m:r>
            <m:r>
              <w:rPr>
                <w:rFonts w:ascii="Cambria Math" w:hAnsi="Cambria Math"/>
                <w:vertAlign w:val="subscript"/>
              </w:rPr>
              <m:t>1</m:t>
            </m:r>
          </m:sub>
        </m:sSub>
        <m:r>
          <w:rPr>
            <w:rFonts w:ascii="Cambria Math" w:hAnsi="Cambria Math"/>
          </w:rPr>
          <m:t>=</m:t>
        </m:r>
        <m:f>
          <m:fPr>
            <m:ctrlPr>
              <w:rPr>
                <w:rFonts w:ascii="Cambria Math" w:hAnsi="Cambria Math"/>
                <w:i/>
              </w:rPr>
            </m:ctrlPr>
          </m:fPr>
          <m:num>
            <m:r>
              <w:rPr>
                <w:rFonts w:ascii="Cambria Math" w:hAnsi="Cambria Math"/>
              </w:rPr>
              <m:t>1</m:t>
            </m:r>
            <m:ctrlPr>
              <w:rPr>
                <w:rFonts w:ascii="Cambria Math" w:hAnsi="Cambria Math"/>
              </w:rPr>
            </m:ctrlPr>
          </m:num>
          <m:den>
            <m:r>
              <w:rPr>
                <w:rFonts w:ascii="Cambria Math" w:hAnsi="Cambria Math"/>
              </w:rPr>
              <m:t>5</m:t>
            </m:r>
          </m:den>
        </m:f>
        <m:r>
          <w:rPr>
            <w:rFonts w:ascii="Cambria Math" w:hAnsi="Cambria Math"/>
          </w:rPr>
          <m:t>∙</m:t>
        </m:r>
        <m:nary>
          <m:naryPr>
            <m:chr m:val="∑"/>
            <m:limLoc m:val="undOvr"/>
            <m:subHide m:val="1"/>
            <m:supHide m:val="1"/>
            <m:ctrlPr>
              <w:rPr>
                <w:rFonts w:ascii="Cambria Math" w:hAnsi="Cambria Math"/>
                <w:i/>
              </w:rPr>
            </m:ctrlPr>
          </m:naryPr>
          <m:sub/>
          <m:sup/>
          <m:e>
            <m:eqArr>
              <m:eqArrPr>
                <m:ctrlPr>
                  <w:rPr>
                    <w:rFonts w:ascii="Cambria Math" w:hAnsi="Cambria Math"/>
                    <w:i/>
                  </w:rPr>
                </m:ctrlPr>
              </m:eqArrPr>
              <m:e>
                <m:sSub>
                  <m:sSubPr>
                    <m:ctrlPr>
                      <w:rPr>
                        <w:rFonts w:ascii="Cambria Math" w:hAnsi="Cambria Math"/>
                        <w:i/>
                      </w:rPr>
                    </m:ctrlPr>
                  </m:sSubPr>
                  <m:e>
                    <m:r>
                      <w:rPr>
                        <w:rFonts w:ascii="Cambria Math" w:hAnsi="Cambria Math"/>
                      </w:rPr>
                      <m:t>AffectingLife</m:t>
                    </m:r>
                  </m:e>
                  <m:sub>
                    <m:r>
                      <w:rPr>
                        <w:rFonts w:ascii="Cambria Math" w:hAnsi="Cambria Math"/>
                      </w:rPr>
                      <m:t>axilla,month</m:t>
                    </m:r>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AffectingLife</m:t>
                    </m:r>
                  </m:e>
                  <m:sub>
                    <m:r>
                      <w:rPr>
                        <w:rFonts w:ascii="Cambria Math" w:hAnsi="Cambria Math"/>
                      </w:rPr>
                      <m:t>upper arm, month</m:t>
                    </m:r>
                    <m:r>
                      <w:rPr>
                        <w:rFonts w:ascii="Cambria Math" w:hAnsi="Cambria Math"/>
                      </w:rPr>
                      <m:t>1</m:t>
                    </m:r>
                  </m:sub>
                </m:sSub>
                <m:r>
                  <w:rPr>
                    <w:rFonts w:ascii="Cambria Math" w:hAnsi="Cambria Math"/>
                  </w:rPr>
                  <m:t>,</m:t>
                </m:r>
              </m:e>
              <m:e>
                <m:sSub>
                  <m:sSubPr>
                    <m:ctrlPr>
                      <w:rPr>
                        <w:rFonts w:ascii="Cambria Math" w:hAnsi="Cambria Math"/>
                        <w:i/>
                      </w:rPr>
                    </m:ctrlPr>
                  </m:sSubPr>
                  <m:e>
                    <m:r>
                      <w:rPr>
                        <w:rFonts w:ascii="Cambria Math" w:hAnsi="Cambria Math"/>
                      </w:rPr>
                      <m:t>AffectingLife</m:t>
                    </m:r>
                  </m:e>
                  <m:sub>
                    <m:r>
                      <w:rPr>
                        <w:rFonts w:ascii="Cambria Math" w:hAnsi="Cambria Math"/>
                      </w:rPr>
                      <m:t>elbow, month</m:t>
                    </m:r>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AffectingLife</m:t>
                    </m:r>
                  </m:e>
                  <m:sub>
                    <m:r>
                      <w:rPr>
                        <w:rFonts w:ascii="Cambria Math" w:hAnsi="Cambria Math"/>
                      </w:rPr>
                      <m:t>lower arm, month</m:t>
                    </m:r>
                    <m:r>
                      <w:rPr>
                        <w:rFonts w:ascii="Cambria Math" w:hAnsi="Cambria Math"/>
                      </w:rPr>
                      <m:t>1</m:t>
                    </m:r>
                  </m:sub>
                </m:sSub>
                <m:r>
                  <w:rPr>
                    <w:rFonts w:ascii="Cambria Math" w:hAnsi="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AffectingLife</m:t>
                    </m:r>
                  </m:e>
                  <m:sub>
                    <m:r>
                      <w:rPr>
                        <w:rFonts w:ascii="Cambria Math" w:hAnsi="Cambria Math"/>
                      </w:rPr>
                      <m:t>hand,month</m:t>
                    </m:r>
                    <m:r>
                      <w:rPr>
                        <w:rFonts w:ascii="Cambria Math" w:hAnsi="Cambria Math"/>
                      </w:rPr>
                      <m:t>1</m:t>
                    </m:r>
                  </m:sub>
                </m:sSub>
              </m:e>
            </m:eqArr>
          </m:e>
        </m:nary>
      </m:oMath>
      <w:r w:rsidRPr="003A5F33">
        <w:t xml:space="preserve">. Aggregation for time was obtained as the arithmetic mean of the ratings of the pain-related impact on the patient’s life asked for the same anatomical region at several different time points after surgery. For example, the average degree to which pain in the axilla had affected the patient’s life was obtained as the mean of the values obtained at month 1 and month 2 after surgery. In the same manner, averages were calculated for pain in the upper arm, the lower arm, the hand, and the joints and </w:t>
      </w:r>
      <w:proofErr w:type="gramStart"/>
      <w:r w:rsidRPr="003A5F33">
        <w:t>fingers, that</w:t>
      </w:r>
      <w:proofErr w:type="gramEnd"/>
      <w:r w:rsidRPr="003A5F33">
        <w:t xml:space="preserve"> influenced the patient’s life. These provided the aggregated variables “</w:t>
      </w:r>
      <w:proofErr w:type="spellStart"/>
      <w:r>
        <w:rPr>
          <w:i/>
        </w:rPr>
        <w:t>AffectingLife</w:t>
      </w:r>
      <w:r w:rsidRPr="003A5F33">
        <w:rPr>
          <w:i/>
          <w:vertAlign w:val="subscript"/>
        </w:rPr>
        <w:t>UpperArmMean</w:t>
      </w:r>
      <w:proofErr w:type="spellEnd"/>
      <w:r w:rsidRPr="003A5F33">
        <w:t>”, “</w:t>
      </w:r>
      <w:proofErr w:type="spellStart"/>
      <w:r>
        <w:rPr>
          <w:i/>
        </w:rPr>
        <w:t>AffectingLife</w:t>
      </w:r>
      <w:r w:rsidRPr="003A5F33">
        <w:rPr>
          <w:i/>
          <w:vertAlign w:val="subscript"/>
        </w:rPr>
        <w:t>LowerArmMean</w:t>
      </w:r>
      <w:proofErr w:type="spellEnd"/>
      <w:r w:rsidRPr="003A5F33">
        <w:t>”, “</w:t>
      </w:r>
      <w:proofErr w:type="spellStart"/>
      <w:r w:rsidRPr="00EB6C3C">
        <w:rPr>
          <w:i/>
        </w:rPr>
        <w:t>AffectingLife</w:t>
      </w:r>
      <w:r w:rsidRPr="00EB6C3C">
        <w:rPr>
          <w:i/>
          <w:vertAlign w:val="subscript"/>
        </w:rPr>
        <w:t>HandMean</w:t>
      </w:r>
      <w:proofErr w:type="spellEnd"/>
      <w:r w:rsidRPr="003A5F33">
        <w:t>” and “</w:t>
      </w:r>
      <w:proofErr w:type="spellStart"/>
      <w:r>
        <w:rPr>
          <w:i/>
        </w:rPr>
        <w:t>AffectingLife</w:t>
      </w:r>
      <w:r w:rsidRPr="003A5F33">
        <w:rPr>
          <w:i/>
          <w:vertAlign w:val="subscript"/>
        </w:rPr>
        <w:t>JointsMean</w:t>
      </w:r>
      <w:proofErr w:type="spellEnd"/>
      <w:r w:rsidRPr="003A5F33">
        <w:t>”, respectively. Similarly, the average degree to which pain in the axilla had disturbed the patient’s sleep was obtained as</w:t>
      </w:r>
      <w:r>
        <w:t xml:space="preserve"> the mean ratings of sleep disturbances during month 1 and month 6 after surgery, and further averages were calculated for the pain in the operated breast and the joints, which were inquired about for sleep effects, providing the aggregated variables “</w:t>
      </w:r>
      <w:proofErr w:type="spellStart"/>
      <w:r w:rsidRPr="003646D4">
        <w:rPr>
          <w:i/>
        </w:rPr>
        <w:t>SleepDisturbance</w:t>
      </w:r>
      <w:r w:rsidRPr="003646D4">
        <w:rPr>
          <w:i/>
          <w:vertAlign w:val="subscript"/>
        </w:rPr>
        <w:t>PainBre</w:t>
      </w:r>
      <w:r>
        <w:rPr>
          <w:i/>
          <w:vertAlign w:val="subscript"/>
        </w:rPr>
        <w:t>a</w:t>
      </w:r>
      <w:r w:rsidRPr="003646D4">
        <w:rPr>
          <w:i/>
          <w:vertAlign w:val="subscript"/>
        </w:rPr>
        <w:t>st</w:t>
      </w:r>
      <w:proofErr w:type="spellEnd"/>
      <w:r>
        <w:t>” and “</w:t>
      </w:r>
      <w:proofErr w:type="spellStart"/>
      <w:r w:rsidRPr="00F31FE0">
        <w:rPr>
          <w:i/>
        </w:rPr>
        <w:t>SleepDisturbance</w:t>
      </w:r>
      <w:r w:rsidRPr="00F31FE0">
        <w:rPr>
          <w:i/>
          <w:vertAlign w:val="subscript"/>
        </w:rPr>
        <w:t>Pain</w:t>
      </w:r>
      <w:r>
        <w:rPr>
          <w:i/>
          <w:vertAlign w:val="subscript"/>
        </w:rPr>
        <w:t>Joints</w:t>
      </w:r>
      <w:proofErr w:type="spellEnd"/>
      <w:r>
        <w:t>”, respectively. At one and six months after surgery, patients had been asked to rate the pain during the past week in the breast, the axilla, the upper arm, lower arm, hand or in some other location, which when averaged provided the aggregated variables “</w:t>
      </w:r>
      <w:proofErr w:type="spellStart"/>
      <w:r w:rsidRPr="003646D4">
        <w:rPr>
          <w:i/>
        </w:rPr>
        <w:t>MeanPainPastWeek</w:t>
      </w:r>
      <w:r w:rsidRPr="003646D4">
        <w:rPr>
          <w:i/>
          <w:vertAlign w:val="subscript"/>
        </w:rPr>
        <w:t>Bre</w:t>
      </w:r>
      <w:r>
        <w:rPr>
          <w:i/>
          <w:vertAlign w:val="subscript"/>
        </w:rPr>
        <w:t>a</w:t>
      </w:r>
      <w:r w:rsidRPr="003646D4">
        <w:rPr>
          <w:i/>
          <w:vertAlign w:val="subscript"/>
        </w:rPr>
        <w:t>st</w:t>
      </w:r>
      <w:proofErr w:type="spellEnd"/>
      <w:r>
        <w:t>“, “</w:t>
      </w:r>
      <w:proofErr w:type="spellStart"/>
      <w:r w:rsidRPr="003646D4">
        <w:rPr>
          <w:i/>
        </w:rPr>
        <w:t>MeanPainPastWeek</w:t>
      </w:r>
      <w:r w:rsidRPr="003646D4">
        <w:rPr>
          <w:i/>
          <w:vertAlign w:val="subscript"/>
        </w:rPr>
        <w:t>Axilla</w:t>
      </w:r>
      <w:proofErr w:type="spellEnd"/>
      <w:r>
        <w:t>”, “</w:t>
      </w:r>
      <w:proofErr w:type="spellStart"/>
      <w:r w:rsidRPr="003646D4">
        <w:rPr>
          <w:i/>
        </w:rPr>
        <w:t>MeanPainPastWeek</w:t>
      </w:r>
      <w:r w:rsidRPr="003646D4">
        <w:rPr>
          <w:i/>
          <w:vertAlign w:val="subscript"/>
        </w:rPr>
        <w:t>UpperArm</w:t>
      </w:r>
      <w:proofErr w:type="spellEnd"/>
      <w:r>
        <w:t>”, “</w:t>
      </w:r>
      <w:proofErr w:type="spellStart"/>
      <w:r w:rsidRPr="00F31FE0">
        <w:rPr>
          <w:i/>
        </w:rPr>
        <w:t>MeanPainPastWeek</w:t>
      </w:r>
      <w:r>
        <w:rPr>
          <w:i/>
          <w:vertAlign w:val="subscript"/>
        </w:rPr>
        <w:t>Low</w:t>
      </w:r>
      <w:r w:rsidRPr="00F31FE0">
        <w:rPr>
          <w:i/>
          <w:vertAlign w:val="subscript"/>
        </w:rPr>
        <w:t>erArm</w:t>
      </w:r>
      <w:proofErr w:type="spellEnd"/>
      <w:r>
        <w:t>”, “</w:t>
      </w:r>
      <w:proofErr w:type="spellStart"/>
      <w:r w:rsidRPr="00F31FE0">
        <w:rPr>
          <w:i/>
        </w:rPr>
        <w:t>MeanPainPastWeek</w:t>
      </w:r>
      <w:r>
        <w:rPr>
          <w:i/>
          <w:vertAlign w:val="subscript"/>
        </w:rPr>
        <w:t>Hand</w:t>
      </w:r>
      <w:proofErr w:type="spellEnd"/>
      <w:r>
        <w:t>” and “</w:t>
      </w:r>
      <w:proofErr w:type="spellStart"/>
      <w:r w:rsidRPr="00F31FE0">
        <w:rPr>
          <w:i/>
        </w:rPr>
        <w:t>MeanPainPastWeek</w:t>
      </w:r>
      <w:r>
        <w:rPr>
          <w:i/>
          <w:vertAlign w:val="subscript"/>
        </w:rPr>
        <w:t>somewhere</w:t>
      </w:r>
      <w:proofErr w:type="spellEnd"/>
      <w:r>
        <w:t>”, respectively.</w:t>
      </w:r>
    </w:p>
    <w:p w14:paraId="64B1EED7" w14:textId="61D7B1D3" w:rsidR="001B6A27" w:rsidRPr="00401FA1" w:rsidRDefault="00714EA8" w:rsidP="00401FA1">
      <w:r>
        <w:t xml:space="preserve">Subsequently, the deviation between the </w:t>
      </w:r>
      <w:r w:rsidRPr="000B68F3">
        <w:t>parameter</w:t>
      </w:r>
      <w:r>
        <w:t xml:space="preserve"> distributions in the n = 779 “non-persisting pain” group (P) and the n = 70 “persisting pain” group (Q) was analyzed. This difference in distributions was expressed using the symmetrized </w:t>
      </w:r>
      <w:proofErr w:type="spellStart"/>
      <w:r>
        <w:t>Kullback</w:t>
      </w:r>
      <w:proofErr w:type="spellEnd"/>
      <w:r>
        <w:t>–</w:t>
      </w:r>
      <w:proofErr w:type="spellStart"/>
      <w:r>
        <w:t>Leibler</w:t>
      </w:r>
      <w:proofErr w:type="spellEnd"/>
      <w:r>
        <w:t xml:space="preserve"> divergence </w:t>
      </w:r>
      <w:r>
        <w:fldChar w:fldCharType="begin"/>
      </w:r>
      <w:r>
        <w:instrText xml:space="preserve"> ADDIN EN.CITE &lt;EndNote&gt;&lt;Cite&gt;&lt;Author&gt;Kullback&lt;/Author&gt;&lt;Year&gt;1951&lt;/Year&gt;&lt;RecNum&gt;12121&lt;/RecNum&gt;&lt;DisplayText&gt;[11]&lt;/DisplayText&gt;&lt;record&gt;&lt;rec-number&gt;12121&lt;/rec-number&gt;&lt;foreign-keys&gt;&lt;key app="EN" db-id="asfzetfvyt5z2oe2af8p9aehfprpvtt2rv22" timestamp="1451668856"&gt;12121&lt;/key&gt;&lt;/foreign-keys&gt;&lt;ref-type name="Journal Article"&gt;17&lt;/ref-type&gt;&lt;contributors&gt;&lt;authors&gt;&lt;author&gt;Kullback, S.&lt;/author&gt;&lt;author&gt;Leibler, R. A.&lt;/author&gt;&lt;/authors&gt;&lt;/contributors&gt;&lt;titles&gt;&lt;title&gt;On Information and Sufficiency&lt;/title&gt;&lt;alt-title&gt;Ann. Math. Statist.&lt;/alt-title&gt;&lt;/titles&gt;&lt;alt-periodical&gt;&lt;abbr-1&gt;Ann. Math. Statist.&lt;/abbr-1&gt;&lt;/alt-periodical&gt;&lt;pages&gt;79-86&lt;/pages&gt;&lt;number&gt;1&lt;/number&gt;&lt;dates&gt;&lt;year&gt;1951&lt;/year&gt;&lt;pub-dates&gt;&lt;date&gt;1951/03&lt;/date&gt;&lt;/pub-dates&gt;&lt;/dates&gt;&lt;publisher&gt;The Institute of Mathematical Statistics&lt;/publisher&gt;&lt;isbn&gt;0003-4851&lt;/isbn&gt;&lt;urls&gt;&lt;related-urls&gt;&lt;url&gt;http://projecteuclid.org/euclid.aoms/1177729694&lt;/url&gt;&lt;/related-urls&gt;&lt;/urls&gt;&lt;electronic-resource-num&gt;10.1214/aoms/1177729694&lt;/electronic-resource-num&gt;&lt;language&gt;en&lt;/language&gt;&lt;/record&gt;&lt;/Cite&gt;&lt;/EndNote&gt;</w:instrText>
      </w:r>
      <w:r>
        <w:fldChar w:fldCharType="separate"/>
      </w:r>
      <w:r>
        <w:rPr>
          <w:noProof/>
        </w:rPr>
        <w:t>[11]</w:t>
      </w:r>
      <w:r>
        <w:fldChar w:fldCharType="end"/>
      </w:r>
      <w:r>
        <w:t xml:space="preserve"> </w:t>
      </w:r>
      <m:oMath>
        <m:sSub>
          <m:sSubPr>
            <m:ctrlPr>
              <w:rPr>
                <w:rFonts w:ascii="Cambria Math" w:hAnsi="Cambria Math"/>
                <w:i/>
              </w:rPr>
            </m:ctrlPr>
          </m:sSubPr>
          <m:e>
            <m:r>
              <w:rPr>
                <w:rFonts w:ascii="Cambria Math" w:hAnsi="Cambria Math"/>
              </w:rPr>
              <m:t>D</m:t>
            </m:r>
          </m:e>
          <m:sub>
            <m:r>
              <w:rPr>
                <w:rFonts w:ascii="Cambria Math" w:hAnsi="Cambria Math"/>
              </w:rPr>
              <m:t>SKL</m:t>
            </m:r>
          </m:sub>
        </m:sSub>
        <m:d>
          <m:dPr>
            <m:ctrlPr>
              <w:rPr>
                <w:rFonts w:ascii="Cambria Math" w:hAnsi="Cambria Math"/>
                <w:i/>
              </w:rPr>
            </m:ctrlPr>
          </m:dPr>
          <m:e>
            <m:r>
              <w:rPr>
                <w:rFonts w:ascii="Cambria Math" w:hAnsi="Cambria Math"/>
              </w:rPr>
              <m:t>P||Q</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KL</m:t>
            </m:r>
          </m:sub>
        </m:sSub>
        <m:d>
          <m:dPr>
            <m:ctrlPr>
              <w:rPr>
                <w:rFonts w:ascii="Cambria Math" w:hAnsi="Cambria Math"/>
                <w:i/>
              </w:rPr>
            </m:ctrlPr>
          </m:dPr>
          <m:e>
            <m:r>
              <w:rPr>
                <w:rFonts w:ascii="Cambria Math" w:hAnsi="Cambria Math"/>
              </w:rPr>
              <m:t>P||Q</m:t>
            </m:r>
          </m:e>
        </m:d>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KL</m:t>
            </m:r>
          </m:sub>
        </m:sSub>
        <m:d>
          <m:dPr>
            <m:ctrlPr>
              <w:rPr>
                <w:rFonts w:ascii="Cambria Math" w:hAnsi="Cambria Math"/>
                <w:i/>
              </w:rPr>
            </m:ctrlPr>
          </m:dPr>
          <m:e>
            <m:r>
              <w:rPr>
                <w:rFonts w:ascii="Cambria Math" w:hAnsi="Cambria Math"/>
              </w:rPr>
              <m:t>Q||P</m:t>
            </m:r>
          </m:e>
        </m:d>
      </m:oMath>
      <w:r>
        <w:t xml:space="preserve"> </w:t>
      </w:r>
      <w:r w:rsidRPr="000945EA">
        <w:t>with</w:t>
      </w:r>
      <w:r>
        <w:t xml:space="preserve"> </w:t>
      </w:r>
      <m:oMath>
        <m:sSub>
          <m:sSubPr>
            <m:ctrlPr>
              <w:rPr>
                <w:rFonts w:ascii="Cambria Math" w:hAnsi="Cambria Math"/>
                <w:i/>
              </w:rPr>
            </m:ctrlPr>
          </m:sSubPr>
          <m:e>
            <m:r>
              <w:rPr>
                <w:rFonts w:ascii="Cambria Math" w:hAnsi="Cambria Math"/>
              </w:rPr>
              <m:t>D</m:t>
            </m:r>
          </m:e>
          <m:sub>
            <m:r>
              <w:rPr>
                <w:rFonts w:ascii="Cambria Math" w:hAnsi="Cambria Math"/>
              </w:rPr>
              <m:t>KL</m:t>
            </m:r>
          </m:sub>
        </m:sSub>
        <m:d>
          <m:dPr>
            <m:ctrlPr>
              <w:rPr>
                <w:rFonts w:ascii="Cambria Math" w:hAnsi="Cambria Math"/>
                <w:i/>
              </w:rPr>
            </m:ctrlPr>
          </m:dPr>
          <m:e>
            <m:r>
              <w:rPr>
                <w:rFonts w:ascii="Cambria Math" w:hAnsi="Cambria Math"/>
              </w:rPr>
              <m:t>P||Q</m:t>
            </m:r>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∙log</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e>
        </m:nary>
      </m:oMath>
      <w:r w:rsidRPr="008A7E24">
        <w:t xml:space="preserve">. Pain ratings acquired for particular locations were </w:t>
      </w:r>
      <w:r w:rsidR="008A7E24" w:rsidRPr="00401FA1">
        <w:t xml:space="preserve">averaged </w:t>
      </w:r>
      <w:r w:rsidRPr="008A7E24">
        <w:t xml:space="preserve">over body locations </w:t>
      </w:r>
      <w:r w:rsidR="008A7E24" w:rsidRPr="00401FA1">
        <w:t xml:space="preserve">or </w:t>
      </w:r>
      <w:r w:rsidRPr="008A7E24">
        <w:t>over different time points</w:t>
      </w:r>
      <w:r w:rsidR="008A7E24">
        <w:t xml:space="preserve"> (for details, see Table 1 of the main document)</w:t>
      </w:r>
      <w:r w:rsidRPr="008A7E24">
        <w:t>. This resulted in 21 possible discrete parameters (features), which passed this feature pre-selection step.</w:t>
      </w:r>
      <w:r w:rsidR="008A7E24" w:rsidRPr="00401FA1">
        <w:t xml:space="preserve"> </w:t>
      </w:r>
      <w:r w:rsidR="001B6A27" w:rsidRPr="00401FA1">
        <w:t xml:space="preserve">Regarding the pain ratings, we asked patients at different time points to rate the pain intensity in different locations (e.g. </w:t>
      </w:r>
      <w:r w:rsidR="0090092C" w:rsidRPr="00401FA1">
        <w:t>axilla</w:t>
      </w:r>
      <w:r w:rsidR="001B6A27" w:rsidRPr="00401FA1">
        <w:t>, upper arm, lower arm etc.</w:t>
      </w:r>
      <w:r w:rsidR="00186839">
        <w:t>; for details, see Table 1 of the main document and the Supplementary Table</w:t>
      </w:r>
      <w:r w:rsidR="001B6A27" w:rsidRPr="00401FA1">
        <w:t>), using different measures (such as how much the pain affected daily activities or the mean pain intensity during the previous week). The means of the respective measurements at the different time points were calculated for each body location.</w:t>
      </w:r>
    </w:p>
    <w:p w14:paraId="2C79DE51" w14:textId="77777777" w:rsidR="00714EA8" w:rsidRPr="00DA5DDD" w:rsidRDefault="00714EA8" w:rsidP="00714EA8">
      <w:pPr>
        <w:pStyle w:val="berschrift4"/>
      </w:pPr>
      <w:r w:rsidRPr="00B41EA2">
        <w:t>Feature pre-selection of binary variables</w:t>
      </w:r>
    </w:p>
    <w:p w14:paraId="5A5290E8" w14:textId="42DABE98" w:rsidR="00714EA8" w:rsidRDefault="00714EA8">
      <w:r>
        <w:t xml:space="preserve">The 336 </w:t>
      </w:r>
      <w:r w:rsidRPr="000B68F3">
        <w:t>variables</w:t>
      </w:r>
      <w:r>
        <w:t xml:space="preserve"> available as binary (“yes”/”no”) vectors </w:t>
      </w:r>
      <m:oMath>
        <m:r>
          <w:rPr>
            <w:rFonts w:ascii="Cambria Math" w:hAnsi="Cambria Math"/>
          </w:rPr>
          <m:t>X∈</m:t>
        </m:r>
        <m:sSup>
          <m:sSupPr>
            <m:ctrlPr>
              <w:rPr>
                <w:rFonts w:ascii="Cambria Math" w:hAnsi="Cambria Math"/>
                <w:i/>
              </w:rPr>
            </m:ctrlPr>
          </m:sSupPr>
          <m:e>
            <m:r>
              <w:rPr>
                <w:rFonts w:ascii="Cambria Math" w:hAnsi="Cambria Math"/>
              </w:rPr>
              <m:t>B</m:t>
            </m:r>
          </m:e>
          <m:sup>
            <m:r>
              <w:rPr>
                <w:rFonts w:ascii="Cambria Math" w:hAnsi="Cambria Math"/>
              </w:rPr>
              <m:t>d</m:t>
            </m:r>
          </m:sup>
        </m:sSup>
      </m:oMath>
      <w:r w:rsidRPr="00E03789">
        <w:t xml:space="preserve"> </w:t>
      </w:r>
      <w:r>
        <w:t xml:space="preserve">(feature vector) were mapped to the discrete classes </w:t>
      </w:r>
      <m:oMath>
        <m:r>
          <w:rPr>
            <w:rFonts w:ascii="Cambria Math" w:hAnsi="Cambria Math"/>
          </w:rPr>
          <m:t>Y∈</m:t>
        </m:r>
        <m:r>
          <m:rPr>
            <m:sty m:val="p"/>
          </m:rPr>
          <w:rPr>
            <w:rFonts w:ascii="Cambria Math" w:hAnsi="Cambria Math"/>
          </w:rPr>
          <m:t>Y</m:t>
        </m:r>
      </m:oMath>
      <w:r w:rsidRPr="00E03789">
        <w:t xml:space="preserve"> </w:t>
      </w:r>
      <w:r>
        <w:t>using the odds ratio combined with prediction accuracy. Specifically, the odds ratio (</w:t>
      </w:r>
      <w:r>
        <w:rPr>
          <w:i/>
        </w:rPr>
        <w:t>OR</w:t>
      </w:r>
      <w:r>
        <w:t xml:space="preserve">) related the probability, </w:t>
      </w:r>
      <w:r>
        <w:rPr>
          <w:i/>
        </w:rPr>
        <w:t>A</w:t>
      </w:r>
      <w:r>
        <w:t xml:space="preserve">, of belonging to the “persisting pain” group in the presence of a feature to the probability, </w:t>
      </w:r>
      <w:r>
        <w:rPr>
          <w:i/>
        </w:rPr>
        <w:t>B</w:t>
      </w:r>
      <w:r>
        <w:t xml:space="preserve">, of belonging to that group in the absence of the same feature, </w:t>
      </w:r>
      <w:r w:rsidRPr="001412B1">
        <w:t xml:space="preserve">i.e. </w:t>
      </w:r>
      <m:oMath>
        <m:r>
          <w:rPr>
            <w:rFonts w:ascii="Cambria Math" w:hAnsi="Cambria Math"/>
          </w:rPr>
          <m:t>OR=</m:t>
        </m:r>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A</m:t>
                </m:r>
              </m:e>
            </m:d>
            <m:r>
              <w:rPr>
                <w:rFonts w:ascii="Cambria Math" w:hAnsi="Cambria Math"/>
              </w:rPr>
              <m:t>∙</m:t>
            </m:r>
            <m:d>
              <m:dPr>
                <m:ctrlPr>
                  <w:rPr>
                    <w:rFonts w:ascii="Cambria Math" w:hAnsi="Cambria Math"/>
                    <w:i/>
                  </w:rPr>
                </m:ctrlPr>
              </m:dPr>
              <m:e>
                <m:r>
                  <w:rPr>
                    <w:rFonts w:ascii="Cambria Math" w:hAnsi="Cambria Math"/>
                  </w:rPr>
                  <m:t>1-P</m:t>
                </m:r>
                <m:d>
                  <m:dPr>
                    <m:ctrlPr>
                      <w:rPr>
                        <w:rFonts w:ascii="Cambria Math" w:hAnsi="Cambria Math"/>
                        <w:i/>
                      </w:rPr>
                    </m:ctrlPr>
                  </m:dPr>
                  <m:e>
                    <m:r>
                      <w:rPr>
                        <w:rFonts w:ascii="Cambria Math" w:hAnsi="Cambria Math"/>
                      </w:rPr>
                      <m:t>B</m:t>
                    </m:r>
                  </m:e>
                </m:d>
              </m:e>
            </m:d>
          </m:num>
          <m:den>
            <m:r>
              <w:rPr>
                <w:rFonts w:ascii="Cambria Math" w:hAnsi="Cambria Math"/>
              </w:rPr>
              <m:t>P</m:t>
            </m:r>
            <m:d>
              <m:dPr>
                <m:ctrlPr>
                  <w:rPr>
                    <w:rFonts w:ascii="Cambria Math" w:hAnsi="Cambria Math"/>
                    <w:i/>
                  </w:rPr>
                </m:ctrlPr>
              </m:dPr>
              <m:e>
                <m:r>
                  <w:rPr>
                    <w:rFonts w:ascii="Cambria Math" w:hAnsi="Cambria Math"/>
                  </w:rPr>
                  <m:t>B</m:t>
                </m:r>
              </m:e>
            </m:d>
            <m:r>
              <w:rPr>
                <w:rFonts w:ascii="Cambria Math" w:hAnsi="Cambria Math"/>
              </w:rPr>
              <m:t>∙</m:t>
            </m:r>
            <m:d>
              <m:dPr>
                <m:ctrlPr>
                  <w:rPr>
                    <w:rFonts w:ascii="Cambria Math" w:hAnsi="Cambria Math"/>
                    <w:i/>
                  </w:rPr>
                </m:ctrlPr>
              </m:dPr>
              <m:e>
                <m:r>
                  <w:rPr>
                    <w:rFonts w:ascii="Cambria Math" w:hAnsi="Cambria Math"/>
                  </w:rPr>
                  <m:t>1-P</m:t>
                </m:r>
                <m:d>
                  <m:dPr>
                    <m:ctrlPr>
                      <w:rPr>
                        <w:rFonts w:ascii="Cambria Math" w:hAnsi="Cambria Math"/>
                        <w:i/>
                      </w:rPr>
                    </m:ctrlPr>
                  </m:dPr>
                  <m:e>
                    <m:r>
                      <w:rPr>
                        <w:rFonts w:ascii="Cambria Math" w:hAnsi="Cambria Math"/>
                      </w:rPr>
                      <m:t>A</m:t>
                    </m:r>
                  </m:e>
                </m:d>
              </m:e>
            </m:d>
          </m:den>
        </m:f>
      </m:oMath>
      <w:r w:rsidRPr="00E03789">
        <w:t>.</w:t>
      </w:r>
      <w:r>
        <w:t xml:space="preserve"> None of the binary </w:t>
      </w:r>
      <w:r w:rsidRPr="000B68F3">
        <w:t>variables</w:t>
      </w:r>
      <w:r>
        <w:t xml:space="preserve"> achieved a better accuracy than obtained by chance. Therefore, the binary </w:t>
      </w:r>
      <w:r w:rsidRPr="000B68F3">
        <w:t>variables</w:t>
      </w:r>
      <w:r>
        <w:t xml:space="preserve"> were excluded as effective predictive parameters (features).</w:t>
      </w:r>
    </w:p>
    <w:p w14:paraId="2C8DF910" w14:textId="77777777" w:rsidR="00714EA8" w:rsidRPr="00DA5DDD" w:rsidRDefault="00714EA8" w:rsidP="00714EA8">
      <w:pPr>
        <w:pStyle w:val="berschrift3"/>
      </w:pPr>
      <w:r w:rsidRPr="00B41EA2">
        <w:t xml:space="preserve">Feature </w:t>
      </w:r>
      <w:r>
        <w:t xml:space="preserve">(parameter) </w:t>
      </w:r>
      <w:r w:rsidRPr="00B41EA2">
        <w:t>selection</w:t>
      </w:r>
    </w:p>
    <w:p w14:paraId="5D989A0D" w14:textId="7CFC8CB4" w:rsidR="00714EA8" w:rsidRDefault="00714EA8">
      <w:r>
        <w:t xml:space="preserve">The third analytical step </w:t>
      </w:r>
      <w:r w:rsidR="00B25163">
        <w:t xml:space="preserve">(Figure 2 in the main document, right part) </w:t>
      </w:r>
      <w:r>
        <w:t xml:space="preserve">targeted the selection of those parameters that qualified for inclusion in a predictive tool (classifier) of the pain persistence groups (output space). During this step, those </w:t>
      </w:r>
      <w:r w:rsidRPr="007B75D9">
        <w:t>parameters</w:t>
      </w:r>
      <w:r>
        <w:t xml:space="preserve"> were eliminated that had passed feature </w:t>
      </w:r>
      <w:r w:rsidRPr="006F15B4">
        <w:t>(parameter)</w:t>
      </w:r>
      <w:r>
        <w:t xml:space="preserve"> pre-selection but failed to provide sufficient relevant information justifying their inclusion in the predictive tool. Thus, following the pre-selection of 38 candidate parameters (features) for the </w:t>
      </w:r>
      <w:r>
        <w:rPr>
          <w:lang w:val="en-GB"/>
        </w:rPr>
        <w:t xml:space="preserve">classifier for persistent pain after breast cancer surgery (17 continuous and 21 discrete </w:t>
      </w:r>
      <w:r w:rsidRPr="000B68F3">
        <w:rPr>
          <w:lang w:val="en-GB"/>
        </w:rPr>
        <w:t>variables</w:t>
      </w:r>
      <w:r>
        <w:rPr>
          <w:lang w:val="en-GB"/>
        </w:rPr>
        <w:t>)</w:t>
      </w:r>
      <w:proofErr w:type="gramStart"/>
      <w:r>
        <w:rPr>
          <w:lang w:val="en-GB"/>
        </w:rPr>
        <w:t>,</w:t>
      </w:r>
      <w:proofErr w:type="gramEnd"/>
      <w:r>
        <w:rPr>
          <w:lang w:val="en-GB"/>
        </w:rPr>
        <w:t xml:space="preserve"> those </w:t>
      </w:r>
      <w:r w:rsidRPr="000B68F3">
        <w:rPr>
          <w:lang w:val="en-GB"/>
        </w:rPr>
        <w:t>parameters</w:t>
      </w:r>
      <w:r>
        <w:rPr>
          <w:lang w:val="en-GB"/>
        </w:rPr>
        <w:t xml:space="preserve"> were selected that provided significant contributions to the classification accuracy while those </w:t>
      </w:r>
      <w:r w:rsidRPr="000B68F3">
        <w:rPr>
          <w:lang w:val="en-GB"/>
        </w:rPr>
        <w:t>parameters</w:t>
      </w:r>
      <w:r>
        <w:rPr>
          <w:lang w:val="en-GB"/>
        </w:rPr>
        <w:t xml:space="preserve"> that lacked such significant contribution were eliminated. Therefore, in this analysis, taking only the most informative parameters, some </w:t>
      </w:r>
      <w:r w:rsidRPr="000B68F3">
        <w:rPr>
          <w:lang w:val="en-GB"/>
        </w:rPr>
        <w:t>parameters were excluded,</w:t>
      </w:r>
      <w:r>
        <w:rPr>
          <w:lang w:val="en-GB"/>
        </w:rPr>
        <w:t xml:space="preserve"> despite their displaying significant differences between pain persistence groups, if they did not provide further improvement of group classification than already obtained with other parameters. Specifically, the aim of the analysis was to identify a parameter set that provided the best classification of patients, as opposed to merely </w:t>
      </w:r>
      <w:proofErr w:type="spellStart"/>
      <w:r>
        <w:rPr>
          <w:lang w:val="en-GB"/>
        </w:rPr>
        <w:t>analy</w:t>
      </w:r>
      <w:r w:rsidR="002F4C8C">
        <w:rPr>
          <w:lang w:val="en-GB"/>
        </w:rPr>
        <w:t>z</w:t>
      </w:r>
      <w:r>
        <w:rPr>
          <w:lang w:val="en-GB"/>
        </w:rPr>
        <w:t>ing</w:t>
      </w:r>
      <w:proofErr w:type="spellEnd"/>
      <w:r>
        <w:rPr>
          <w:lang w:val="en-GB"/>
        </w:rPr>
        <w:t xml:space="preserve"> each parameter with respect to group differences. The selection of the most suitable </w:t>
      </w:r>
      <w:r w:rsidRPr="000B68F3">
        <w:rPr>
          <w:lang w:val="en-GB"/>
        </w:rPr>
        <w:t>parameters</w:t>
      </w:r>
      <w:r>
        <w:rPr>
          <w:lang w:val="en-GB"/>
        </w:rPr>
        <w:t xml:space="preserve"> for the final classifier was achieved by applying </w:t>
      </w:r>
      <w:r>
        <w:t xml:space="preserve">a calculated ABC analysis </w:t>
      </w:r>
      <w:r>
        <w:fldChar w:fldCharType="begin"/>
      </w:r>
      <w:r>
        <w:instrText xml:space="preserve"> ADDIN EN.CITE &lt;EndNote&gt;&lt;Cite&gt;&lt;Author&gt;Ultsch&lt;/Author&gt;&lt;Year&gt;2015&lt;/Year&gt;&lt;RecNum&gt;11837&lt;/RecNum&gt;&lt;DisplayText&gt;[19]&lt;/DisplayText&gt;&lt;record&gt;&lt;rec-number&gt;11837&lt;/rec-number&gt;&lt;foreign-keys&gt;&lt;key app="EN" db-id="asfzetfvyt5z2oe2af8p9aehfprpvtt2rv22" timestamp="1434050962"&gt;11837&lt;/key&gt;&lt;/foreign-keys&gt;&lt;ref-type name="Journal Article"&gt;17&lt;/ref-type&gt;&lt;contributors&gt;&lt;authors&gt;&lt;author&gt;Ultsch, Alfred&lt;/author&gt;&lt;author&gt;Lötsch, Jörn&lt;/author&gt;&lt;/authors&gt;&lt;/contributors&gt;&lt;titles&gt;&lt;title&gt;Computed ABC Analysis for Rational Selection of Most Informative Variables in Multivariate Data&lt;/title&gt;&lt;secondary-title&gt;PLoS One&lt;/secondary-title&gt;&lt;/titles&gt;&lt;periodical&gt;&lt;full-title&gt;PLoS One&lt;/full-title&gt;&lt;/periodical&gt;&lt;pages&gt;e0129767&lt;/pages&gt;&lt;volume&gt;10&lt;/volume&gt;&lt;number&gt;6&lt;/number&gt;&lt;dates&gt;&lt;year&gt;2015&lt;/year&gt;&lt;/dates&gt;&lt;isbn&gt;1932-6203&lt;/isbn&gt;&lt;accession-num&gt;26061064&lt;/accession-num&gt;&lt;label&gt;ENG&lt;/label&gt;&lt;urls&gt;&lt;related-urls&gt;&lt;url&gt;http://dx.doi.org/10.1371/journal.pone.0129767&lt;/url&gt;&lt;/related-urls&gt;&lt;/urls&gt;&lt;electronic-resource-num&gt;10.1371/journal.pone.0129767&lt;/electronic-resource-num&gt;&lt;remote-database-name&gt;PubMed&lt;/remote-database-name&gt;&lt;remote-database-provider&gt;Pubmed2Endnote by Riadh Hammami&lt;/remote-database-provider&gt;&lt;/record&gt;&lt;/Cite&gt;&lt;/EndNote&gt;</w:instrText>
      </w:r>
      <w:r>
        <w:fldChar w:fldCharType="separate"/>
      </w:r>
      <w:r>
        <w:rPr>
          <w:noProof/>
        </w:rPr>
        <w:t>[19]</w:t>
      </w:r>
      <w:r>
        <w:fldChar w:fldCharType="end"/>
      </w:r>
      <w:r>
        <w:t xml:space="preserve">. This is </w:t>
      </w:r>
      <w:r w:rsidRPr="006455D5">
        <w:t xml:space="preserve">an inventory </w:t>
      </w:r>
      <w:proofErr w:type="spellStart"/>
      <w:r w:rsidRPr="006455D5">
        <w:t>categorisation</w:t>
      </w:r>
      <w:proofErr w:type="spellEnd"/>
      <w:r w:rsidRPr="006455D5">
        <w:t xml:space="preserve"> technique originally developed</w:t>
      </w:r>
      <w:r>
        <w:t xml:space="preserve"> </w:t>
      </w:r>
      <w:r w:rsidRPr="00742197">
        <w:t xml:space="preserve">for </w:t>
      </w:r>
      <w:r>
        <w:t>problems</w:t>
      </w:r>
      <w:r w:rsidRPr="00742197">
        <w:t xml:space="preserve"> in economics</w:t>
      </w:r>
      <w:r>
        <w:t xml:space="preserve"> to search for a subset with minimum effort that gives the maximum yield </w:t>
      </w:r>
      <w:r>
        <w:fldChar w:fldCharType="begin"/>
      </w:r>
      <w:r>
        <w:instrText xml:space="preserve"> ADDIN EN.CITE &lt;EndNote&gt;&lt;Cite&gt;&lt;Author&gt;Pareto&lt;/Author&gt;&lt;Year&gt;1909&lt;/Year&gt;&lt;RecNum&gt;11732&lt;/RecNum&gt;&lt;DisplayText&gt;[10, 15]&lt;/DisplayText&gt;&lt;record&gt;&lt;rec-number&gt;11732&lt;/rec-number&gt;&lt;foreign-keys&gt;&lt;key app="EN" db-id="asfzetfvyt5z2oe2af8p9aehfprpvtt2rv22" timestamp="1422809695"&gt;11732&lt;/key&gt;&lt;/foreign-keys&gt;&lt;ref-type name="Classical Work"&gt;49&lt;/ref-type&gt;&lt;contributors&gt;&lt;authors&gt;&lt;author&gt;Pareto, V.&lt;/author&gt;&lt;/authors&gt;&lt;/contributors&gt;&lt;titles&gt;&lt;title&gt;Manuale di economia politica, Milan: Società editrice libraria, revised and translated into French as Manuel d’économie politique&lt;/title&gt;&lt;/titles&gt;&lt;dates&gt;&lt;year&gt;1909&lt;/year&gt;&lt;/dates&gt;&lt;pub-location&gt;Paris&lt;/pub-location&gt;&lt;publisher&gt;Giard et Briére&lt;/publisher&gt;&lt;urls&gt;&lt;/urls&gt;&lt;/record&gt;&lt;/Cite&gt;&lt;Cite&gt;&lt;Author&gt;Juran&lt;/Author&gt;&lt;Year&gt;1975&lt;/Year&gt;&lt;RecNum&gt;11710&lt;/RecNum&gt;&lt;record&gt;&lt;rec-number&gt;11710&lt;/rec-number&gt;&lt;foreign-keys&gt;&lt;key app="EN" db-id="asfzetfvyt5z2oe2af8p9aehfprpvtt2rv22" timestamp="1420735950"&gt;11710&lt;/key&gt;&lt;/foreign-keys&gt;&lt;ref-type name="Journal Article"&gt;17&lt;/ref-type&gt;&lt;contributors&gt;&lt;authors&gt;&lt;author&gt;Juran, J. M.&lt;/author&gt;&lt;/authors&gt;&lt;/contributors&gt;&lt;titles&gt;&lt;title&gt;The non-Pareto principle; Mea culpa.&lt;/title&gt;&lt;secondary-title&gt;Quality Progress&lt;/secondary-title&gt;&lt;/titles&gt;&lt;periodical&gt;&lt;full-title&gt;Quality Progress&lt;/full-title&gt;&lt;/periodical&gt;&lt;pages&gt;8-9&lt;/pages&gt;&lt;volume&gt;8&lt;/volume&gt;&lt;number&gt;5&lt;/number&gt;&lt;dates&gt;&lt;year&gt;1975&lt;/year&gt;&lt;/dates&gt;&lt;urls&gt;&lt;/urls&gt;&lt;/record&gt;&lt;/Cite&gt;&lt;/EndNote&gt;</w:instrText>
      </w:r>
      <w:r>
        <w:fldChar w:fldCharType="separate"/>
      </w:r>
      <w:r>
        <w:rPr>
          <w:noProof/>
        </w:rPr>
        <w:t>[10, 15]</w:t>
      </w:r>
      <w:r>
        <w:fldChar w:fldCharType="end"/>
      </w:r>
      <w:r>
        <w:t xml:space="preserve">. It divides a set of positive (yield) data into three disjoint subsets called “A”, “B” and “C”. Subset “A” comprised "the important few" which promise maximum gain with low effort whereas subset “C” comprises "the trivial many", i.e., non-profitable values. Subset “B” comprises the values where effort and gain are in balance. Its results are visualized in an ABC curve </w:t>
      </w:r>
      <w:r>
        <w:fldChar w:fldCharType="begin"/>
      </w:r>
      <w:r>
        <w:instrText xml:space="preserve"> ADDIN EN.CITE &lt;EndNote&gt;&lt;Cite&gt;&lt;Author&gt;Gastwirth&lt;/Author&gt;&lt;Year&gt;1976&lt;/Year&gt;&lt;RecNum&gt;11723&lt;/RecNum&gt;&lt;DisplayText&gt;[7]&lt;/DisplayText&gt;&lt;record&gt;&lt;rec-number&gt;11723&lt;/rec-number&gt;&lt;foreign-keys&gt;&lt;key app="EN" db-id="asfzetfvyt5z2oe2af8p9aehfprpvtt2rv22" timestamp="1421827281"&gt;11723&lt;/key&gt;&lt;/foreign-keys&gt;&lt;ref-type name="Journal Article"&gt;17&lt;/ref-type&gt;&lt;contributors&gt;&lt;authors&gt;&lt;author&gt;Gastwirth, J. L.&lt;/author&gt;&lt;author&gt;Glauberman, M.&lt;/author&gt;&lt;/authors&gt;&lt;/contributors&gt;&lt;titles&gt;&lt;title&gt;The Interpolation of the Lorenz curve and Gini index from grouped data&lt;/title&gt;&lt;secondary-title&gt;Econometrica&lt;/secondary-title&gt;&lt;/titles&gt;&lt;periodical&gt;&lt;full-title&gt;Econometrica&lt;/full-title&gt;&lt;/periodical&gt;&lt;pages&gt;479-483&lt;/pages&gt;&lt;volume&gt;44&lt;/volume&gt;&lt;number&gt;3&lt;/number&gt;&lt;dates&gt;&lt;year&gt;1976&lt;/year&gt;&lt;/dates&gt;&lt;urls&gt;&lt;/urls&gt;&lt;/record&gt;&lt;/Cite&gt;&lt;/EndNote&gt;</w:instrText>
      </w:r>
      <w:r>
        <w:fldChar w:fldCharType="separate"/>
      </w:r>
      <w:r>
        <w:rPr>
          <w:noProof/>
        </w:rPr>
        <w:t>[7]</w:t>
      </w:r>
      <w:r>
        <w:fldChar w:fldCharType="end"/>
      </w:r>
      <w:r>
        <w:t xml:space="preserve"> </w:t>
      </w:r>
      <w:r w:rsidRPr="006C07DB">
        <w:t>representing the distribution function</w:t>
      </w:r>
      <w:r>
        <w:t xml:space="preserve"> of effort versus cumulative yield.</w:t>
      </w:r>
    </w:p>
    <w:p w14:paraId="425ACA40" w14:textId="28337131" w:rsidR="00714EA8" w:rsidRDefault="00714EA8">
      <w:r>
        <w:t xml:space="preserve">To obtain a robust selection of parameters (features), the process was repeated using Monte Carlo resampling. Specifically, for the 17 continuous parameters the best possible Bayesian decision limits were identified iteratively. For the discrete parameters, all possible decision thresholds were used. Subsequently, a preliminary classification obtained with all </w:t>
      </w:r>
      <w:r w:rsidRPr="00932369">
        <w:t>parameters</w:t>
      </w:r>
      <w:r>
        <w:t xml:space="preserve"> was analyzed to test specificity versus sensitivity. The contribution of each candidate </w:t>
      </w:r>
      <w:r w:rsidRPr="00932369">
        <w:t>factor</w:t>
      </w:r>
      <w:r>
        <w:t xml:space="preserve"> to the area under the specificity versus sensitivity plot (area under the curve, AUC) </w:t>
      </w:r>
      <w:r>
        <w:fldChar w:fldCharType="begin"/>
      </w:r>
      <w:r>
        <w:instrText xml:space="preserve"> ADDIN EN.CITE &lt;EndNote&gt;&lt;Cite&gt;&lt;Author&gt;Metz&lt;/Author&gt;&lt;Year&gt;1978&lt;/Year&gt;&lt;RecNum&gt;9526&lt;/RecNum&gt;&lt;DisplayText&gt;[13]&lt;/DisplayText&gt;&lt;record&gt;&lt;rec-number&gt;9526&lt;/rec-number&gt;&lt;foreign-keys&gt;&lt;key app="EN" db-id="asfzetfvyt5z2oe2af8p9aehfprpvtt2rv22" timestamp="1301086185"&gt;9526&lt;/key&gt;&lt;key app="ENWeb" db-id="TixPFwrtqggAAHUXxtc"&gt;8883&lt;/key&gt;&lt;/foreign-keys&gt;&lt;ref-type name="Journal Article"&gt;17&lt;/ref-type&gt;&lt;contributors&gt;&lt;authors&gt;&lt;author&gt;Metz, C. E.&lt;/author&gt;&lt;/authors&gt;&lt;/contributors&gt;&lt;titles&gt;&lt;title&gt;Basic principles of ROC analysis&lt;/title&gt;&lt;secondary-title&gt;Semin Nucl Med&lt;/secondary-title&gt;&lt;/titles&gt;&lt;periodical&gt;&lt;full-title&gt;Semin Nucl Med&lt;/full-title&gt;&lt;/periodical&gt;&lt;pages&gt;283-98&lt;/pages&gt;&lt;volume&gt;8&lt;/volume&gt;&lt;number&gt;4&lt;/number&gt;&lt;edition&gt;1978/10/01&lt;/edition&gt;&lt;keywords&gt;&lt;keyword&gt;Cost-Benefit Analysis&lt;/keyword&gt;&lt;keyword&gt;Decision Making&lt;/keyword&gt;&lt;keyword&gt;Diagnosis&lt;/keyword&gt;&lt;keyword&gt;Diagnosis, Differential&lt;/keyword&gt;&lt;keyword&gt;Diagnostic Errors&lt;/keyword&gt;&lt;keyword&gt;Evaluation Studies as Topic&lt;/keyword&gt;&lt;keyword&gt;False Positive Reactions&lt;/keyword&gt;&lt;keyword&gt;Humans&lt;/keyword&gt;&lt;keyword&gt;Methods&lt;/keyword&gt;&lt;keyword&gt;Models, Theoretical&lt;/keyword&gt;&lt;keyword&gt;Radionuclide Imaging&lt;/keyword&gt;&lt;keyword&gt;Statistics as Topic&lt;/keyword&gt;&lt;/keywords&gt;&lt;dates&gt;&lt;year&gt;1978&lt;/year&gt;&lt;pub-dates&gt;&lt;date&gt;Oct&lt;/date&gt;&lt;/pub-dates&gt;&lt;/dates&gt;&lt;isbn&gt;0001-2998 (Print)&amp;#xD;0001-2998 (Linking)&lt;/isbn&gt;&lt;accession-num&gt;112681&lt;/accession-num&gt;&lt;urls&gt;&lt;/urls&gt;&lt;remote-database-provider&gt;nlm&lt;/remote-database-provider&gt;&lt;language&gt;eng&lt;/language&gt;&lt;/record&gt;&lt;/Cite&gt;&lt;/EndNote&gt;</w:instrText>
      </w:r>
      <w:r>
        <w:fldChar w:fldCharType="separate"/>
      </w:r>
      <w:r>
        <w:rPr>
          <w:noProof/>
        </w:rPr>
        <w:t>[13]</w:t>
      </w:r>
      <w:r>
        <w:fldChar w:fldCharType="end"/>
      </w:r>
      <w:r>
        <w:t xml:space="preserve"> was subjected to ABC analysis, which identified the parameters belonging to set “A”, i.e., those features that promise the most gain in terms of correct clinical diagnosis. During resampling, this procedure was repeated 1,000 times with 50% of the patients randomly (group-wise) drawn from the complete data set</w:t>
      </w:r>
      <w:r w:rsidR="005F2CF1">
        <w:t>, i.e., a class-size proportional subsample of 50 % of the cases was randomly chosen and the feature selection was performed</w:t>
      </w:r>
      <w:r w:rsidR="0022691B">
        <w:t xml:space="preserve"> using this data subset</w:t>
      </w:r>
      <w:r w:rsidR="005F2CF1">
        <w:t xml:space="preserve">. </w:t>
      </w:r>
      <w:r>
        <w:t xml:space="preserve">Only parameters that always belonged to ABC set “A” (mean and confidence interval of the placement from the set “A” threshold) </w:t>
      </w:r>
      <w:proofErr w:type="gramStart"/>
      <w:r>
        <w:t>were selected</w:t>
      </w:r>
      <w:proofErr w:type="gramEnd"/>
      <w:r>
        <w:t xml:space="preserve"> for further consideration as components of the desired classifier. Six continuous and 15 discrete </w:t>
      </w:r>
      <w:r w:rsidRPr="00932369">
        <w:t>parameters</w:t>
      </w:r>
      <w:r>
        <w:t xml:space="preserve"> passed this feature selection step.</w:t>
      </w:r>
    </w:p>
    <w:p w14:paraId="300DD7D0" w14:textId="77777777" w:rsidR="00714EA8" w:rsidRDefault="00714EA8" w:rsidP="00714EA8">
      <w:pPr>
        <w:pStyle w:val="berschrift3"/>
      </w:pPr>
      <w:r w:rsidRPr="00B41EA2">
        <w:t>Establishment of a predictive classifier</w:t>
      </w:r>
    </w:p>
    <w:p w14:paraId="1E1D02E2" w14:textId="77777777" w:rsidR="00714EA8" w:rsidRPr="00FC50C2" w:rsidRDefault="00714EA8" w:rsidP="00714EA8">
      <w:pPr>
        <w:pStyle w:val="berschrift4"/>
      </w:pPr>
      <w:r>
        <w:t>Creation of the classifier</w:t>
      </w:r>
    </w:p>
    <w:p w14:paraId="0DBC70AA" w14:textId="62BF6B30" w:rsidR="004179DD" w:rsidRDefault="00B25163" w:rsidP="00714EA8">
      <w:proofErr w:type="gramStart"/>
      <w:r>
        <w:t xml:space="preserve">In the </w:t>
      </w:r>
      <w:proofErr w:type="spellStart"/>
      <w:r>
        <w:t>forth</w:t>
      </w:r>
      <w:proofErr w:type="spellEnd"/>
      <w:r>
        <w:t xml:space="preserve"> analytical </w:t>
      </w:r>
      <w:r w:rsidR="00416AA6">
        <w:t>step</w:t>
      </w:r>
      <w:r>
        <w:t xml:space="preserve"> (Figure 2 in the main document, bottom right), from </w:t>
      </w:r>
      <w:r w:rsidR="00714EA8">
        <w:t xml:space="preserve">the 21 single or aggregated </w:t>
      </w:r>
      <w:r w:rsidR="00714EA8" w:rsidRPr="00932369">
        <w:t>variables</w:t>
      </w:r>
      <w:r w:rsidR="00714EA8">
        <w:t xml:space="preserve"> (Table 1 in the main document; 6 continuous, 15 discrete variables; see also Figure 2 in the main document) that had passed the two-step process of feature selection and therefore qualified as candidate predictors of persisting pain group membership, </w:t>
      </w:r>
      <w:r w:rsidR="007A0DDA" w:rsidRPr="007A0DDA">
        <w:rPr>
          <w:lang w:val="de-DE"/>
        </w:rPr>
        <w:t xml:space="preserve">a </w:t>
      </w:r>
      <w:proofErr w:type="spellStart"/>
      <w:r w:rsidR="007A0DDA" w:rsidRPr="007A0DDA">
        <w:rPr>
          <w:lang w:val="de-DE"/>
        </w:rPr>
        <w:t>diagnostic</w:t>
      </w:r>
      <w:proofErr w:type="spellEnd"/>
      <w:r w:rsidR="007A0DDA" w:rsidRPr="007A0DDA">
        <w:rPr>
          <w:lang w:val="de-DE"/>
        </w:rPr>
        <w:t xml:space="preserve"> </w:t>
      </w:r>
      <w:proofErr w:type="spellStart"/>
      <w:r w:rsidR="007A0DDA" w:rsidRPr="007A0DDA">
        <w:rPr>
          <w:lang w:val="de-DE"/>
        </w:rPr>
        <w:t>instrument</w:t>
      </w:r>
      <w:proofErr w:type="spellEnd"/>
      <w:r w:rsidR="007A0DDA" w:rsidRPr="007A0DDA">
        <w:rPr>
          <w:lang w:val="de-DE"/>
        </w:rPr>
        <w:t xml:space="preserve"> </w:t>
      </w:r>
      <w:proofErr w:type="spellStart"/>
      <w:r w:rsidR="007A0DDA" w:rsidRPr="007A0DDA">
        <w:rPr>
          <w:lang w:val="de-DE"/>
        </w:rPr>
        <w:t>consisting</w:t>
      </w:r>
      <w:proofErr w:type="spellEnd"/>
      <w:r w:rsidR="007A0DDA" w:rsidRPr="007A0DDA">
        <w:rPr>
          <w:lang w:val="de-DE"/>
        </w:rPr>
        <w:t xml:space="preserve"> </w:t>
      </w:r>
      <w:proofErr w:type="spellStart"/>
      <w:r w:rsidR="007A0DDA" w:rsidRPr="007A0DDA">
        <w:rPr>
          <w:lang w:val="de-DE"/>
        </w:rPr>
        <w:t>of</w:t>
      </w:r>
      <w:proofErr w:type="spellEnd"/>
      <w:r w:rsidR="007A0DDA" w:rsidRPr="007A0DDA">
        <w:rPr>
          <w:lang w:val="de-DE"/>
        </w:rPr>
        <w:t xml:space="preserve"> a </w:t>
      </w:r>
      <w:proofErr w:type="spellStart"/>
      <w:r w:rsidR="007A0DDA" w:rsidRPr="007A0DDA">
        <w:rPr>
          <w:lang w:val="de-DE"/>
        </w:rPr>
        <w:t>rule-based</w:t>
      </w:r>
      <w:proofErr w:type="spellEnd"/>
      <w:r w:rsidR="007A0DDA" w:rsidRPr="007A0DDA">
        <w:rPr>
          <w:lang w:val="de-DE"/>
        </w:rPr>
        <w:t xml:space="preserve"> </w:t>
      </w:r>
      <w:proofErr w:type="spellStart"/>
      <w:r w:rsidR="007A0DDA" w:rsidRPr="007A0DDA">
        <w:rPr>
          <w:lang w:val="de-DE"/>
        </w:rPr>
        <w:t>classifier</w:t>
      </w:r>
      <w:proofErr w:type="spellEnd"/>
      <w:r w:rsidR="007A0DDA" w:rsidRPr="007A0DDA">
        <w:rPr>
          <w:lang w:val="de-DE"/>
        </w:rPr>
        <w:t xml:space="preserve"> </w:t>
      </w:r>
      <w:r w:rsidR="007A0DDA" w:rsidRPr="007A0DDA">
        <w:rPr>
          <w:lang w:val="de-DE"/>
        </w:rPr>
        <w:fldChar w:fldCharType="begin"/>
      </w:r>
      <w:r w:rsidR="007A0DDA" w:rsidRPr="007A0DDA">
        <w:rPr>
          <w:lang w:val="de-DE"/>
        </w:rPr>
        <w:instrText xml:space="preserve"> ADDIN EN.CITE &lt;EndNote&gt;&lt;Cite&gt;&lt;Author&gt;Weiss&lt;/Author&gt;&lt;Year&gt;1995&lt;/Year&gt;&lt;RecNum&gt;15539&lt;/RecNum&gt;&lt;DisplayText&gt;[21]&lt;/DisplayText&gt;&lt;record&gt;&lt;rec-number&gt;15539&lt;/rec-number&gt;&lt;foreign-keys&gt;&lt;key app="EN" db-id="asfzetfvyt5z2oe2af8p9aehfprpvtt2rv22" timestamp="1524507438"&gt;15539&lt;/key&gt;&lt;/foreign-keys&gt;&lt;ref-type name="Journal Article"&gt;17&lt;/ref-type&gt;&lt;contributors&gt;&lt;authors&gt;&lt;author&gt;Sholom M. Weiss&lt;/author&gt;&lt;author&gt;Nitin Indurkhya&lt;/author&gt;&lt;/authors&gt;&lt;/contributors&gt;&lt;titles&gt;&lt;title&gt;Rule-based machine learning methods for functional prediction&lt;/title&gt;&lt;secondary-title&gt;J. Artif. Int. Res.&lt;/secondary-title&gt;&lt;/titles&gt;&lt;periodical&gt;&lt;full-title&gt;J. Artif. Int. Res.&lt;/full-title&gt;&lt;/periodical&gt;&lt;pages&gt;383-403&lt;/pages&gt;&lt;volume&gt;3&lt;/volume&gt;&lt;number&gt;1&lt;/number&gt;&lt;dates&gt;&lt;year&gt;1995&lt;/year&gt;&lt;/dates&gt;&lt;isbn&gt;1076-9757&lt;/isbn&gt;&lt;urls&gt;&lt;/urls&gt;&lt;custom1&gt;1622633&lt;/custom1&gt;&lt;/record&gt;&lt;/Cite&gt;&lt;/EndNote&gt;</w:instrText>
      </w:r>
      <w:r w:rsidR="007A0DDA" w:rsidRPr="007A0DDA">
        <w:rPr>
          <w:lang w:val="de-DE"/>
        </w:rPr>
        <w:fldChar w:fldCharType="separate"/>
      </w:r>
      <w:r w:rsidR="007A0DDA" w:rsidRPr="007A0DDA">
        <w:rPr>
          <w:lang w:val="de-DE"/>
        </w:rPr>
        <w:t>[21]</w:t>
      </w:r>
      <w:r w:rsidR="007A0DDA" w:rsidRPr="007A0DDA">
        <w:fldChar w:fldCharType="end"/>
      </w:r>
      <w:r w:rsidR="007A0DDA" w:rsidRPr="007A0DDA">
        <w:rPr>
          <w:lang w:val="de-DE"/>
        </w:rPr>
        <w:t xml:space="preserve"> was </w:t>
      </w:r>
      <w:proofErr w:type="spellStart"/>
      <w:r w:rsidR="007A0DDA" w:rsidRPr="007A0DDA">
        <w:rPr>
          <w:lang w:val="de-DE"/>
        </w:rPr>
        <w:t>built</w:t>
      </w:r>
      <w:proofErr w:type="spellEnd"/>
      <w:r w:rsidR="007A0DDA" w:rsidRPr="007A0DDA">
        <w:rPr>
          <w:lang w:val="de-DE"/>
        </w:rPr>
        <w:t xml:space="preserve">, </w:t>
      </w:r>
      <w:proofErr w:type="spellStart"/>
      <w:r w:rsidR="007A0DDA" w:rsidRPr="007A0DDA">
        <w:rPr>
          <w:lang w:val="de-DE"/>
        </w:rPr>
        <w:t>forming</w:t>
      </w:r>
      <w:proofErr w:type="spellEnd"/>
      <w:r w:rsidR="007A0DDA" w:rsidRPr="007A0DDA">
        <w:rPr>
          <w:lang w:val="de-DE"/>
        </w:rPr>
        <w:t xml:space="preserve"> a </w:t>
      </w:r>
      <w:proofErr w:type="spellStart"/>
      <w:r w:rsidR="007A0DDA" w:rsidRPr="007A0DDA">
        <w:rPr>
          <w:lang w:val="de-DE"/>
        </w:rPr>
        <w:t>questionnaire</w:t>
      </w:r>
      <w:proofErr w:type="spellEnd"/>
      <w:r w:rsidR="007A0DDA" w:rsidRPr="007A0DDA">
        <w:rPr>
          <w:lang w:val="de-DE"/>
        </w:rPr>
        <w:t xml:space="preserve"> </w:t>
      </w:r>
      <w:proofErr w:type="spellStart"/>
      <w:r w:rsidR="007A0DDA" w:rsidRPr="007A0DDA">
        <w:rPr>
          <w:lang w:val="de-DE"/>
        </w:rPr>
        <w:t>with</w:t>
      </w:r>
      <w:proofErr w:type="spellEnd"/>
      <w:r w:rsidR="007A0DDA" w:rsidRPr="007A0DDA">
        <w:rPr>
          <w:lang w:val="de-DE"/>
        </w:rPr>
        <w:t xml:space="preserve"> “</w:t>
      </w:r>
      <w:proofErr w:type="spellStart"/>
      <w:r w:rsidR="007A0DDA" w:rsidRPr="007A0DDA">
        <w:rPr>
          <w:lang w:val="de-DE"/>
        </w:rPr>
        <w:t>yes</w:t>
      </w:r>
      <w:proofErr w:type="spellEnd"/>
      <w:r w:rsidR="007A0DDA" w:rsidRPr="007A0DDA">
        <w:rPr>
          <w:lang w:val="de-DE"/>
        </w:rPr>
        <w:t>/</w:t>
      </w:r>
      <w:proofErr w:type="spellStart"/>
      <w:r w:rsidR="007A0DDA" w:rsidRPr="007A0DDA">
        <w:rPr>
          <w:lang w:val="de-DE"/>
        </w:rPr>
        <w:t>no</w:t>
      </w:r>
      <w:proofErr w:type="spellEnd"/>
      <w:r w:rsidR="007A0DDA" w:rsidRPr="007A0DDA">
        <w:rPr>
          <w:lang w:val="de-DE"/>
        </w:rPr>
        <w:t xml:space="preserve">” </w:t>
      </w:r>
      <w:proofErr w:type="spellStart"/>
      <w:r w:rsidR="007A0DDA" w:rsidRPr="007A0DDA">
        <w:rPr>
          <w:lang w:val="de-DE"/>
        </w:rPr>
        <w:t>items</w:t>
      </w:r>
      <w:proofErr w:type="spellEnd"/>
      <w:r w:rsidR="007A0DDA" w:rsidRPr="007A0DDA">
        <w:rPr>
          <w:lang w:val="de-DE"/>
        </w:rPr>
        <w:t xml:space="preserve"> (</w:t>
      </w:r>
      <w:proofErr w:type="spellStart"/>
      <w:r w:rsidR="007A0DDA" w:rsidRPr="007A0DDA">
        <w:rPr>
          <w:lang w:val="de-DE"/>
        </w:rPr>
        <w:t>decision</w:t>
      </w:r>
      <w:proofErr w:type="spellEnd"/>
      <w:r w:rsidR="007A0DDA" w:rsidRPr="007A0DDA">
        <w:rPr>
          <w:lang w:val="de-DE"/>
        </w:rPr>
        <w:t xml:space="preserve"> </w:t>
      </w:r>
      <w:proofErr w:type="spellStart"/>
      <w:r w:rsidR="007A0DDA" w:rsidRPr="007A0DDA">
        <w:rPr>
          <w:lang w:val="de-DE"/>
        </w:rPr>
        <w:t>rules</w:t>
      </w:r>
      <w:proofErr w:type="spellEnd"/>
      <w:r w:rsidR="007A0DDA" w:rsidRPr="007A0DDA">
        <w:rPr>
          <w:lang w:val="de-DE"/>
        </w:rPr>
        <w:t xml:space="preserve">) </w:t>
      </w:r>
      <w:proofErr w:type="spellStart"/>
      <w:r w:rsidR="007A0DDA" w:rsidRPr="007A0DDA">
        <w:rPr>
          <w:lang w:val="de-DE"/>
        </w:rPr>
        <w:t>and</w:t>
      </w:r>
      <w:proofErr w:type="spellEnd"/>
      <w:r w:rsidR="007A0DDA" w:rsidRPr="007A0DDA">
        <w:rPr>
          <w:lang w:val="de-DE"/>
        </w:rPr>
        <w:t xml:space="preserve"> </w:t>
      </w:r>
      <w:proofErr w:type="spellStart"/>
      <w:r w:rsidR="007A0DDA" w:rsidRPr="007A0DDA">
        <w:rPr>
          <w:lang w:val="de-DE"/>
        </w:rPr>
        <w:t>used</w:t>
      </w:r>
      <w:proofErr w:type="spellEnd"/>
      <w:r w:rsidR="007A0DDA" w:rsidRPr="007A0DDA">
        <w:rPr>
          <w:lang w:val="de-DE"/>
        </w:rPr>
        <w:t xml:space="preserve"> </w:t>
      </w:r>
      <w:proofErr w:type="spellStart"/>
      <w:r w:rsidR="007A0DDA" w:rsidRPr="007A0DDA">
        <w:rPr>
          <w:lang w:val="de-DE"/>
        </w:rPr>
        <w:t>the</w:t>
      </w:r>
      <w:proofErr w:type="spellEnd"/>
      <w:r w:rsidR="007A0DDA" w:rsidRPr="007A0DDA">
        <w:rPr>
          <w:lang w:val="de-DE"/>
        </w:rPr>
        <w:t xml:space="preserve"> </w:t>
      </w:r>
      <w:proofErr w:type="spellStart"/>
      <w:r w:rsidR="007A0DDA" w:rsidRPr="007A0DDA">
        <w:rPr>
          <w:lang w:val="de-DE"/>
        </w:rPr>
        <w:t>decision</w:t>
      </w:r>
      <w:proofErr w:type="spellEnd"/>
      <w:r w:rsidR="007A0DDA" w:rsidRPr="007A0DDA">
        <w:rPr>
          <w:lang w:val="de-DE"/>
        </w:rPr>
        <w:t xml:space="preserve"> </w:t>
      </w:r>
      <w:proofErr w:type="spellStart"/>
      <w:r w:rsidR="007A0DDA" w:rsidRPr="007A0DDA">
        <w:rPr>
          <w:lang w:val="de-DE"/>
        </w:rPr>
        <w:t>borders</w:t>
      </w:r>
      <w:proofErr w:type="spellEnd"/>
      <w:r w:rsidR="007A0DDA" w:rsidRPr="007A0DDA">
        <w:rPr>
          <w:lang w:val="de-DE"/>
        </w:rPr>
        <w:t xml:space="preserve"> </w:t>
      </w:r>
      <w:proofErr w:type="spellStart"/>
      <w:r w:rsidR="007A0DDA" w:rsidRPr="007A0DDA">
        <w:rPr>
          <w:lang w:val="de-DE"/>
        </w:rPr>
        <w:t>established</w:t>
      </w:r>
      <w:proofErr w:type="spellEnd"/>
      <w:r w:rsidR="007A0DDA" w:rsidRPr="007A0DDA">
        <w:rPr>
          <w:lang w:val="de-DE"/>
        </w:rPr>
        <w:t xml:space="preserve"> </w:t>
      </w:r>
      <w:proofErr w:type="spellStart"/>
      <w:r w:rsidR="007A0DDA" w:rsidRPr="007A0DDA">
        <w:rPr>
          <w:lang w:val="de-DE"/>
        </w:rPr>
        <w:t>as</w:t>
      </w:r>
      <w:proofErr w:type="spellEnd"/>
      <w:r w:rsidR="007A0DDA" w:rsidRPr="007A0DDA">
        <w:rPr>
          <w:lang w:val="de-DE"/>
        </w:rPr>
        <w:t xml:space="preserve"> </w:t>
      </w:r>
      <w:proofErr w:type="spellStart"/>
      <w:r w:rsidR="007A0DDA" w:rsidRPr="007A0DDA">
        <w:rPr>
          <w:lang w:val="de-DE"/>
        </w:rPr>
        <w:t>described</w:t>
      </w:r>
      <w:proofErr w:type="spellEnd"/>
      <w:r w:rsidR="007A0DDA" w:rsidRPr="007A0DDA">
        <w:rPr>
          <w:lang w:val="de-DE"/>
        </w:rPr>
        <w:t xml:space="preserve"> </w:t>
      </w:r>
      <w:proofErr w:type="spellStart"/>
      <w:r w:rsidR="007A0DDA" w:rsidRPr="007A0DDA">
        <w:rPr>
          <w:lang w:val="de-DE"/>
        </w:rPr>
        <w:t>above</w:t>
      </w:r>
      <w:proofErr w:type="spellEnd"/>
      <w:r w:rsidR="007A0DDA" w:rsidRPr="007A0DDA">
        <w:rPr>
          <w:lang w:val="de-DE"/>
        </w:rPr>
        <w:t xml:space="preserve">, i.e., </w:t>
      </w:r>
      <w:proofErr w:type="spellStart"/>
      <w:r w:rsidR="007A0DDA" w:rsidRPr="007A0DDA">
        <w:rPr>
          <w:lang w:val="de-DE"/>
        </w:rPr>
        <w:t>Bayesian</w:t>
      </w:r>
      <w:proofErr w:type="spellEnd"/>
      <w:r w:rsidR="007A0DDA" w:rsidRPr="007A0DDA">
        <w:rPr>
          <w:lang w:val="de-DE"/>
        </w:rPr>
        <w:t xml:space="preserve"> </w:t>
      </w:r>
      <w:proofErr w:type="spellStart"/>
      <w:r w:rsidR="007A0DDA" w:rsidRPr="007A0DDA">
        <w:rPr>
          <w:lang w:val="de-DE"/>
        </w:rPr>
        <w:t>limits</w:t>
      </w:r>
      <w:proofErr w:type="spellEnd"/>
      <w:r w:rsidR="007A0DDA" w:rsidRPr="007A0DDA">
        <w:rPr>
          <w:lang w:val="de-DE"/>
        </w:rPr>
        <w:t xml:space="preserve"> </w:t>
      </w:r>
      <w:proofErr w:type="spellStart"/>
      <w:r w:rsidR="007A0DDA" w:rsidRPr="007A0DDA">
        <w:rPr>
          <w:lang w:val="de-DE"/>
        </w:rPr>
        <w:t>for</w:t>
      </w:r>
      <w:proofErr w:type="spellEnd"/>
      <w:r w:rsidR="007A0DDA" w:rsidRPr="007A0DDA">
        <w:rPr>
          <w:lang w:val="de-DE"/>
        </w:rPr>
        <w:t xml:space="preserve"> </w:t>
      </w:r>
      <w:proofErr w:type="spellStart"/>
      <w:r w:rsidR="007A0DDA" w:rsidRPr="007A0DDA">
        <w:rPr>
          <w:lang w:val="de-DE"/>
        </w:rPr>
        <w:t>continuous</w:t>
      </w:r>
      <w:proofErr w:type="spellEnd"/>
      <w:r w:rsidR="007A0DDA" w:rsidRPr="007A0DDA">
        <w:rPr>
          <w:lang w:val="de-DE"/>
        </w:rPr>
        <w:t xml:space="preserve"> </w:t>
      </w:r>
      <w:proofErr w:type="spellStart"/>
      <w:r w:rsidR="007A0DDA" w:rsidRPr="007A0DDA">
        <w:rPr>
          <w:lang w:val="de-DE"/>
        </w:rPr>
        <w:t>data</w:t>
      </w:r>
      <w:proofErr w:type="spellEnd"/>
      <w:r w:rsidR="007A0DDA" w:rsidRPr="007A0DDA">
        <w:rPr>
          <w:lang w:val="de-DE"/>
        </w:rPr>
        <w:t xml:space="preserve">, </w:t>
      </w:r>
      <w:proofErr w:type="spellStart"/>
      <w:r w:rsidR="007A0DDA" w:rsidRPr="007A0DDA">
        <w:rPr>
          <w:lang w:val="de-DE"/>
        </w:rPr>
        <w:t>Kullback</w:t>
      </w:r>
      <w:proofErr w:type="spellEnd"/>
      <w:r w:rsidR="007A0DDA" w:rsidRPr="007A0DDA">
        <w:rPr>
          <w:lang w:val="de-DE"/>
        </w:rPr>
        <w:t>–</w:t>
      </w:r>
      <w:proofErr w:type="spellStart"/>
      <w:r w:rsidR="007A0DDA" w:rsidRPr="007A0DDA">
        <w:rPr>
          <w:lang w:val="de-DE"/>
        </w:rPr>
        <w:t>Leibler</w:t>
      </w:r>
      <w:proofErr w:type="spellEnd"/>
      <w:r w:rsidR="007A0DDA" w:rsidRPr="007A0DDA">
        <w:rPr>
          <w:lang w:val="de-DE"/>
        </w:rPr>
        <w:t xml:space="preserve"> </w:t>
      </w:r>
      <w:proofErr w:type="spellStart"/>
      <w:r w:rsidR="007A0DDA" w:rsidRPr="007A0DDA">
        <w:rPr>
          <w:lang w:val="de-DE"/>
        </w:rPr>
        <w:t>divergence-based</w:t>
      </w:r>
      <w:proofErr w:type="spellEnd"/>
      <w:r w:rsidR="007A0DDA" w:rsidRPr="007A0DDA">
        <w:rPr>
          <w:lang w:val="de-DE"/>
        </w:rPr>
        <w:t xml:space="preserve"> </w:t>
      </w:r>
      <w:proofErr w:type="spellStart"/>
      <w:r w:rsidR="007A0DDA" w:rsidRPr="007A0DDA">
        <w:rPr>
          <w:lang w:val="de-DE"/>
        </w:rPr>
        <w:t>for</w:t>
      </w:r>
      <w:proofErr w:type="spellEnd"/>
      <w:r w:rsidR="007A0DDA" w:rsidRPr="007A0DDA">
        <w:rPr>
          <w:lang w:val="de-DE"/>
        </w:rPr>
        <w:t xml:space="preserve"> </w:t>
      </w:r>
      <w:proofErr w:type="spellStart"/>
      <w:r w:rsidR="007A0DDA" w:rsidRPr="007A0DDA">
        <w:rPr>
          <w:lang w:val="de-DE"/>
        </w:rPr>
        <w:t>ordinal</w:t>
      </w:r>
      <w:proofErr w:type="spellEnd"/>
      <w:r w:rsidR="007A0DDA" w:rsidRPr="007A0DDA">
        <w:rPr>
          <w:lang w:val="de-DE"/>
        </w:rPr>
        <w:t xml:space="preserve"> </w:t>
      </w:r>
      <w:proofErr w:type="spellStart"/>
      <w:r w:rsidR="007A0DDA" w:rsidRPr="007A0DDA">
        <w:rPr>
          <w:lang w:val="de-DE"/>
        </w:rPr>
        <w:t>data</w:t>
      </w:r>
      <w:proofErr w:type="spellEnd"/>
      <w:r w:rsidR="007A0DDA" w:rsidRPr="007A0DDA">
        <w:rPr>
          <w:lang w:val="de-DE"/>
        </w:rPr>
        <w:t xml:space="preserve"> </w:t>
      </w:r>
      <w:proofErr w:type="spellStart"/>
      <w:r w:rsidR="007A0DDA" w:rsidRPr="007A0DDA">
        <w:rPr>
          <w:lang w:val="de-DE"/>
        </w:rPr>
        <w:t>and</w:t>
      </w:r>
      <w:proofErr w:type="spellEnd"/>
      <w:r w:rsidR="007A0DDA" w:rsidRPr="007A0DDA">
        <w:rPr>
          <w:lang w:val="de-DE"/>
        </w:rPr>
        <w:t xml:space="preserve"> </w:t>
      </w:r>
      <w:proofErr w:type="spellStart"/>
      <w:r w:rsidR="007A0DDA" w:rsidRPr="007A0DDA">
        <w:rPr>
          <w:lang w:val="de-DE"/>
        </w:rPr>
        <w:t>odd</w:t>
      </w:r>
      <w:proofErr w:type="spellEnd"/>
      <w:r w:rsidR="007A0DDA" w:rsidRPr="007A0DDA">
        <w:rPr>
          <w:lang w:val="de-DE"/>
        </w:rPr>
        <w:t xml:space="preserve"> </w:t>
      </w:r>
      <w:proofErr w:type="spellStart"/>
      <w:r w:rsidR="007A0DDA" w:rsidRPr="007A0DDA">
        <w:rPr>
          <w:lang w:val="de-DE"/>
        </w:rPr>
        <w:t>ratio-based</w:t>
      </w:r>
      <w:proofErr w:type="spellEnd"/>
      <w:r w:rsidR="007A0DDA" w:rsidRPr="007A0DDA">
        <w:rPr>
          <w:lang w:val="de-DE"/>
        </w:rPr>
        <w:t xml:space="preserve"> </w:t>
      </w:r>
      <w:proofErr w:type="spellStart"/>
      <w:r w:rsidR="007A0DDA" w:rsidRPr="007A0DDA">
        <w:rPr>
          <w:lang w:val="de-DE"/>
        </w:rPr>
        <w:t>for</w:t>
      </w:r>
      <w:proofErr w:type="spellEnd"/>
      <w:r w:rsidR="007A0DDA" w:rsidRPr="007A0DDA">
        <w:rPr>
          <w:lang w:val="de-DE"/>
        </w:rPr>
        <w:t xml:space="preserve"> </w:t>
      </w:r>
      <w:proofErr w:type="spellStart"/>
      <w:r w:rsidR="007A0DDA" w:rsidRPr="007A0DDA">
        <w:rPr>
          <w:lang w:val="de-DE"/>
        </w:rPr>
        <w:t>binary</w:t>
      </w:r>
      <w:proofErr w:type="spellEnd"/>
      <w:r w:rsidR="007A0DDA" w:rsidRPr="007A0DDA">
        <w:rPr>
          <w:lang w:val="de-DE"/>
        </w:rPr>
        <w:t xml:space="preserve"> </w:t>
      </w:r>
      <w:proofErr w:type="spellStart"/>
      <w:r w:rsidR="007A0DDA" w:rsidRPr="007A0DDA">
        <w:rPr>
          <w:lang w:val="de-DE"/>
        </w:rPr>
        <w:t>data</w:t>
      </w:r>
      <w:proofErr w:type="spellEnd"/>
      <w:r w:rsidR="007A0DDA" w:rsidRPr="007A0DDA">
        <w:rPr>
          <w:lang w:val="de-DE"/>
        </w:rPr>
        <w:t>.</w:t>
      </w:r>
      <w:proofErr w:type="gramEnd"/>
    </w:p>
    <w:p w14:paraId="5A04540B" w14:textId="45EF7085" w:rsidR="00714EA8" w:rsidRDefault="00714EA8" w:rsidP="00714EA8">
      <w:r>
        <w:t xml:space="preserve">Specifically, applying a “brute force” approach, all possible combinations of the identified rules were tried, with 1 to 21 rules. For every combination, the product of sensitivity and specificity of the obtained prediction was calculated. That is, the test performance parameters were calculated if any one of the 21 rules applied, any two of the 21 rules applied and so on. The sensitivity and specificity of the test for assignment to a group were calculated using standard equations </w:t>
      </w:r>
      <w:r w:rsidRPr="00BC1F87">
        <w:fldChar w:fldCharType="begin"/>
      </w:r>
      <w:r>
        <w:instrText xml:space="preserve"> ADDIN EN.CITE &lt;EndNote&gt;&lt;Cite&gt;&lt;Author&gt;Altman&lt;/Author&gt;&lt;Year&gt;1994&lt;/Year&gt;&lt;RecNum&gt;4832&lt;/RecNum&gt;&lt;DisplayText&gt;[2]&lt;/DisplayText&gt;&lt;record&gt;&lt;rec-number&gt;4832&lt;/rec-number&gt;&lt;ref-type name="Journal Article"&gt;17&lt;/ref-type&gt;&lt;contributors&gt;&lt;authors&gt;&lt;author&gt;Altman, D.G.&lt;/author&gt;&lt;author&gt;Bland, J.M.&lt;/author&gt;&lt;/authors&gt;&lt;/contributors&gt;&lt;titles&gt;&lt;title&gt;Diagnostic tests. 1: Sensitivity and specificity&lt;/title&gt;&lt;secondary-title&gt;Br. Med. J.&lt;/secondary-title&gt;&lt;/titles&gt;&lt;periodical&gt;&lt;full-title&gt;Br. Med. J.&lt;/full-title&gt;&lt;/periodical&gt;&lt;pages&gt;1552&lt;/pages&gt;&lt;volume&gt;308&lt;/volume&gt;&lt;dates&gt;&lt;year&gt;1994 &lt;/year&gt;&lt;/dates&gt;&lt;urls&gt;&lt;/urls&gt;&lt;/record&gt;&lt;/Cite&gt;&lt;Cite&gt;&lt;Author&gt;Altman&lt;/Author&gt;&lt;Year&gt;1994&lt;/Year&gt;&lt;RecNum&gt;4832&lt;/RecNum&gt;&lt;record&gt;&lt;rec-number&gt;4832&lt;/rec-number&gt;&lt;ref-type name="Journal Article"&gt;17&lt;/ref-type&gt;&lt;contributors&gt;&lt;authors&gt;&lt;author&gt;Altman, D.G.&lt;/author&gt;&lt;author&gt;Bland, J.M.&lt;/author&gt;&lt;/authors&gt;&lt;/contributors&gt;&lt;titles&gt;&lt;title&gt;Diagnostic tests. 1: Sensitivity and specificity&lt;/title&gt;&lt;secondary-title&gt;Br. Med. J.&lt;/secondary-title&gt;&lt;/titles&gt;&lt;periodical&gt;&lt;full-title&gt;Br. Med. J.&lt;/full-title&gt;&lt;/periodical&gt;&lt;pages&gt;1552&lt;/pages&gt;&lt;volume&gt;308&lt;/volume&gt;&lt;dates&gt;&lt;year&gt;1994 &lt;/year&gt;&lt;/dates&gt;&lt;urls&gt;&lt;/urls&gt;&lt;/record&gt;&lt;/Cite&gt;&lt;/EndNote&gt;</w:instrText>
      </w:r>
      <w:r w:rsidRPr="00BC1F87">
        <w:fldChar w:fldCharType="separate"/>
      </w:r>
      <w:r>
        <w:rPr>
          <w:noProof/>
        </w:rPr>
        <w:t>[2]</w:t>
      </w:r>
      <w:r w:rsidRPr="00BC1F87">
        <w:fldChar w:fldCharType="end"/>
      </w:r>
      <w:r>
        <w:t xml:space="preserve">, i.e., </w:t>
      </w:r>
      <w:r>
        <w:rPr>
          <w:i/>
        </w:rPr>
        <w:t xml:space="preserve">sensitivity [%] = 100 </w:t>
      </w:r>
      <w:r>
        <w:rPr>
          <w:rFonts w:cs="Calibri"/>
          <w:i/>
        </w:rPr>
        <w:t>·</w:t>
      </w:r>
      <w:r>
        <w:rPr>
          <w:i/>
        </w:rPr>
        <w:t xml:space="preserve"> true positives / (true positives + false negatives)</w:t>
      </w:r>
      <w:r>
        <w:t xml:space="preserve"> and </w:t>
      </w:r>
      <w:r>
        <w:rPr>
          <w:i/>
        </w:rPr>
        <w:t xml:space="preserve">specificity [%] = 100 </w:t>
      </w:r>
      <w:r>
        <w:rPr>
          <w:rFonts w:cs="Calibri"/>
          <w:i/>
        </w:rPr>
        <w:t>·</w:t>
      </w:r>
      <w:r>
        <w:rPr>
          <w:i/>
        </w:rPr>
        <w:t xml:space="preserve"> true negatives / (true negatives + false positives)</w:t>
      </w:r>
      <w:r>
        <w:t xml:space="preserve"> </w:t>
      </w:r>
      <w:r w:rsidRPr="00BC1F87">
        <w:fldChar w:fldCharType="begin"/>
      </w:r>
      <w:r>
        <w:instrText xml:space="preserve"> ADDIN EN.CITE &lt;EndNote&gt;&lt;Cite&gt;&lt;Author&gt;Altman&lt;/Author&gt;&lt;Year&gt;1994&lt;/Year&gt;&lt;RecNum&gt;4832&lt;/RecNum&gt;&lt;DisplayText&gt;[2]&lt;/DisplayText&gt;&lt;record&gt;&lt;rec-number&gt;4832&lt;/rec-number&gt;&lt;ref-type name="Journal Article"&gt;17&lt;/ref-type&gt;&lt;contributors&gt;&lt;authors&gt;&lt;author&gt;Altman, D.G.&lt;/author&gt;&lt;author&gt;Bland, J.M.&lt;/author&gt;&lt;/authors&gt;&lt;/contributors&gt;&lt;titles&gt;&lt;title&gt;Diagnostic tests. 1: Sensitivity and specificity&lt;/title&gt;&lt;secondary-title&gt;Br. Med. J.&lt;/secondary-title&gt;&lt;/titles&gt;&lt;periodical&gt;&lt;full-title&gt;Br. Med. J.&lt;/full-title&gt;&lt;/periodical&gt;&lt;pages&gt;1552&lt;/pages&gt;&lt;volume&gt;308&lt;/volume&gt;&lt;dates&gt;&lt;year&gt;1994 &lt;/year&gt;&lt;/dates&gt;&lt;urls&gt;&lt;/urls&gt;&lt;/record&gt;&lt;/Cite&gt;&lt;Cite&gt;&lt;Author&gt;Altman&lt;/Author&gt;&lt;Year&gt;1994&lt;/Year&gt;&lt;RecNum&gt;4832&lt;/RecNum&gt;&lt;record&gt;&lt;rec-number&gt;4832&lt;/rec-number&gt;&lt;ref-type name="Journal Article"&gt;17&lt;/ref-type&gt;&lt;contributors&gt;&lt;authors&gt;&lt;author&gt;Altman, D.G.&lt;/author&gt;&lt;author&gt;Bland, J.M.&lt;/author&gt;&lt;/authors&gt;&lt;/contributors&gt;&lt;titles&gt;&lt;title&gt;Diagnostic tests. 1: Sensitivity and specificity&lt;/title&gt;&lt;secondary-title&gt;Br. Med. J.&lt;/secondary-title&gt;&lt;/titles&gt;&lt;periodical&gt;&lt;full-title&gt;Br. Med. J.&lt;/full-title&gt;&lt;/periodical&gt;&lt;pages&gt;1552&lt;/pages&gt;&lt;volume&gt;308&lt;/volume&gt;&lt;dates&gt;&lt;year&gt;1994 &lt;/year&gt;&lt;/dates&gt;&lt;urls&gt;&lt;/urls&gt;&lt;/record&gt;&lt;/Cite&gt;&lt;/EndNote&gt;</w:instrText>
      </w:r>
      <w:r w:rsidRPr="00BC1F87">
        <w:fldChar w:fldCharType="separate"/>
      </w:r>
      <w:r>
        <w:rPr>
          <w:noProof/>
        </w:rPr>
        <w:t>[2]</w:t>
      </w:r>
      <w:r w:rsidRPr="00BC1F87">
        <w:fldChar w:fldCharType="end"/>
      </w:r>
      <w:r>
        <w:t xml:space="preserve">. This identified specific “yes/no” thresholds for each of the 21 parameters (single or aggregated </w:t>
      </w:r>
      <w:r w:rsidRPr="00D3140D">
        <w:t>variables</w:t>
      </w:r>
      <w:r>
        <w:t>) and an optimum threshold for patient classification. Hence, the classifier consisted of a set of questions from which the sum score of the positive responses served as the diagnostic tool.</w:t>
      </w:r>
    </w:p>
    <w:p w14:paraId="73190FD2" w14:textId="77777777" w:rsidR="00714EA8" w:rsidRPr="00FC50C2" w:rsidRDefault="00714EA8" w:rsidP="00714EA8">
      <w:pPr>
        <w:pStyle w:val="berschrift4"/>
      </w:pPr>
      <w:r w:rsidRPr="00B41EA2">
        <w:t>Validation of the classifier</w:t>
      </w:r>
    </w:p>
    <w:p w14:paraId="2380E5B9" w14:textId="26EDF26A" w:rsidR="00714EA8" w:rsidRDefault="00714EA8" w:rsidP="00714EA8">
      <w:r>
        <w:t xml:space="preserve">The classifier was subsequently analyzed for test performance. In addition, to test sensitivity (calculated as described above), the negative predictive value, indicating how unlikely it was that the patient would develop persisting pain when the test was negative, was calculated as </w:t>
      </w:r>
      <w:r>
        <w:rPr>
          <w:i/>
        </w:rPr>
        <w:t xml:space="preserve">NPV [%] = 100 </w:t>
      </w:r>
      <w:r>
        <w:rPr>
          <w:rFonts w:cs="Calibri"/>
          <w:i/>
        </w:rPr>
        <w:t>·</w:t>
      </w:r>
      <w:r>
        <w:rPr>
          <w:i/>
        </w:rPr>
        <w:t xml:space="preserve"> true negative / (true negative + false negative)</w:t>
      </w:r>
      <w:r>
        <w:t xml:space="preserve"> </w:t>
      </w:r>
      <w:r>
        <w:fldChar w:fldCharType="begin"/>
      </w:r>
      <w:r>
        <w:instrText xml:space="preserve"> ADDIN EN.CITE &lt;EndNote&gt;&lt;Cite&gt;&lt;Author&gt;Altman&lt;/Author&gt;&lt;Year&gt;1994&lt;/Year&gt;&lt;RecNum&gt;9029&lt;/RecNum&gt;&lt;DisplayText&gt;[1]&lt;/DisplayText&gt;&lt;record&gt;&lt;rec-number&gt;9029&lt;/rec-number&gt;&lt;foreign-keys&gt;&lt;key app="EN" db-id="asfzetfvyt5z2oe2af8p9aehfprpvtt2rv22" timestamp="1252665816"&gt;9029&lt;/key&gt;&lt;key app="ENWeb" db-id="TixPFwrtqggAAHUXxtc"&gt;8421&lt;/key&gt;&lt;/foreign-keys&gt;&lt;ref-type name="Journal Article"&gt;17&lt;/ref-type&gt;&lt;contributors&gt;&lt;authors&gt;&lt;author&gt;Altman, D. G.&lt;/author&gt;&lt;author&gt;Bland, J. M.&lt;/author&gt;&lt;/authors&gt;&lt;/contributors&gt;&lt;auth-address&gt;Medical Statistics Laboratory, Imperial Cancer Research Fund, London.&lt;/auth-address&gt;&lt;titles&gt;&lt;title&gt;Diagnostic tests 2: Predictive values&lt;/title&gt;&lt;secondary-title&gt;BMJ&lt;/secondary-title&gt;&lt;/titles&gt;&lt;periodical&gt;&lt;full-title&gt;BMJ&lt;/full-title&gt;&lt;/periodical&gt;&lt;pages&gt;102&lt;/pages&gt;&lt;volume&gt;309&lt;/volume&gt;&lt;number&gt;6947&lt;/number&gt;&lt;edition&gt;1994/07/09&lt;/edition&gt;&lt;keywords&gt;&lt;keyword&gt;Diagnostic Tests, Routine/ standards&lt;/keyword&gt;&lt;keyword&gt;Humans&lt;/keyword&gt;&lt;keyword&gt;Predictive Value of Tests&lt;/keyword&gt;&lt;/keywords&gt;&lt;dates&gt;&lt;year&gt;1994&lt;/year&gt;&lt;pub-dates&gt;&lt;date&gt;Jul 9&lt;/date&gt;&lt;/pub-dates&gt;&lt;/dates&gt;&lt;isbn&gt;0959-8138 (Print)&lt;/isbn&gt;&lt;accession-num&gt;8038641&lt;/accession-num&gt;&lt;urls&gt;&lt;/urls&gt;&lt;custom2&gt;2540558&lt;/custom2&gt;&lt;remote-database-provider&gt;Nlm&lt;/remote-database-provider&gt;&lt;language&gt;eng&lt;/language&gt;&lt;/record&gt;&lt;/Cite&gt;&lt;/EndNote&gt;</w:instrText>
      </w:r>
      <w:r>
        <w:fldChar w:fldCharType="separate"/>
      </w:r>
      <w:r>
        <w:rPr>
          <w:noProof/>
        </w:rPr>
        <w:t>[1]</w:t>
      </w:r>
      <w:r>
        <w:fldChar w:fldCharType="end"/>
      </w:r>
      <w:r>
        <w:t xml:space="preserve">, the test accuracy was obtained as </w:t>
      </w:r>
      <w:r>
        <w:rPr>
          <w:i/>
        </w:rPr>
        <w:t>accuracy [%] = number of correct diagnoses / total number of diagnoses</w:t>
      </w:r>
      <w:r>
        <w:t xml:space="preserve"> </w:t>
      </w:r>
      <w:r>
        <w:fldChar w:fldCharType="begin"/>
      </w:r>
      <w:r>
        <w:instrText xml:space="preserve"> ADDIN EN.CITE &lt;EndNote&gt;&lt;Cite&gt;&lt;Author&gt;Metz&lt;/Author&gt;&lt;Year&gt;1978&lt;/Year&gt;&lt;RecNum&gt;9526&lt;/RecNum&gt;&lt;DisplayText&gt;[13]&lt;/DisplayText&gt;&lt;record&gt;&lt;rec-number&gt;9526&lt;/rec-number&gt;&lt;foreign-keys&gt;&lt;key app="EN" db-id="asfzetfvyt5z2oe2af8p9aehfprpvtt2rv22" timestamp="1301086185"&gt;9526&lt;/key&gt;&lt;key app="ENWeb" db-id="TixPFwrtqggAAHUXxtc"&gt;8883&lt;/key&gt;&lt;/foreign-keys&gt;&lt;ref-type name="Journal Article"&gt;17&lt;/ref-type&gt;&lt;contributors&gt;&lt;authors&gt;&lt;author&gt;Metz, C. E.&lt;/author&gt;&lt;/authors&gt;&lt;/contributors&gt;&lt;titles&gt;&lt;title&gt;Basic principles of ROC analysis&lt;/title&gt;&lt;secondary-title&gt;Semin Nucl Med&lt;/secondary-title&gt;&lt;/titles&gt;&lt;periodical&gt;&lt;full-title&gt;Semin Nucl Med&lt;/full-title&gt;&lt;/periodical&gt;&lt;pages&gt;283-98&lt;/pages&gt;&lt;volume&gt;8&lt;/volume&gt;&lt;number&gt;4&lt;/number&gt;&lt;edition&gt;1978/10/01&lt;/edition&gt;&lt;keywords&gt;&lt;keyword&gt;Cost-Benefit Analysis&lt;/keyword&gt;&lt;keyword&gt;Decision Making&lt;/keyword&gt;&lt;keyword&gt;Diagnosis&lt;/keyword&gt;&lt;keyword&gt;Diagnosis, Differential&lt;/keyword&gt;&lt;keyword&gt;Diagnostic Errors&lt;/keyword&gt;&lt;keyword&gt;Evaluation Studies as Topic&lt;/keyword&gt;&lt;keyword&gt;False Positive Reactions&lt;/keyword&gt;&lt;keyword&gt;Humans&lt;/keyword&gt;&lt;keyword&gt;Methods&lt;/keyword&gt;&lt;keyword&gt;Models, Theoretical&lt;/keyword&gt;&lt;keyword&gt;Radionuclide Imaging&lt;/keyword&gt;&lt;keyword&gt;Statistics as Topic&lt;/keyword&gt;&lt;/keywords&gt;&lt;dates&gt;&lt;year&gt;1978&lt;/year&gt;&lt;pub-dates&gt;&lt;date&gt;Oct&lt;/date&gt;&lt;/pub-dates&gt;&lt;/dates&gt;&lt;isbn&gt;0001-2998 (Print)&amp;#xD;0001-2998 (Linking)&lt;/isbn&gt;&lt;accession-num&gt;112681&lt;/accession-num&gt;&lt;urls&gt;&lt;/urls&gt;&lt;remote-database-provider&gt;nlm&lt;/remote-database-provider&gt;&lt;language&gt;eng&lt;/language&gt;&lt;/record&gt;&lt;/Cite&gt;&lt;/EndNote&gt;</w:instrText>
      </w:r>
      <w:r>
        <w:fldChar w:fldCharType="separate"/>
      </w:r>
      <w:r>
        <w:rPr>
          <w:noProof/>
        </w:rPr>
        <w:t>[13]</w:t>
      </w:r>
      <w:r>
        <w:fldChar w:fldCharType="end"/>
      </w:r>
      <w:r>
        <w:t xml:space="preserve">, and the balanced test accuracy was obtained as </w:t>
      </w:r>
      <w:r w:rsidRPr="00350FE6">
        <w:rPr>
          <w:i/>
        </w:rPr>
        <w:t>balanced</w:t>
      </w:r>
      <w:r>
        <w:t xml:space="preserve"> </w:t>
      </w:r>
      <w:r>
        <w:rPr>
          <w:i/>
        </w:rPr>
        <w:t>accuracy [%] = (sensitivity + specificity) / 2</w:t>
      </w:r>
      <w:r>
        <w:t xml:space="preserve"> </w:t>
      </w:r>
      <w:r>
        <w:fldChar w:fldCharType="begin"/>
      </w:r>
      <w:r>
        <w:instrText xml:space="preserve"> ADDIN EN.CITE &lt;EndNote&gt;&lt;Cite&gt;&lt;Author&gt;Brodersen&lt;/Author&gt;&lt;Year&gt;2010&lt;/Year&gt;&lt;RecNum&gt;12358&lt;/RecNum&gt;&lt;DisplayText&gt;[3]&lt;/DisplayText&gt;&lt;record&gt;&lt;rec-number&gt;12358&lt;/rec-number&gt;&lt;foreign-keys&gt;&lt;key app="EN" db-id="asfzetfvyt5z2oe2af8p9aehfprpvtt2rv22" timestamp="1467723154"&gt;12358&lt;/key&gt;&lt;/foreign-keys&gt;&lt;ref-type name="Conference Proceedings"&gt;10&lt;/ref-type&gt;&lt;contributors&gt;&lt;authors&gt;&lt;author&gt;K. H. Brodersen&lt;/author&gt;&lt;author&gt;C. S. Ong&lt;/author&gt;&lt;author&gt;K. E. Stephan&lt;/author&gt;&lt;author&gt;J. M. Buhmann&lt;/author&gt;&lt;/authors&gt;&lt;/contributors&gt;&lt;titles&gt;&lt;title&gt;The Balanced Accuracy and Its Posterior Distribution&lt;/title&gt;&lt;secondary-title&gt;Pattern Recognition (ICPR), 2010 20th International Conference on&lt;/secondary-title&gt;&lt;alt-title&gt;Pattern Recognition (ICPR), 2010 20th International Conference on&lt;/alt-title&gt;&lt;/titles&gt;&lt;pages&gt;3121-3124&lt;/pages&gt;&lt;keywords&gt;&lt;keyword&gt;generalisation (artificial intelligence)&lt;/keyword&gt;&lt;keyword&gt;pattern classification&lt;/keyword&gt;&lt;keyword&gt;performance evaluation&lt;/keyword&gt;&lt;keyword&gt;statistical distributions&lt;/keyword&gt;&lt;keyword&gt;balanced accuracy&lt;/keyword&gt;&lt;keyword&gt;classification algorithm&lt;/keyword&gt;&lt;keyword&gt;generalizability&lt;/keyword&gt;&lt;keyword&gt;posterior distribution&lt;/keyword&gt;&lt;keyword&gt;Accuracy&lt;/keyword&gt;&lt;keyword&gt;Approximation algorithms&lt;/keyword&gt;&lt;keyword&gt;Inference algorithms&lt;/keyword&gt;&lt;keyword&gt;Machine learning&lt;/keyword&gt;&lt;keyword&gt;Prediction algorithms&lt;/keyword&gt;&lt;keyword&gt;Probabilistic logic&lt;/keyword&gt;&lt;keyword&gt;Training&lt;/keyword&gt;&lt;keyword&gt;bias&lt;/keyword&gt;&lt;keyword&gt;class imbalance&lt;/keyword&gt;&lt;keyword&gt;classification performance&lt;/keyword&gt;&lt;/keywords&gt;&lt;dates&gt;&lt;year&gt;2010&lt;/year&gt;&lt;pub-dates&gt;&lt;date&gt;23-26 Aug. 2010&lt;/date&gt;&lt;/pub-dates&gt;&lt;/dates&gt;&lt;isbn&gt;1051-4651&lt;/isbn&gt;&lt;urls&gt;&lt;/urls&gt;&lt;electronic-resource-num&gt;10.1109/ICPR.2010.764&lt;/electronic-resource-num&gt;&lt;/record&gt;&lt;/Cite&gt;&lt;/EndNote&gt;</w:instrText>
      </w:r>
      <w:r>
        <w:fldChar w:fldCharType="separate"/>
      </w:r>
      <w:r>
        <w:rPr>
          <w:noProof/>
        </w:rPr>
        <w:t>[3]</w:t>
      </w:r>
      <w:r>
        <w:fldChar w:fldCharType="end"/>
      </w:r>
      <w:r>
        <w:t>.</w:t>
      </w:r>
    </w:p>
    <w:p w14:paraId="22F9BC8E" w14:textId="4748FB4E" w:rsidR="00714EA8" w:rsidRDefault="00714EA8" w:rsidP="00714EA8">
      <w:r>
        <w:t xml:space="preserve">The generalizability of the classifier was assessed using (i) a cross-validation approach in the learning data subset, i.e. the data set comprising the n = 853 women included in classifier construction, and (ii) by applying it on the n = 147 patients with complete data who were excluded from the model building because of not satisfying the strict criteria of persisting versus non-persisting pain. In the learning data subset, the classifier’s performance was tested in a Monte Carlo approach </w:t>
      </w:r>
      <w:r>
        <w:rPr>
          <w:lang w:eastAsia="en-GB"/>
        </w:rPr>
        <w:fldChar w:fldCharType="begin"/>
      </w:r>
      <w:r>
        <w:rPr>
          <w:lang w:eastAsia="en-GB"/>
        </w:rPr>
        <w:instrText xml:space="preserve"> ADDIN EN.CITE &lt;EndNote&gt;&lt;Cite&gt;&lt;Author&gt;Caflisch&lt;/Author&gt;&lt;Year&gt;1998&lt;/Year&gt;&lt;RecNum&gt;12280&lt;/RecNum&gt;&lt;DisplayText&gt;[4]&lt;/DisplayText&gt;&lt;record&gt;&lt;rec-number&gt;12280&lt;/rec-number&gt;&lt;foreign-keys&gt;&lt;key app="EN" db-id="asfzetfvyt5z2oe2af8p9aehfprpvtt2rv22" timestamp="1461667564"&gt;12280&lt;/key&gt;&lt;/foreign-keys&gt;&lt;ref-type name="Journal Article"&gt;17&lt;/ref-type&gt;&lt;contributors&gt;&lt;authors&gt;&lt;author&gt;Caflisch,Russel E.&lt;/author&gt;&lt;/authors&gt;&lt;/contributors&gt;&lt;titles&gt;&lt;title&gt;Monte Carlo and quasi-Monte Carlo methods&lt;/title&gt;&lt;secondary-title&gt;Acta Numerica&lt;/secondary-title&gt;&lt;/titles&gt;&lt;periodical&gt;&lt;full-title&gt;Acta Numerica&lt;/full-title&gt;&lt;/periodical&gt;&lt;pages&gt;1-49&lt;/pages&gt;&lt;volume&gt;7&lt;/volume&gt;&lt;dates&gt;&lt;year&gt;1998&lt;/year&gt;&lt;/dates&gt;&lt;isbn&gt;1474-0508&lt;/isbn&gt;&lt;urls&gt;&lt;related-urls&gt;&lt;url&gt;http://dx.doi.org/10.1017/S0962492900002804&lt;/url&gt;&lt;/related-urls&gt;&lt;/urls&gt;&lt;electronic-resource-num&gt;doi:10.1017/S0962492900002804&lt;/electronic-resource-num&gt;&lt;access-date&gt;1998&lt;/access-date&gt;&lt;/record&gt;&lt;/Cite&gt;&lt;/EndNote&gt;</w:instrText>
      </w:r>
      <w:r>
        <w:rPr>
          <w:lang w:eastAsia="en-GB"/>
        </w:rPr>
        <w:fldChar w:fldCharType="separate"/>
      </w:r>
      <w:r>
        <w:rPr>
          <w:noProof/>
          <w:lang w:eastAsia="en-GB"/>
        </w:rPr>
        <w:t>[4]</w:t>
      </w:r>
      <w:r>
        <w:rPr>
          <w:lang w:eastAsia="en-GB"/>
        </w:rPr>
        <w:fldChar w:fldCharType="end"/>
      </w:r>
      <w:r>
        <w:t xml:space="preserve"> running 1,000 times on a randomly-picked 50% of the total sample. </w:t>
      </w:r>
      <w:r w:rsidR="003B75F6">
        <w:t xml:space="preserve">Specifically, </w:t>
      </w:r>
      <w:r w:rsidR="00DB3825">
        <w:t xml:space="preserve">(i) </w:t>
      </w:r>
      <w:r w:rsidR="003B75F6">
        <w:t>in each run</w:t>
      </w:r>
      <w:r w:rsidR="00DB3825">
        <w:t>, a class-</w:t>
      </w:r>
      <w:r w:rsidR="003B75F6">
        <w:t xml:space="preserve">size proportional </w:t>
      </w:r>
      <w:r w:rsidR="00DB3825">
        <w:t>sub</w:t>
      </w:r>
      <w:r w:rsidR="003B75F6">
        <w:t xml:space="preserve">sample of 50 % of the cases was randomly chosen as a new training data subset. The rules were reestablished on this sample </w:t>
      </w:r>
      <w:r w:rsidR="00DB3825">
        <w:t xml:space="preserve">in the same manner </w:t>
      </w:r>
      <w:r w:rsidR="003B75F6">
        <w:t xml:space="preserve">as described above and the classifier performance was tested on the remaining 50 % of the sample that served as the test data subset. </w:t>
      </w:r>
      <w:r>
        <w:t>In the patients excluded from classifier establishment</w:t>
      </w:r>
      <w:r w:rsidR="00DB3825">
        <w:t xml:space="preserve"> (ii)</w:t>
      </w:r>
      <w:r>
        <w:t>, the classifier’s performance was tested by classifying these patients only according to the first criterion of the NRS-based classification, i.e</w:t>
      </w:r>
      <w:r>
        <w:rPr>
          <w:lang w:eastAsia="en-GB"/>
        </w:rPr>
        <w:t xml:space="preserve">., </w:t>
      </w:r>
      <m:oMath>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 3</m:t>
        </m:r>
      </m:oMath>
      <w:r>
        <w:t xml:space="preserve"> </w:t>
      </w:r>
      <w:proofErr w:type="gramStart"/>
      <w:r>
        <w:t xml:space="preserve">versus </w:t>
      </w:r>
      <w:proofErr w:type="gramEnd"/>
      <m:oMath>
        <m:sSub>
          <m:sSubPr>
            <m:ctrlPr>
              <w:rPr>
                <w:rFonts w:ascii="Cambria Math" w:hAnsi="Cambria Math"/>
                <w:i/>
              </w:rPr>
            </m:ctrlPr>
          </m:sSubPr>
          <m:e>
            <m:r>
              <w:rPr>
                <w:rFonts w:ascii="Cambria Math" w:hAnsi="Cambria Math"/>
              </w:rPr>
              <m:t>NRS</m:t>
            </m:r>
          </m:e>
          <m:sub>
            <m:r>
              <w:rPr>
                <w:rFonts w:ascii="Cambria Math" w:hAnsi="Cambria Math"/>
                <w:vertAlign w:val="subscript"/>
              </w:rPr>
              <m:t>month</m:t>
            </m:r>
            <m:r>
              <w:rPr>
                <w:rFonts w:ascii="Cambria Math" w:hAnsi="Cambria Math"/>
                <w:vertAlign w:val="subscript"/>
              </w:rPr>
              <m:t>36</m:t>
            </m:r>
          </m:sub>
        </m:sSub>
        <m:r>
          <w:rPr>
            <w:rFonts w:ascii="Cambria Math" w:hAnsi="Cambria Math"/>
          </w:rPr>
          <m:t>≥ 4</m:t>
        </m:r>
      </m:oMath>
      <w:r>
        <w:t>.</w:t>
      </w:r>
    </w:p>
    <w:p w14:paraId="61C35EF6" w14:textId="77777777" w:rsidR="00714EA8" w:rsidRDefault="00714EA8">
      <w:pPr>
        <w:pStyle w:val="berschrift1"/>
      </w:pPr>
      <w:r>
        <w:t>References</w:t>
      </w:r>
    </w:p>
    <w:p w14:paraId="4108347B" w14:textId="77777777" w:rsidR="00E80D0C" w:rsidRPr="00E80D0C" w:rsidRDefault="00714EA8" w:rsidP="00E80D0C">
      <w:pPr>
        <w:pStyle w:val="EndNoteBibliography"/>
        <w:spacing w:after="0"/>
        <w:ind w:left="720" w:hanging="720"/>
        <w:rPr>
          <w:noProof/>
        </w:rPr>
      </w:pPr>
      <w:r>
        <w:rPr>
          <w:noProof/>
        </w:rPr>
        <w:fldChar w:fldCharType="begin"/>
      </w:r>
      <w:r w:rsidRPr="00320A8E">
        <w:rPr>
          <w:lang w:val="en-US"/>
        </w:rPr>
        <w:instrText xml:space="preserve"> ADDIN EN.REFLIST </w:instrText>
      </w:r>
      <w:r>
        <w:rPr>
          <w:noProof/>
        </w:rPr>
        <w:fldChar w:fldCharType="separate"/>
      </w:r>
      <w:r w:rsidR="00E80D0C" w:rsidRPr="00E80D0C">
        <w:rPr>
          <w:noProof/>
        </w:rPr>
        <w:t>1.</w:t>
      </w:r>
      <w:r w:rsidR="00E80D0C" w:rsidRPr="00E80D0C">
        <w:rPr>
          <w:noProof/>
        </w:rPr>
        <w:tab/>
        <w:t xml:space="preserve">Altman DG, Bland JM (1994) Diagnostic tests 2: Predictive values. BMJ 309:102. </w:t>
      </w:r>
    </w:p>
    <w:p w14:paraId="0405C23A" w14:textId="77777777" w:rsidR="00E80D0C" w:rsidRPr="00E80D0C" w:rsidRDefault="00E80D0C" w:rsidP="00E80D0C">
      <w:pPr>
        <w:pStyle w:val="EndNoteBibliography"/>
        <w:spacing w:after="0"/>
        <w:ind w:left="720" w:hanging="720"/>
        <w:rPr>
          <w:noProof/>
        </w:rPr>
      </w:pPr>
      <w:r w:rsidRPr="00E80D0C">
        <w:rPr>
          <w:noProof/>
        </w:rPr>
        <w:t>2.</w:t>
      </w:r>
      <w:r w:rsidRPr="00E80D0C">
        <w:rPr>
          <w:noProof/>
        </w:rPr>
        <w:tab/>
        <w:t xml:space="preserve">Altman DG, Bland JM (1994 ) Diagnostic tests. 1: Sensitivity and specificity. Br. Med. J. 308:1552. </w:t>
      </w:r>
    </w:p>
    <w:p w14:paraId="467BD381" w14:textId="77777777" w:rsidR="00E80D0C" w:rsidRPr="00E80D0C" w:rsidRDefault="00E80D0C" w:rsidP="00E80D0C">
      <w:pPr>
        <w:pStyle w:val="EndNoteBibliography"/>
        <w:spacing w:after="0"/>
        <w:ind w:left="720" w:hanging="720"/>
        <w:rPr>
          <w:noProof/>
        </w:rPr>
      </w:pPr>
      <w:r w:rsidRPr="00E80D0C">
        <w:rPr>
          <w:noProof/>
        </w:rPr>
        <w:t>3.</w:t>
      </w:r>
      <w:r w:rsidRPr="00E80D0C">
        <w:rPr>
          <w:noProof/>
        </w:rPr>
        <w:tab/>
        <w:t>Brodersen KH, Ong CS, Stephan KE, Buhmann JM (2010) The Balanced Accuracy and Its Posterior Distribution. In: Pattern Recognition (ICPR), 2010 20th International Conference on. p 3121-3124</w:t>
      </w:r>
    </w:p>
    <w:p w14:paraId="6E66ACA2" w14:textId="77777777" w:rsidR="00E80D0C" w:rsidRPr="00E80D0C" w:rsidRDefault="00E80D0C" w:rsidP="00E80D0C">
      <w:pPr>
        <w:pStyle w:val="EndNoteBibliography"/>
        <w:spacing w:after="0"/>
        <w:ind w:left="720" w:hanging="720"/>
        <w:rPr>
          <w:noProof/>
        </w:rPr>
      </w:pPr>
      <w:r w:rsidRPr="00E80D0C">
        <w:rPr>
          <w:noProof/>
        </w:rPr>
        <w:t>4.</w:t>
      </w:r>
      <w:r w:rsidRPr="00E80D0C">
        <w:rPr>
          <w:noProof/>
        </w:rPr>
        <w:tab/>
        <w:t>Caflisch RE (1998) Monte Carlo and quasi-Monte Carlo methods. Acta Numerica 7:1-49. doi: doi:10.1017/S0962492900002804</w:t>
      </w:r>
    </w:p>
    <w:p w14:paraId="2D27A165" w14:textId="77777777" w:rsidR="00E80D0C" w:rsidRPr="00E80D0C" w:rsidRDefault="00E80D0C" w:rsidP="00E80D0C">
      <w:pPr>
        <w:pStyle w:val="EndNoteBibliography"/>
        <w:spacing w:after="0"/>
        <w:ind w:left="720" w:hanging="720"/>
        <w:rPr>
          <w:noProof/>
        </w:rPr>
      </w:pPr>
      <w:r w:rsidRPr="00E80D0C">
        <w:rPr>
          <w:noProof/>
        </w:rPr>
        <w:t>5.</w:t>
      </w:r>
      <w:r w:rsidRPr="00E80D0C">
        <w:rPr>
          <w:noProof/>
        </w:rPr>
        <w:tab/>
        <w:t>Caldas J, Gehlenborg N, Faisal A, Brazma A, Kaski S (2009) Probabilistic retrieval and visualization of biologically relevant microarray experiments. BMC Bioinformatics 10:P1. doi: 10.1186/1471-2105-10-s13-p1</w:t>
      </w:r>
    </w:p>
    <w:p w14:paraId="14D102DF" w14:textId="77777777" w:rsidR="00E80D0C" w:rsidRPr="00E80D0C" w:rsidRDefault="00E80D0C" w:rsidP="00E80D0C">
      <w:pPr>
        <w:pStyle w:val="EndNoteBibliography"/>
        <w:spacing w:after="0"/>
        <w:ind w:left="720" w:hanging="720"/>
        <w:rPr>
          <w:noProof/>
        </w:rPr>
      </w:pPr>
      <w:r w:rsidRPr="00E80D0C">
        <w:rPr>
          <w:noProof/>
        </w:rPr>
        <w:t>6.</w:t>
      </w:r>
      <w:r w:rsidRPr="00E80D0C">
        <w:rPr>
          <w:noProof/>
        </w:rPr>
        <w:tab/>
        <w:t>Dworkin RH, Turk DC, Farrar JT, Haythornthwaite JA, Jensen MP, Katz NP, Kerns RD, Stucki G, Allen RR, Bellamy N, Carr DB, Chandler J, Cowan P, Dionne R, Galer BS, Hertz S, Jadad AR, Kramer LD, Manning DC, Martin S, McCormick CG, McDermott MP, McGrath P, Quessy S, Rappaport BA, Robbins W, Robinson JP, Rothman M, Royal MA, Simon L, Stauffer JW, Stein W, Tollett J, Wernicke J, Witter J, IMMPACT (2005) Core outcome measures for chronic pain clinical trials: IMMPACT recommendations. Pain 113:9-19. doi: 10.1016/j.pain.2004.09.012</w:t>
      </w:r>
    </w:p>
    <w:p w14:paraId="6C646F62" w14:textId="77777777" w:rsidR="00E80D0C" w:rsidRPr="00E80D0C" w:rsidRDefault="00E80D0C" w:rsidP="00E80D0C">
      <w:pPr>
        <w:pStyle w:val="EndNoteBibliography"/>
        <w:spacing w:after="0"/>
        <w:ind w:left="720" w:hanging="720"/>
        <w:rPr>
          <w:noProof/>
        </w:rPr>
      </w:pPr>
      <w:r w:rsidRPr="00E80D0C">
        <w:rPr>
          <w:noProof/>
        </w:rPr>
        <w:t>7.</w:t>
      </w:r>
      <w:r w:rsidRPr="00E80D0C">
        <w:rPr>
          <w:noProof/>
        </w:rPr>
        <w:tab/>
        <w:t xml:space="preserve">Gastwirth JL, Glauberman M (1976) The Interpolation of the Lorenz curve and Gini index from grouped data. Econometrica 44:479-483. </w:t>
      </w:r>
    </w:p>
    <w:p w14:paraId="20647D35" w14:textId="77777777" w:rsidR="00E80D0C" w:rsidRPr="00E80D0C" w:rsidRDefault="00E80D0C" w:rsidP="00E80D0C">
      <w:pPr>
        <w:pStyle w:val="EndNoteBibliography"/>
        <w:spacing w:after="0"/>
        <w:ind w:left="720" w:hanging="720"/>
        <w:rPr>
          <w:noProof/>
        </w:rPr>
      </w:pPr>
      <w:r w:rsidRPr="00E80D0C">
        <w:rPr>
          <w:noProof/>
        </w:rPr>
        <w:t>8.</w:t>
      </w:r>
      <w:r w:rsidRPr="00E80D0C">
        <w:rPr>
          <w:noProof/>
        </w:rPr>
        <w:tab/>
        <w:t xml:space="preserve">Guyon I, Andr, #233, Elisseeff (2003) An introduction to variable and feature selection. J. Mach. Learn. Res. 3:1157-1182. </w:t>
      </w:r>
    </w:p>
    <w:p w14:paraId="6BBCA5F1" w14:textId="77777777" w:rsidR="00E80D0C" w:rsidRPr="00E80D0C" w:rsidRDefault="00E80D0C" w:rsidP="00E80D0C">
      <w:pPr>
        <w:pStyle w:val="EndNoteBibliography"/>
        <w:spacing w:after="0"/>
        <w:ind w:left="720" w:hanging="720"/>
        <w:rPr>
          <w:noProof/>
        </w:rPr>
      </w:pPr>
      <w:r w:rsidRPr="00E80D0C">
        <w:rPr>
          <w:noProof/>
        </w:rPr>
        <w:t>9.</w:t>
      </w:r>
      <w:r w:rsidRPr="00E80D0C">
        <w:rPr>
          <w:noProof/>
        </w:rPr>
        <w:tab/>
        <w:t>Johansen A, Romundstad L, Nielsen CS, Schirmer H, Stubhaug A (2012) Persistent postsurgical pain in a general population: prevalence and predictors in the Tromso study. Pain 153:1390-1396. doi: 10.1016/j.pain.2012.02.018</w:t>
      </w:r>
    </w:p>
    <w:p w14:paraId="458E5567" w14:textId="77777777" w:rsidR="00E80D0C" w:rsidRPr="00E80D0C" w:rsidRDefault="00E80D0C" w:rsidP="00E80D0C">
      <w:pPr>
        <w:pStyle w:val="EndNoteBibliography"/>
        <w:spacing w:after="0"/>
        <w:ind w:left="720" w:hanging="720"/>
        <w:rPr>
          <w:noProof/>
        </w:rPr>
      </w:pPr>
      <w:r w:rsidRPr="00E80D0C">
        <w:rPr>
          <w:noProof/>
        </w:rPr>
        <w:t>10.</w:t>
      </w:r>
      <w:r w:rsidRPr="00E80D0C">
        <w:rPr>
          <w:noProof/>
        </w:rPr>
        <w:tab/>
        <w:t xml:space="preserve">Juran JM (1975) The non-Pareto principle; Mea culpa. Quality Progress 8:8-9. </w:t>
      </w:r>
    </w:p>
    <w:p w14:paraId="43F434CE" w14:textId="77777777" w:rsidR="00E80D0C" w:rsidRPr="00E80D0C" w:rsidRDefault="00E80D0C" w:rsidP="00E80D0C">
      <w:pPr>
        <w:pStyle w:val="EndNoteBibliography"/>
        <w:spacing w:after="0"/>
        <w:ind w:left="720" w:hanging="720"/>
        <w:rPr>
          <w:noProof/>
        </w:rPr>
      </w:pPr>
      <w:r w:rsidRPr="00E80D0C">
        <w:rPr>
          <w:noProof/>
        </w:rPr>
        <w:t>11.</w:t>
      </w:r>
      <w:r w:rsidRPr="00E80D0C">
        <w:rPr>
          <w:noProof/>
        </w:rPr>
        <w:tab/>
        <w:t>Kullback S, Leibler RA (1951) On Information and Sufficiency.79-86. doi: 10.1214/aoms/1177729694</w:t>
      </w:r>
    </w:p>
    <w:p w14:paraId="61E0AAE9" w14:textId="77777777" w:rsidR="00E80D0C" w:rsidRPr="00E80D0C" w:rsidRDefault="00E80D0C" w:rsidP="00E80D0C">
      <w:pPr>
        <w:pStyle w:val="EndNoteBibliography"/>
        <w:spacing w:after="0"/>
        <w:ind w:left="720" w:hanging="720"/>
        <w:rPr>
          <w:noProof/>
        </w:rPr>
      </w:pPr>
      <w:r w:rsidRPr="00E80D0C">
        <w:rPr>
          <w:noProof/>
        </w:rPr>
        <w:t>12.</w:t>
      </w:r>
      <w:r w:rsidRPr="00E80D0C">
        <w:rPr>
          <w:noProof/>
        </w:rPr>
        <w:tab/>
        <w:t>McGrayne SB (2011) The Theory That Would Not Die: How Bayes' Rule Cracked the Enigma Code, Hunted Down Russian Submarines &amp; Emerged Triumphant from Two Centuries of Controversy. Yale University Press, New Haven, CT, USA</w:t>
      </w:r>
    </w:p>
    <w:p w14:paraId="21B23B1D" w14:textId="77777777" w:rsidR="00E80D0C" w:rsidRPr="00E80D0C" w:rsidRDefault="00E80D0C" w:rsidP="00E80D0C">
      <w:pPr>
        <w:pStyle w:val="EndNoteBibliography"/>
        <w:spacing w:after="0"/>
        <w:ind w:left="720" w:hanging="720"/>
        <w:rPr>
          <w:noProof/>
        </w:rPr>
      </w:pPr>
      <w:r w:rsidRPr="00E80D0C">
        <w:rPr>
          <w:noProof/>
        </w:rPr>
        <w:t>13.</w:t>
      </w:r>
      <w:r w:rsidRPr="00E80D0C">
        <w:rPr>
          <w:noProof/>
        </w:rPr>
        <w:tab/>
        <w:t xml:space="preserve">Metz CE (1978) Basic principles of ROC analysis. Semin Nucl Med 8:283-298. </w:t>
      </w:r>
    </w:p>
    <w:p w14:paraId="4190094A" w14:textId="77777777" w:rsidR="00E80D0C" w:rsidRPr="00E80D0C" w:rsidRDefault="00E80D0C" w:rsidP="00E80D0C">
      <w:pPr>
        <w:pStyle w:val="EndNoteBibliography"/>
        <w:spacing w:after="0"/>
        <w:ind w:left="720" w:hanging="720"/>
        <w:rPr>
          <w:noProof/>
        </w:rPr>
      </w:pPr>
      <w:r w:rsidRPr="00E80D0C">
        <w:rPr>
          <w:noProof/>
        </w:rPr>
        <w:t>14.</w:t>
      </w:r>
      <w:r w:rsidRPr="00E80D0C">
        <w:rPr>
          <w:noProof/>
        </w:rPr>
        <w:tab/>
        <w:t>Murphy KP (2012) Machine Learning: A Probabilistic Perspective. The MIT Press</w:t>
      </w:r>
    </w:p>
    <w:p w14:paraId="0A02B731" w14:textId="77777777" w:rsidR="00E80D0C" w:rsidRPr="00E80D0C" w:rsidRDefault="00E80D0C" w:rsidP="00E80D0C">
      <w:pPr>
        <w:pStyle w:val="EndNoteBibliography"/>
        <w:spacing w:after="0"/>
        <w:ind w:left="720" w:hanging="720"/>
        <w:rPr>
          <w:noProof/>
        </w:rPr>
      </w:pPr>
      <w:r w:rsidRPr="00E80D0C">
        <w:rPr>
          <w:noProof/>
        </w:rPr>
        <w:t>15.</w:t>
      </w:r>
      <w:r w:rsidRPr="00E80D0C">
        <w:rPr>
          <w:noProof/>
        </w:rPr>
        <w:tab/>
        <w:t>Pareto V (1909) Manuale di economia politica, Milan: Società editrice libraria, revised and translated into French as Manuel d’économie politique. In:Giard et Briére, Paris</w:t>
      </w:r>
    </w:p>
    <w:p w14:paraId="67D534C5" w14:textId="77777777" w:rsidR="00E80D0C" w:rsidRPr="00E80D0C" w:rsidRDefault="00E80D0C" w:rsidP="00E80D0C">
      <w:pPr>
        <w:pStyle w:val="EndNoteBibliography"/>
        <w:spacing w:after="0"/>
        <w:ind w:left="720" w:hanging="720"/>
        <w:rPr>
          <w:noProof/>
        </w:rPr>
      </w:pPr>
      <w:r w:rsidRPr="00E80D0C">
        <w:rPr>
          <w:noProof/>
        </w:rPr>
        <w:t>16.</w:t>
      </w:r>
      <w:r w:rsidRPr="00E80D0C">
        <w:rPr>
          <w:noProof/>
        </w:rPr>
        <w:tab/>
        <w:t xml:space="preserve">R Development Core Team (2008) R: A Language and Environment for Statistical Computing. </w:t>
      </w:r>
    </w:p>
    <w:p w14:paraId="016CB007" w14:textId="77777777" w:rsidR="00E80D0C" w:rsidRPr="00E80D0C" w:rsidRDefault="00E80D0C" w:rsidP="00E80D0C">
      <w:pPr>
        <w:pStyle w:val="EndNoteBibliography"/>
        <w:spacing w:after="0"/>
        <w:ind w:left="720" w:hanging="720"/>
        <w:rPr>
          <w:noProof/>
        </w:rPr>
      </w:pPr>
      <w:r w:rsidRPr="00E80D0C">
        <w:rPr>
          <w:noProof/>
        </w:rPr>
        <w:t>17.</w:t>
      </w:r>
      <w:r w:rsidRPr="00E80D0C">
        <w:rPr>
          <w:noProof/>
        </w:rPr>
        <w:tab/>
        <w:t>Sipilä R, Estlander A-M, Tasmuth T, Kataja M, Kalso E (2012) Development of a screening instrument for risk factors of persistent pain after breast cancer surgery. Br J Cancer 107:1459-1466. doi: 10.1038/bjc.2012.445</w:t>
      </w:r>
    </w:p>
    <w:p w14:paraId="7FB4A96D" w14:textId="77777777" w:rsidR="00E80D0C" w:rsidRPr="00E80D0C" w:rsidRDefault="00E80D0C" w:rsidP="00E80D0C">
      <w:pPr>
        <w:pStyle w:val="EndNoteBibliography"/>
        <w:spacing w:after="0"/>
        <w:ind w:left="720" w:hanging="720"/>
        <w:rPr>
          <w:noProof/>
        </w:rPr>
      </w:pPr>
      <w:r w:rsidRPr="00E80D0C">
        <w:rPr>
          <w:noProof/>
        </w:rPr>
        <w:t>18.</w:t>
      </w:r>
      <w:r w:rsidRPr="00E80D0C">
        <w:rPr>
          <w:noProof/>
        </w:rPr>
        <w:tab/>
        <w:t>Tripathi A, Klami A, Orešič M, Kaski S (2011) Matching samples of multiple views. Data Mining and Knowledge Discovery 23:300-321. doi: 10.1007/s10618-010-0205-7</w:t>
      </w:r>
    </w:p>
    <w:p w14:paraId="4CD15E22" w14:textId="77777777" w:rsidR="00E80D0C" w:rsidRPr="00E80D0C" w:rsidRDefault="00E80D0C" w:rsidP="00E80D0C">
      <w:pPr>
        <w:pStyle w:val="EndNoteBibliography"/>
        <w:spacing w:after="0"/>
        <w:ind w:left="720" w:hanging="720"/>
        <w:rPr>
          <w:noProof/>
        </w:rPr>
      </w:pPr>
      <w:r w:rsidRPr="00E80D0C">
        <w:rPr>
          <w:noProof/>
        </w:rPr>
        <w:t>19.</w:t>
      </w:r>
      <w:r w:rsidRPr="00E80D0C">
        <w:rPr>
          <w:noProof/>
        </w:rPr>
        <w:tab/>
        <w:t>Ultsch A, Lötsch J (2015) Computed ABC Analysis for Rational Selection of Most Informative Variables in Multivariate Data. PLoS One 10:e0129767. doi: 10.1371/journal.pone.0129767</w:t>
      </w:r>
    </w:p>
    <w:p w14:paraId="1D70B6F1" w14:textId="77777777" w:rsidR="00E80D0C" w:rsidRPr="00E80D0C" w:rsidRDefault="00E80D0C" w:rsidP="00E80D0C">
      <w:pPr>
        <w:pStyle w:val="EndNoteBibliography"/>
        <w:spacing w:after="0"/>
        <w:ind w:left="720" w:hanging="720"/>
        <w:rPr>
          <w:noProof/>
        </w:rPr>
      </w:pPr>
      <w:r w:rsidRPr="00E80D0C">
        <w:rPr>
          <w:noProof/>
        </w:rPr>
        <w:t>20.</w:t>
      </w:r>
      <w:r w:rsidRPr="00E80D0C">
        <w:rPr>
          <w:noProof/>
        </w:rPr>
        <w:tab/>
        <w:t>Venna J, Kaski S (2007) Nonlinear dimensionality reduction as information retrieval. In: Artificial Intelligence and Statistics. p 572-579</w:t>
      </w:r>
    </w:p>
    <w:p w14:paraId="5F9D1E72" w14:textId="77777777" w:rsidR="00E80D0C" w:rsidRPr="00E80D0C" w:rsidRDefault="00E80D0C" w:rsidP="00E80D0C">
      <w:pPr>
        <w:pStyle w:val="EndNoteBibliography"/>
        <w:ind w:left="720" w:hanging="720"/>
        <w:rPr>
          <w:noProof/>
        </w:rPr>
      </w:pPr>
      <w:r w:rsidRPr="00E80D0C">
        <w:rPr>
          <w:noProof/>
        </w:rPr>
        <w:t>21.</w:t>
      </w:r>
      <w:r w:rsidRPr="00E80D0C">
        <w:rPr>
          <w:noProof/>
        </w:rPr>
        <w:tab/>
        <w:t xml:space="preserve">Weiss SM, Indurkhya N (1995) Rule-based machine learning methods for functional prediction. J. Artif. Int. Res. 3:383-403. </w:t>
      </w:r>
    </w:p>
    <w:p w14:paraId="7BBE1086" w14:textId="5D63FAE5" w:rsidR="00714EA8" w:rsidRDefault="00714EA8" w:rsidP="00714EA8">
      <w:pPr>
        <w:pStyle w:val="EndNoteBibliography"/>
        <w:ind w:left="720" w:hanging="720"/>
      </w:pPr>
      <w:r>
        <w:fldChar w:fldCharType="end"/>
      </w:r>
    </w:p>
    <w:sectPr w:rsidR="00714EA8" w:rsidSect="00714EA8">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55AF7" w14:textId="77777777" w:rsidR="000A663A" w:rsidRDefault="000A663A">
      <w:pPr>
        <w:spacing w:after="0" w:line="240" w:lineRule="auto"/>
      </w:pPr>
      <w:r>
        <w:separator/>
      </w:r>
    </w:p>
  </w:endnote>
  <w:endnote w:type="continuationSeparator" w:id="0">
    <w:p w14:paraId="2516C1A6" w14:textId="77777777" w:rsidR="000A663A" w:rsidRDefault="000A663A">
      <w:pPr>
        <w:spacing w:after="0" w:line="240" w:lineRule="auto"/>
      </w:pPr>
      <w:r>
        <w:continuationSeparator/>
      </w:r>
    </w:p>
  </w:endnote>
  <w:endnote w:type="continuationNotice" w:id="1">
    <w:p w14:paraId="77176DA7" w14:textId="77777777" w:rsidR="000A663A" w:rsidRDefault="000A66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shelf Symbol 7">
    <w:panose1 w:val="050101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SimSun"/>
    <w:panose1 w:val="020B0300000000000000"/>
    <w:charset w:val="80"/>
    <w:family w:val="swiss"/>
    <w:pitch w:val="variable"/>
    <w:sig w:usb0="E00002FF" w:usb1="2AC7FDFF" w:usb2="00000016"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B5242" w14:textId="4D4EB1C4" w:rsidR="00714EA8" w:rsidRDefault="00714EA8">
    <w:pPr>
      <w:pStyle w:val="Fuzeile"/>
      <w:jc w:val="right"/>
    </w:pPr>
    <w:r>
      <w:fldChar w:fldCharType="begin"/>
    </w:r>
    <w:r>
      <w:instrText>PAGE   \* MERGEFORMAT</w:instrText>
    </w:r>
    <w:r>
      <w:fldChar w:fldCharType="separate"/>
    </w:r>
    <w:r w:rsidR="00E80D0C" w:rsidRPr="00E80D0C">
      <w:rPr>
        <w:noProof/>
        <w:lang w:val="de-DE"/>
      </w:rPr>
      <w:t>11</w:t>
    </w:r>
    <w:r>
      <w:fldChar w:fldCharType="end"/>
    </w:r>
  </w:p>
  <w:p w14:paraId="394F9DEC" w14:textId="77777777" w:rsidR="00714EA8" w:rsidRDefault="00714E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4584F" w14:textId="77777777" w:rsidR="000A663A" w:rsidRDefault="000A663A">
      <w:pPr>
        <w:spacing w:after="0" w:line="240" w:lineRule="auto"/>
      </w:pPr>
      <w:r>
        <w:separator/>
      </w:r>
    </w:p>
  </w:footnote>
  <w:footnote w:type="continuationSeparator" w:id="0">
    <w:p w14:paraId="1251299A" w14:textId="77777777" w:rsidR="000A663A" w:rsidRDefault="000A663A">
      <w:pPr>
        <w:spacing w:after="0" w:line="240" w:lineRule="auto"/>
      </w:pPr>
      <w:r>
        <w:continuationSeparator/>
      </w:r>
    </w:p>
  </w:footnote>
  <w:footnote w:type="continuationNotice" w:id="1">
    <w:p w14:paraId="2C7BE7B3" w14:textId="77777777" w:rsidR="000A663A" w:rsidRDefault="000A663A">
      <w:pPr>
        <w:spacing w:after="0" w:line="240" w:lineRule="auto"/>
      </w:pPr>
    </w:p>
  </w:footnote>
  <w:footnote w:id="2">
    <w:p w14:paraId="7D966A47" w14:textId="77777777" w:rsidR="00714EA8" w:rsidRDefault="00714EA8" w:rsidP="00714EA8">
      <w:pPr>
        <w:keepNext/>
        <w:keepLines/>
        <w:spacing w:line="240" w:lineRule="auto"/>
      </w:pPr>
      <w:r>
        <w:rPr>
          <w:rStyle w:val="Funotenzeichen"/>
        </w:rPr>
        <w:footnoteRef/>
      </w:r>
      <w:r>
        <w:t xml:space="preserve"> </w:t>
      </w:r>
      <w:r w:rsidRPr="004A243C">
        <w:rPr>
          <w:b/>
        </w:rPr>
        <w:t>Data space</w:t>
      </w:r>
      <w:r>
        <w:t xml:space="preserve"> is the space in which the n-dimensional feature vectors can be observed. A particular dimension’s data space may be bound to certain ranges. For example, [0…100</w:t>
      </w:r>
      <w:proofErr w:type="gramStart"/>
      <w:r>
        <w:t>]</w:t>
      </w:r>
      <w:r>
        <w:rPr>
          <w:vertAlign w:val="superscript"/>
        </w:rPr>
        <w:t>n</w:t>
      </w:r>
      <w:proofErr w:type="gramEnd"/>
      <w:r>
        <w:rPr>
          <w:vertAlign w:val="superscript"/>
        </w:rPr>
        <w:t xml:space="preserve"> </w:t>
      </w:r>
      <w:r w:rsidRPr="00EC5FC3">
        <w:t xml:space="preserve">may be a </w:t>
      </w:r>
      <w:r>
        <w:t>data</w:t>
      </w:r>
      <w:r w:rsidRPr="00EC5FC3">
        <w:t xml:space="preserve"> space</w:t>
      </w:r>
      <w:r>
        <w:t xml:space="preserve"> of percentages. Sometimes data space is used synonymously with feature space.</w:t>
      </w:r>
    </w:p>
    <w:p w14:paraId="0E781597" w14:textId="36B12382" w:rsidR="00714EA8" w:rsidRDefault="00714EA8" w:rsidP="00714EA8">
      <w:pPr>
        <w:keepNext/>
        <w:keepLines/>
        <w:spacing w:line="240" w:lineRule="auto"/>
      </w:pPr>
      <w:r w:rsidRPr="004A243C">
        <w:rPr>
          <w:b/>
        </w:rPr>
        <w:t>Feature vector</w:t>
      </w:r>
      <w:r>
        <w:t xml:space="preserve"> is a</w:t>
      </w:r>
      <w:r w:rsidRPr="001951A1">
        <w:t xml:space="preserve"> </w:t>
      </w:r>
      <w:r>
        <w:t>d</w:t>
      </w:r>
      <w:r w:rsidRPr="001951A1">
        <w:t xml:space="preserve">-dimensional vector of numerical features (parameters) that represent one data object (case). The complete set of features in a data set forms the so-called </w:t>
      </w:r>
      <w:r>
        <w:t>“</w:t>
      </w:r>
      <w:r w:rsidRPr="00EA3F54">
        <w:rPr>
          <w:b/>
        </w:rPr>
        <w:t>feature space</w:t>
      </w:r>
      <w:r>
        <w:t>.”</w:t>
      </w:r>
    </w:p>
    <w:p w14:paraId="2FE0F5A2" w14:textId="77777777" w:rsidR="00714EA8" w:rsidRDefault="00714EA8" w:rsidP="00714EA8">
      <w:pPr>
        <w:keepNext/>
        <w:keepLines/>
        <w:spacing w:line="240" w:lineRule="auto"/>
      </w:pPr>
      <w:r w:rsidRPr="00505F03">
        <w:t xml:space="preserve">The </w:t>
      </w:r>
      <w:r w:rsidRPr="00F010AB">
        <w:rPr>
          <w:b/>
        </w:rPr>
        <w:t>output space</w:t>
      </w:r>
      <w:r w:rsidRPr="00505F03">
        <w:t xml:space="preserve"> </w:t>
      </w:r>
      <w:r w:rsidRPr="00F010AB">
        <w:rPr>
          <w:i/>
        </w:rPr>
        <w:t>Y</w:t>
      </w:r>
      <w:r w:rsidRPr="00505F03">
        <w:t xml:space="preserve"> consist</w:t>
      </w:r>
      <w:r>
        <w:t>s</w:t>
      </w:r>
      <w:r w:rsidRPr="00505F03">
        <w:t xml:space="preserve"> of possible </w:t>
      </w:r>
      <w:r>
        <w:t>classes, in a medical context</w:t>
      </w:r>
      <w:r w:rsidR="00773B62">
        <w:t>,</w:t>
      </w:r>
      <w:r>
        <w:t xml:space="preserve"> </w:t>
      </w:r>
      <w:r w:rsidRPr="00505F03">
        <w:t xml:space="preserve">diagnoses, </w:t>
      </w:r>
      <w:proofErr w:type="spellStart"/>
      <w:r w:rsidRPr="00505F03">
        <w:t>y</w:t>
      </w:r>
      <w:r w:rsidRPr="00F010AB">
        <w:rPr>
          <w:vertAlign w:val="subscript"/>
        </w:rPr>
        <w:t>i</w:t>
      </w:r>
      <w:proofErr w:type="spellEnd"/>
      <w:r>
        <w:rPr>
          <w:vertAlign w:val="subscript"/>
        </w:rPr>
        <w:t>,</w:t>
      </w:r>
      <w:r w:rsidRPr="00505F03">
        <w:t xml:space="preserve"> </w:t>
      </w:r>
      <w:r>
        <w:t xml:space="preserve">presently defined as </w:t>
      </w:r>
      <w:r w:rsidRPr="00505F03">
        <w:t>persistent</w:t>
      </w:r>
      <w:r>
        <w:t xml:space="preserve"> or </w:t>
      </w:r>
      <w:r w:rsidRPr="00505F03">
        <w:t xml:space="preserve">non-persistent </w:t>
      </w:r>
      <w:r>
        <w:t xml:space="preserve">postoperative </w:t>
      </w:r>
      <w:r w:rsidRPr="00505F03">
        <w:t>pain</w:t>
      </w:r>
      <w:r>
        <w:t>.</w:t>
      </w:r>
    </w:p>
    <w:p w14:paraId="643C0F08" w14:textId="77777777" w:rsidR="00714EA8" w:rsidRPr="003646D4" w:rsidRDefault="00714EA8" w:rsidP="00714EA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5CEE6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AAA5B01"/>
    <w:multiLevelType w:val="hybridMultilevel"/>
    <w:tmpl w:val="0962392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Symbol" w:hint="default"/>
      </w:rPr>
    </w:lvl>
    <w:lvl w:ilvl="2" w:tplc="04070005">
      <w:start w:val="1"/>
      <w:numFmt w:val="bullet"/>
      <w:lvlText w:val=""/>
      <w:lvlJc w:val="left"/>
      <w:pPr>
        <w:ind w:left="1800" w:hanging="360"/>
      </w:pPr>
      <w:rPr>
        <w:rFonts w:ascii="Bookshelf Symbol 7" w:hAnsi="Bookshelf Symbol 7"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Symbol" w:hint="default"/>
      </w:rPr>
    </w:lvl>
    <w:lvl w:ilvl="5" w:tplc="04070005" w:tentative="1">
      <w:start w:val="1"/>
      <w:numFmt w:val="bullet"/>
      <w:lvlText w:val=""/>
      <w:lvlJc w:val="left"/>
      <w:pPr>
        <w:ind w:left="3960" w:hanging="360"/>
      </w:pPr>
      <w:rPr>
        <w:rFonts w:ascii="Bookshelf Symbol 7" w:hAnsi="Bookshelf Symbol 7"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Symbol" w:hint="default"/>
      </w:rPr>
    </w:lvl>
    <w:lvl w:ilvl="8" w:tplc="04070005" w:tentative="1">
      <w:start w:val="1"/>
      <w:numFmt w:val="bullet"/>
      <w:lvlText w:val=""/>
      <w:lvlJc w:val="left"/>
      <w:pPr>
        <w:ind w:left="6120" w:hanging="360"/>
      </w:pPr>
      <w:rPr>
        <w:rFonts w:ascii="Bookshelf Symbol 7" w:hAnsi="Bookshelf Symbol 7" w:hint="default"/>
      </w:rPr>
    </w:lvl>
  </w:abstractNum>
  <w:abstractNum w:abstractNumId="3" w15:restartNumberingAfterBreak="0">
    <w:nsid w:val="4333352B"/>
    <w:multiLevelType w:val="hybridMultilevel"/>
    <w:tmpl w:val="43F8DC0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Symbol"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reast Cancer Res Th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fzetfvyt5z2oe2af8p9aehfprpvtt2rv22&quot;&gt;joerns literatur X2&lt;record-ids&gt;&lt;item&gt;9029&lt;/item&gt;&lt;item&gt;9526&lt;/item&gt;&lt;item&gt;11710&lt;/item&gt;&lt;item&gt;11723&lt;/item&gt;&lt;item&gt;11732&lt;/item&gt;&lt;item&gt;11964&lt;/item&gt;&lt;item&gt;12121&lt;/item&gt;&lt;item&gt;12123&lt;/item&gt;&lt;item&gt;12253&lt;/item&gt;&lt;item&gt;12254&lt;/item&gt;&lt;item&gt;12255&lt;/item&gt;&lt;item&gt;12280&lt;/item&gt;&lt;item&gt;12357&lt;/item&gt;&lt;item&gt;12358&lt;/item&gt;&lt;item&gt;14929&lt;/item&gt;&lt;item&gt;14930&lt;/item&gt;&lt;item&gt;14931&lt;/item&gt;&lt;item&gt;15016&lt;/item&gt;&lt;item&gt;15539&lt;/item&gt;&lt;/record-ids&gt;&lt;/item&gt;&lt;/Libraries&gt;"/>
  </w:docVars>
  <w:rsids>
    <w:rsidRoot w:val="00320565"/>
    <w:rsid w:val="000534BF"/>
    <w:rsid w:val="000626FB"/>
    <w:rsid w:val="000A663A"/>
    <w:rsid w:val="00186839"/>
    <w:rsid w:val="001B6A27"/>
    <w:rsid w:val="00224FD3"/>
    <w:rsid w:val="0022691B"/>
    <w:rsid w:val="00231AAC"/>
    <w:rsid w:val="002573BD"/>
    <w:rsid w:val="002F4C8C"/>
    <w:rsid w:val="00320565"/>
    <w:rsid w:val="003A2181"/>
    <w:rsid w:val="003B75F6"/>
    <w:rsid w:val="003C4866"/>
    <w:rsid w:val="00401FA1"/>
    <w:rsid w:val="00403503"/>
    <w:rsid w:val="00411C19"/>
    <w:rsid w:val="00416AA6"/>
    <w:rsid w:val="004179DD"/>
    <w:rsid w:val="004E265A"/>
    <w:rsid w:val="005208E4"/>
    <w:rsid w:val="00553010"/>
    <w:rsid w:val="00576F50"/>
    <w:rsid w:val="005A7BB3"/>
    <w:rsid w:val="005D0CEA"/>
    <w:rsid w:val="005F2CF1"/>
    <w:rsid w:val="00714EA8"/>
    <w:rsid w:val="00773B62"/>
    <w:rsid w:val="007A0DDA"/>
    <w:rsid w:val="007D2FCC"/>
    <w:rsid w:val="00882494"/>
    <w:rsid w:val="008A7E24"/>
    <w:rsid w:val="008F7339"/>
    <w:rsid w:val="0090092C"/>
    <w:rsid w:val="00980CF0"/>
    <w:rsid w:val="00B25163"/>
    <w:rsid w:val="00BA5AF6"/>
    <w:rsid w:val="00C04288"/>
    <w:rsid w:val="00C85ADC"/>
    <w:rsid w:val="00DA0A67"/>
    <w:rsid w:val="00DB3825"/>
    <w:rsid w:val="00E67EB1"/>
    <w:rsid w:val="00E80D0C"/>
    <w:rsid w:val="00F36B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1552992"/>
  <w14:defaultImageDpi w14:val="32767"/>
  <w15:docId w15:val="{ED0D3F42-8F36-4E5D-95FD-08F93F66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D0D8E"/>
    <w:pPr>
      <w:spacing w:after="100" w:afterAutospacing="1" w:line="480" w:lineRule="auto"/>
      <w:jc w:val="both"/>
    </w:pPr>
    <w:rPr>
      <w:rFonts w:ascii="Calibri" w:hAnsi="Calibri"/>
      <w:sz w:val="22"/>
      <w:szCs w:val="24"/>
      <w:lang w:val="en-US"/>
    </w:rPr>
  </w:style>
  <w:style w:type="paragraph" w:styleId="berschrift1">
    <w:name w:val="heading 1"/>
    <w:basedOn w:val="Standard"/>
    <w:next w:val="Standard"/>
    <w:link w:val="berschrift1Zchn"/>
    <w:uiPriority w:val="99"/>
    <w:qFormat/>
    <w:rsid w:val="00624F7C"/>
    <w:pPr>
      <w:keepNext/>
      <w:spacing w:before="240"/>
      <w:ind w:left="360" w:hanging="360"/>
      <w:outlineLvl w:val="0"/>
    </w:pPr>
    <w:rPr>
      <w:rFonts w:cs="Arial"/>
      <w:b/>
      <w:bCs/>
      <w:caps/>
      <w:kern w:val="24"/>
      <w:sz w:val="24"/>
      <w:szCs w:val="32"/>
    </w:rPr>
  </w:style>
  <w:style w:type="paragraph" w:styleId="berschrift2">
    <w:name w:val="heading 2"/>
    <w:basedOn w:val="Standard"/>
    <w:next w:val="Standard"/>
    <w:link w:val="berschrift2Zchn"/>
    <w:uiPriority w:val="99"/>
    <w:qFormat/>
    <w:rsid w:val="00BF71B3"/>
    <w:pPr>
      <w:keepNext/>
      <w:spacing w:before="240"/>
      <w:ind w:left="357" w:hanging="357"/>
      <w:outlineLvl w:val="1"/>
    </w:pPr>
    <w:rPr>
      <w:rFonts w:cs="Arial"/>
      <w:b/>
      <w:bCs/>
      <w:iCs/>
      <w:sz w:val="24"/>
      <w:szCs w:val="28"/>
    </w:rPr>
  </w:style>
  <w:style w:type="paragraph" w:styleId="berschrift3">
    <w:name w:val="heading 3"/>
    <w:basedOn w:val="Standard"/>
    <w:next w:val="Standard"/>
    <w:link w:val="berschrift3Zchn"/>
    <w:uiPriority w:val="99"/>
    <w:qFormat/>
    <w:rsid w:val="00BF71B3"/>
    <w:pPr>
      <w:keepNext/>
      <w:spacing w:before="240"/>
      <w:ind w:left="357" w:hanging="357"/>
      <w:outlineLvl w:val="2"/>
    </w:pPr>
    <w:rPr>
      <w:rFonts w:cs="Arial"/>
      <w:b/>
      <w:bCs/>
      <w:i/>
      <w:szCs w:val="26"/>
    </w:rPr>
  </w:style>
  <w:style w:type="paragraph" w:styleId="berschrift4">
    <w:name w:val="heading 4"/>
    <w:basedOn w:val="Standard"/>
    <w:next w:val="Standard"/>
    <w:link w:val="berschrift4Zchn"/>
    <w:uiPriority w:val="99"/>
    <w:qFormat/>
    <w:rsid w:val="00BF71B3"/>
    <w:pPr>
      <w:keepNext/>
      <w:keepLines/>
      <w:spacing w:before="200"/>
      <w:ind w:left="646" w:hanging="646"/>
      <w:outlineLvl w:val="3"/>
    </w:pPr>
    <w:rPr>
      <w:bCs/>
      <w:i/>
      <w:iCs/>
    </w:rPr>
  </w:style>
  <w:style w:type="paragraph" w:styleId="berschrift5">
    <w:name w:val="heading 5"/>
    <w:basedOn w:val="Standard"/>
    <w:next w:val="Standard"/>
    <w:link w:val="berschrift5Zchn"/>
    <w:qFormat/>
    <w:rsid w:val="00BD0D8E"/>
    <w:pPr>
      <w:keepNext/>
      <w:keepLines/>
      <w:spacing w:before="200" w:after="0"/>
      <w:outlineLvl w:val="4"/>
    </w:pPr>
    <w:rPr>
      <w:i/>
      <w:sz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rsid w:val="00624F7C"/>
    <w:rPr>
      <w:rFonts w:ascii="Calibri" w:hAnsi="Calibri" w:cs="Arial"/>
      <w:b/>
      <w:bCs/>
      <w:caps/>
      <w:kern w:val="24"/>
      <w:sz w:val="24"/>
      <w:szCs w:val="32"/>
      <w:lang w:val="en-US"/>
    </w:rPr>
  </w:style>
  <w:style w:type="character" w:customStyle="1" w:styleId="berschrift2Zchn">
    <w:name w:val="Überschrift 2 Zchn"/>
    <w:link w:val="berschrift2"/>
    <w:uiPriority w:val="99"/>
    <w:rsid w:val="00BF71B3"/>
    <w:rPr>
      <w:rFonts w:ascii="Calibri" w:hAnsi="Calibri" w:cs="Arial"/>
      <w:b/>
      <w:bCs/>
      <w:iCs/>
      <w:sz w:val="24"/>
      <w:szCs w:val="28"/>
      <w:lang w:val="en-US"/>
    </w:rPr>
  </w:style>
  <w:style w:type="character" w:customStyle="1" w:styleId="berschrift3Zchn">
    <w:name w:val="Überschrift 3 Zchn"/>
    <w:link w:val="berschrift3"/>
    <w:uiPriority w:val="99"/>
    <w:rsid w:val="00BF71B3"/>
    <w:rPr>
      <w:rFonts w:ascii="Calibri" w:hAnsi="Calibri" w:cs="Arial"/>
      <w:b/>
      <w:bCs/>
      <w:i/>
      <w:sz w:val="22"/>
      <w:szCs w:val="26"/>
      <w:lang w:val="en-US"/>
    </w:rPr>
  </w:style>
  <w:style w:type="character" w:customStyle="1" w:styleId="berschrift4Zchn">
    <w:name w:val="Überschrift 4 Zchn"/>
    <w:link w:val="berschrift4"/>
    <w:uiPriority w:val="99"/>
    <w:rsid w:val="00BF71B3"/>
    <w:rPr>
      <w:rFonts w:ascii="Calibri" w:hAnsi="Calibri"/>
      <w:bCs/>
      <w:i/>
      <w:iCs/>
      <w:sz w:val="22"/>
      <w:szCs w:val="24"/>
      <w:lang w:val="en-US"/>
    </w:rPr>
  </w:style>
  <w:style w:type="character" w:customStyle="1" w:styleId="berschrift5Zchn">
    <w:name w:val="Überschrift 5 Zchn"/>
    <w:link w:val="berschrift5"/>
    <w:qFormat/>
    <w:rsid w:val="00BD0D8E"/>
    <w:rPr>
      <w:rFonts w:ascii="Calibri" w:hAnsi="Calibri"/>
      <w:i/>
      <w:szCs w:val="24"/>
      <w:lang w:val="en-US"/>
    </w:rPr>
  </w:style>
  <w:style w:type="paragraph" w:styleId="Titel">
    <w:name w:val="Title"/>
    <w:basedOn w:val="Standard"/>
    <w:next w:val="Standard"/>
    <w:link w:val="TitelZchn"/>
    <w:uiPriority w:val="99"/>
    <w:qFormat/>
    <w:rsid w:val="00AB2223"/>
    <w:pPr>
      <w:spacing w:line="360" w:lineRule="auto"/>
      <w:contextualSpacing/>
    </w:pPr>
    <w:rPr>
      <w:rFonts w:ascii="Calibri Light" w:eastAsia="Yu Gothic Light" w:hAnsi="Calibri Light"/>
      <w:kern w:val="28"/>
      <w:sz w:val="32"/>
      <w:szCs w:val="56"/>
    </w:rPr>
  </w:style>
  <w:style w:type="character" w:customStyle="1" w:styleId="TitelZchn">
    <w:name w:val="Titel Zchn"/>
    <w:link w:val="Titel"/>
    <w:uiPriority w:val="99"/>
    <w:qFormat/>
    <w:rsid w:val="00365D11"/>
    <w:rPr>
      <w:rFonts w:ascii="Calibri Light" w:eastAsia="Yu Gothic Light" w:hAnsi="Calibri Light"/>
      <w:kern w:val="28"/>
      <w:sz w:val="32"/>
      <w:szCs w:val="56"/>
      <w:lang w:val="en-US"/>
    </w:rPr>
  </w:style>
  <w:style w:type="character" w:customStyle="1" w:styleId="KopfzeileZchn">
    <w:name w:val="Kopfzeile Zchn"/>
    <w:link w:val="Kopfzeile"/>
    <w:uiPriority w:val="99"/>
    <w:rPr>
      <w:rFonts w:ascii="Calibri" w:hAnsi="Calibri"/>
      <w:szCs w:val="24"/>
      <w:lang w:val="en-US"/>
    </w:rPr>
  </w:style>
  <w:style w:type="paragraph" w:styleId="Kopfzeile">
    <w:name w:val="header"/>
    <w:basedOn w:val="Standard"/>
    <w:link w:val="KopfzeileZchn"/>
    <w:uiPriority w:val="99"/>
    <w:rsid w:val="00BB50FD"/>
    <w:pPr>
      <w:tabs>
        <w:tab w:val="center" w:pos="4536"/>
        <w:tab w:val="right" w:pos="9072"/>
      </w:tabs>
      <w:spacing w:after="0" w:line="240" w:lineRule="auto"/>
    </w:pPr>
    <w:rPr>
      <w:sz w:val="20"/>
    </w:rPr>
  </w:style>
  <w:style w:type="character" w:customStyle="1" w:styleId="FuzeileZchn">
    <w:name w:val="Fußzeile Zchn"/>
    <w:link w:val="Fuzeile"/>
    <w:uiPriority w:val="99"/>
    <w:rPr>
      <w:rFonts w:ascii="Calibri" w:hAnsi="Calibri"/>
      <w:szCs w:val="24"/>
      <w:lang w:val="en-US"/>
    </w:rPr>
  </w:style>
  <w:style w:type="paragraph" w:styleId="Fuzeile">
    <w:name w:val="footer"/>
    <w:basedOn w:val="Standard"/>
    <w:link w:val="FuzeileZchn"/>
    <w:uiPriority w:val="99"/>
    <w:rsid w:val="00BB50FD"/>
    <w:pPr>
      <w:tabs>
        <w:tab w:val="center" w:pos="4536"/>
        <w:tab w:val="right" w:pos="9072"/>
      </w:tabs>
      <w:spacing w:after="0" w:line="240" w:lineRule="auto"/>
    </w:pPr>
    <w:rPr>
      <w:sz w:val="20"/>
    </w:rPr>
  </w:style>
  <w:style w:type="character" w:customStyle="1" w:styleId="EndNoteBibliographyTitleZchn">
    <w:name w:val="EndNote Bibliography Title Zchn"/>
    <w:link w:val="EndNoteBibliographyTitle"/>
    <w:rsid w:val="00843AC6"/>
    <w:rPr>
      <w:rFonts w:ascii="Calibri" w:hAnsi="Calibri" w:cs="Calibri"/>
      <w:szCs w:val="24"/>
    </w:rPr>
  </w:style>
  <w:style w:type="paragraph" w:customStyle="1" w:styleId="EndNoteBibliographyTitle">
    <w:name w:val="EndNote Bibliography Title"/>
    <w:basedOn w:val="Standard"/>
    <w:link w:val="EndNoteBibliographyTitleZchn"/>
    <w:rsid w:val="00843AC6"/>
    <w:pPr>
      <w:spacing w:after="0"/>
      <w:jc w:val="center"/>
    </w:pPr>
    <w:rPr>
      <w:rFonts w:cs="Calibri"/>
      <w:sz w:val="20"/>
      <w:lang w:val="de-DE"/>
    </w:rPr>
  </w:style>
  <w:style w:type="character" w:customStyle="1" w:styleId="EndNoteBibliographyZchn">
    <w:name w:val="EndNote Bibliography Zchn"/>
    <w:link w:val="EndNoteBibliography"/>
    <w:rsid w:val="00843AC6"/>
    <w:rPr>
      <w:rFonts w:ascii="Calibri" w:hAnsi="Calibri" w:cs="Calibri"/>
      <w:szCs w:val="24"/>
    </w:rPr>
  </w:style>
  <w:style w:type="paragraph" w:customStyle="1" w:styleId="EndNoteBibliography">
    <w:name w:val="EndNote Bibliography"/>
    <w:basedOn w:val="Standard"/>
    <w:link w:val="EndNoteBibliographyZchn"/>
    <w:rsid w:val="00843AC6"/>
    <w:pPr>
      <w:spacing w:line="240" w:lineRule="auto"/>
    </w:pPr>
    <w:rPr>
      <w:rFonts w:cs="Calibri"/>
      <w:sz w:val="20"/>
      <w:lang w:val="de-DE"/>
    </w:rPr>
  </w:style>
  <w:style w:type="paragraph" w:styleId="Sprechblasentext">
    <w:name w:val="Balloon Text"/>
    <w:basedOn w:val="Standard"/>
    <w:link w:val="SprechblasentextZchn"/>
    <w:uiPriority w:val="99"/>
    <w:semiHidden/>
    <w:unhideWhenUsed/>
    <w:rsid w:val="00BD0D8E"/>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BD0D8E"/>
    <w:rPr>
      <w:rFonts w:ascii="Segoe UI" w:hAnsi="Segoe UI" w:cs="Segoe UI"/>
      <w:sz w:val="18"/>
      <w:szCs w:val="18"/>
      <w:lang w:val="en-US"/>
    </w:rPr>
  </w:style>
  <w:style w:type="character" w:styleId="Hyperlink">
    <w:name w:val="Hyperlink"/>
    <w:uiPriority w:val="99"/>
    <w:rsid w:val="00BB50FD"/>
    <w:rPr>
      <w:color w:val="0563C1"/>
      <w:u w:val="single"/>
    </w:rPr>
  </w:style>
  <w:style w:type="paragraph" w:styleId="Textkrper">
    <w:name w:val="Body Text"/>
    <w:basedOn w:val="Standard"/>
    <w:pPr>
      <w:spacing w:after="120"/>
    </w:pPr>
  </w:style>
  <w:style w:type="paragraph" w:styleId="Liste">
    <w:name w:val="List"/>
    <w:basedOn w:val="Textkrper"/>
    <w:rPr>
      <w:rFonts w:cs="Lucida Sans"/>
    </w:rPr>
  </w:style>
  <w:style w:type="character" w:styleId="Seitenzahl">
    <w:name w:val="page number"/>
    <w:uiPriority w:val="99"/>
    <w:semiHidden/>
    <w:unhideWhenUsed/>
    <w:rsid w:val="00E24DEC"/>
  </w:style>
  <w:style w:type="paragraph" w:customStyle="1" w:styleId="FarbigeListe-Akzent11">
    <w:name w:val="Farbige Liste - Akzent 11"/>
    <w:basedOn w:val="Standard"/>
    <w:uiPriority w:val="34"/>
    <w:qFormat/>
    <w:rsid w:val="00BB50FD"/>
    <w:pPr>
      <w:ind w:left="720"/>
      <w:contextualSpacing/>
    </w:pPr>
  </w:style>
  <w:style w:type="paragraph" w:styleId="Beschriftung">
    <w:name w:val="caption"/>
    <w:basedOn w:val="Standard"/>
    <w:next w:val="Standard"/>
    <w:uiPriority w:val="99"/>
    <w:qFormat/>
    <w:rsid w:val="00BD0D8E"/>
    <w:pPr>
      <w:keepNext/>
      <w:spacing w:before="120"/>
    </w:pPr>
    <w:rPr>
      <w:bCs/>
      <w:szCs w:val="20"/>
    </w:rPr>
  </w:style>
  <w:style w:type="table" w:styleId="Tabellenraster">
    <w:name w:val="Table Grid"/>
    <w:basedOn w:val="NormaleTabelle"/>
    <w:uiPriority w:val="39"/>
    <w:rsid w:val="00BB50F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Schattierung-Akzent11">
    <w:name w:val="Farbige Schattierung - Akzent 11"/>
    <w:hidden/>
    <w:uiPriority w:val="99"/>
    <w:semiHidden/>
    <w:rsid w:val="00681177"/>
    <w:rPr>
      <w:rFonts w:ascii="Calibri" w:hAnsi="Calibri" w:cs="Mangal"/>
      <w:kern w:val="1"/>
      <w:sz w:val="24"/>
      <w:szCs w:val="21"/>
      <w:lang w:val="en-US" w:eastAsia="hi-IN" w:bidi="hi-IN"/>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link w:val="Kommentartext"/>
    <w:uiPriority w:val="99"/>
    <w:semiHidden/>
    <w:rPr>
      <w:rFonts w:ascii="Calibri" w:hAnsi="Calibri"/>
      <w:lang w:val="en-US"/>
    </w:rPr>
  </w:style>
  <w:style w:type="character" w:styleId="Kommentarzeichen">
    <w:name w:val="annotation reference"/>
    <w:uiPriority w:val="99"/>
    <w:semiHidden/>
    <w:unhideWhenUsed/>
    <w:rPr>
      <w:sz w:val="16"/>
      <w:szCs w:val="16"/>
    </w:rPr>
  </w:style>
  <w:style w:type="paragraph" w:styleId="Funotentext">
    <w:name w:val="footnote text"/>
    <w:basedOn w:val="Standard"/>
    <w:link w:val="FunotentextZchn"/>
    <w:uiPriority w:val="99"/>
    <w:semiHidden/>
    <w:unhideWhenUsed/>
    <w:rsid w:val="00892C2C"/>
    <w:pPr>
      <w:spacing w:after="0" w:line="240" w:lineRule="auto"/>
    </w:pPr>
    <w:rPr>
      <w:sz w:val="20"/>
      <w:szCs w:val="20"/>
    </w:rPr>
  </w:style>
  <w:style w:type="character" w:customStyle="1" w:styleId="FunotentextZchn">
    <w:name w:val="Fußnotentext Zchn"/>
    <w:link w:val="Funotentext"/>
    <w:uiPriority w:val="99"/>
    <w:semiHidden/>
    <w:rsid w:val="00892C2C"/>
    <w:rPr>
      <w:rFonts w:ascii="Calibri" w:hAnsi="Calibri"/>
      <w:lang w:val="en-US"/>
    </w:rPr>
  </w:style>
  <w:style w:type="character" w:styleId="Funotenzeichen">
    <w:name w:val="footnote reference"/>
    <w:uiPriority w:val="99"/>
    <w:semiHidden/>
    <w:unhideWhenUsed/>
    <w:rsid w:val="00892C2C"/>
    <w:rPr>
      <w:vertAlign w:val="superscript"/>
    </w:rPr>
  </w:style>
  <w:style w:type="table" w:customStyle="1" w:styleId="DunkleListe-Akzent21">
    <w:name w:val="Dunkle Liste - Akzent 21"/>
    <w:basedOn w:val="NormaleTabelle"/>
    <w:uiPriority w:val="61"/>
    <w:rsid w:val="00924283"/>
    <w:rPr>
      <w:rFonts w:ascii="Calibri" w:eastAsia="Calibri" w:hAnsi="Calibri"/>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stentabelle3Akzent21">
    <w:name w:val="Listentabelle 3 – Akzent 21"/>
    <w:basedOn w:val="NormaleTabelle"/>
    <w:uiPriority w:val="48"/>
    <w:rsid w:val="00853B13"/>
    <w:rPr>
      <w:rFonts w:ascii="Calibri" w:eastAsia="Calibri" w:hAnsi="Calibri"/>
      <w:sz w:val="22"/>
      <w:szCs w:val="22"/>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paragraph" w:styleId="Kommentarthema">
    <w:name w:val="annotation subject"/>
    <w:basedOn w:val="Kommentartext"/>
    <w:next w:val="Kommentartext"/>
    <w:link w:val="KommentarthemaZchn"/>
    <w:uiPriority w:val="99"/>
    <w:semiHidden/>
    <w:unhideWhenUsed/>
    <w:rsid w:val="00D71B73"/>
    <w:rPr>
      <w:b/>
      <w:bCs/>
    </w:rPr>
  </w:style>
  <w:style w:type="character" w:customStyle="1" w:styleId="KommentarthemaZchn">
    <w:name w:val="Kommentarthema Zchn"/>
    <w:link w:val="Kommentarthema"/>
    <w:uiPriority w:val="99"/>
    <w:semiHidden/>
    <w:rsid w:val="00D71B73"/>
    <w:rPr>
      <w:rFonts w:ascii="Calibri" w:hAnsi="Calibri"/>
      <w:b/>
      <w:bCs/>
      <w:lang w:val="en-US"/>
    </w:rPr>
  </w:style>
  <w:style w:type="character" w:styleId="BesuchterLink">
    <w:name w:val="FollowedHyperlink"/>
    <w:uiPriority w:val="99"/>
    <w:semiHidden/>
    <w:unhideWhenUsed/>
    <w:rsid w:val="00FA7872"/>
    <w:rPr>
      <w:color w:val="800080"/>
      <w:u w:val="single"/>
    </w:rPr>
  </w:style>
  <w:style w:type="paragraph" w:customStyle="1" w:styleId="Listenabsatz1">
    <w:name w:val="Listenabsatz1"/>
    <w:basedOn w:val="Standard"/>
    <w:uiPriority w:val="34"/>
    <w:qFormat/>
    <w:rsid w:val="004A1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1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RAN.R-proj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5822</Words>
  <Characters>36680</Characters>
  <Application>Microsoft Office Word</Application>
  <DocSecurity>0</DocSecurity>
  <Lines>305</Lines>
  <Paragraphs>84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DETAILED DESCRIPTION OF THE DATA ANALYSIS</vt:lpstr>
      <vt:lpstr>DETAILED DESCRIPTION OF THE DATA ANALYSIS</vt:lpstr>
    </vt:vector>
  </TitlesOfParts>
  <Company>HUS</Company>
  <LinksUpToDate>false</LinksUpToDate>
  <CharactersWithSpaces>42418</CharactersWithSpaces>
  <SharedDoc>false</SharedDoc>
  <HLinks>
    <vt:vector size="6" baseType="variant">
      <vt:variant>
        <vt:i4>2228321</vt:i4>
      </vt:variant>
      <vt:variant>
        <vt:i4>3</vt:i4>
      </vt:variant>
      <vt:variant>
        <vt:i4>0</vt:i4>
      </vt:variant>
      <vt:variant>
        <vt:i4>5</vt:i4>
      </vt:variant>
      <vt:variant>
        <vt:lpwstr>http://cran.r-project.org/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DETAILED DESCRIPTION OF THE DATA ANALYSIS</dc:title>
  <dc:subject/>
  <dc:creator>Joern-VM</dc:creator>
  <cp:keywords/>
  <dc:description/>
  <cp:lastModifiedBy>Y0h4ngjVXK@goetheuniversitaet.onmicrosoft.com</cp:lastModifiedBy>
  <cp:revision>3</cp:revision>
  <cp:lastPrinted>2017-07-30T09:28:00Z</cp:lastPrinted>
  <dcterms:created xsi:type="dcterms:W3CDTF">2018-04-24T16:17:00Z</dcterms:created>
  <dcterms:modified xsi:type="dcterms:W3CDTF">2018-04-24T16:17:00Z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NewReviewCycle">
    <vt:lpwstr/>
  </property>
  <property fmtid="{D5CDD505-2E9C-101B-9397-08002B2CF9AE}" pid="9" name="_AdHocReviewCycleID">
    <vt:i4>-1031704420</vt:i4>
  </property>
  <property fmtid="{D5CDD505-2E9C-101B-9397-08002B2CF9AE}" pid="10" name="_EmailSubject">
    <vt:lpwstr>Machine learning</vt:lpwstr>
  </property>
  <property fmtid="{D5CDD505-2E9C-101B-9397-08002B2CF9AE}" pid="11" name="_AuthorEmail">
    <vt:lpwstr>Eija.Kalso@hus.fi</vt:lpwstr>
  </property>
  <property fmtid="{D5CDD505-2E9C-101B-9397-08002B2CF9AE}" pid="12" name="_AuthorEmailDisplayName">
    <vt:lpwstr>Kalso Eija</vt:lpwstr>
  </property>
  <property fmtid="{D5CDD505-2E9C-101B-9397-08002B2CF9AE}" pid="13" name="_PreviousAdHocReviewCycleID">
    <vt:i4>1840332547</vt:i4>
  </property>
  <property fmtid="{D5CDD505-2E9C-101B-9397-08002B2CF9AE}" pid="14" name="_ReviewingToolsShownOnce">
    <vt:lpwstr/>
  </property>
</Properties>
</file>