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48" w:rsidRPr="00A6342E" w:rsidRDefault="004C7448">
      <w:pPr>
        <w:rPr>
          <w:rFonts w:ascii="Times New Roman" w:hAnsi="Times New Roman" w:cs="Times New Roman"/>
          <w:b/>
        </w:rPr>
      </w:pPr>
    </w:p>
    <w:p w:rsidR="00382282" w:rsidRPr="00A6342E" w:rsidRDefault="00867F2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</w:t>
      </w:r>
      <w:r w:rsidR="004D3F9B">
        <w:rPr>
          <w:rFonts w:ascii="Times New Roman" w:hAnsi="Times New Roman" w:cs="Times New Roman"/>
          <w:b/>
          <w:sz w:val="20"/>
          <w:szCs w:val="20"/>
        </w:rPr>
        <w:t>pplementary Table 1</w:t>
      </w:r>
      <w:r w:rsidR="00816BF5" w:rsidRPr="00A6342E">
        <w:rPr>
          <w:rFonts w:ascii="Times New Roman" w:hAnsi="Times New Roman" w:cs="Times New Roman"/>
          <w:sz w:val="20"/>
          <w:szCs w:val="20"/>
        </w:rPr>
        <w:t xml:space="preserve"> Prognostic value of </w:t>
      </w:r>
      <w:r w:rsidR="00276E36" w:rsidRPr="00A6342E">
        <w:rPr>
          <w:rFonts w:ascii="Times New Roman" w:hAnsi="Times New Roman" w:cs="Times New Roman"/>
          <w:sz w:val="20"/>
          <w:szCs w:val="20"/>
        </w:rPr>
        <w:t>TSR</w:t>
      </w:r>
      <w:r w:rsidR="00AE3B0A">
        <w:rPr>
          <w:rFonts w:ascii="Times New Roman" w:hAnsi="Times New Roman" w:cs="Times New Roman"/>
          <w:sz w:val="20"/>
          <w:szCs w:val="20"/>
        </w:rPr>
        <w:t xml:space="preserve"> in addition to traditional prognostic tumour </w:t>
      </w:r>
      <w:r w:rsidR="00AB452C">
        <w:rPr>
          <w:rFonts w:ascii="Times New Roman" w:hAnsi="Times New Roman" w:cs="Times New Roman"/>
          <w:sz w:val="20"/>
          <w:szCs w:val="20"/>
        </w:rPr>
        <w:t>characteristics</w:t>
      </w:r>
      <w:r w:rsidR="00816BF5" w:rsidRPr="00A6342E">
        <w:rPr>
          <w:rFonts w:ascii="Times New Roman" w:hAnsi="Times New Roman" w:cs="Times New Roman"/>
          <w:sz w:val="20"/>
          <w:szCs w:val="20"/>
        </w:rPr>
        <w:t xml:space="preserve"> in </w:t>
      </w:r>
      <w:r w:rsidR="00382282" w:rsidRPr="00A6342E">
        <w:rPr>
          <w:rFonts w:ascii="Times New Roman" w:hAnsi="Times New Roman" w:cs="Times New Roman"/>
          <w:sz w:val="20"/>
          <w:szCs w:val="20"/>
        </w:rPr>
        <w:t xml:space="preserve">the main study cohort </w:t>
      </w:r>
      <w:r w:rsidR="00816BF5" w:rsidRPr="00A6342E">
        <w:rPr>
          <w:rFonts w:ascii="Times New Roman" w:hAnsi="Times New Roman" w:cs="Times New Roman"/>
          <w:sz w:val="20"/>
          <w:szCs w:val="20"/>
        </w:rPr>
        <w:t xml:space="preserve">discussed </w:t>
      </w:r>
      <w:r w:rsidR="00382282" w:rsidRPr="00A6342E">
        <w:rPr>
          <w:rFonts w:ascii="Times New Roman" w:hAnsi="Times New Roman" w:cs="Times New Roman"/>
          <w:sz w:val="20"/>
          <w:szCs w:val="20"/>
        </w:rPr>
        <w:t xml:space="preserve">in the </w:t>
      </w:r>
      <w:r w:rsidR="00816BF5" w:rsidRPr="00A6342E">
        <w:rPr>
          <w:rFonts w:ascii="Times New Roman" w:hAnsi="Times New Roman" w:cs="Times New Roman"/>
          <w:sz w:val="20"/>
          <w:szCs w:val="20"/>
        </w:rPr>
        <w:t>literature calculated by univar</w:t>
      </w:r>
      <w:r w:rsidR="009773DA" w:rsidRPr="00A6342E">
        <w:rPr>
          <w:rFonts w:ascii="Times New Roman" w:hAnsi="Times New Roman" w:cs="Times New Roman"/>
          <w:sz w:val="20"/>
          <w:szCs w:val="20"/>
        </w:rPr>
        <w:t xml:space="preserve">iate Cox- regression analyses. </w:t>
      </w:r>
    </w:p>
    <w:tbl>
      <w:tblPr>
        <w:tblStyle w:val="TableGrid"/>
        <w:tblpPr w:leftFromText="180" w:rightFromText="180" w:vertAnchor="text" w:horzAnchor="margin" w:tblpY="46"/>
        <w:tblOverlap w:val="never"/>
        <w:tblW w:w="16126" w:type="dxa"/>
        <w:tblLayout w:type="fixed"/>
        <w:tblLook w:val="04A0"/>
      </w:tblPr>
      <w:tblGrid>
        <w:gridCol w:w="1526"/>
        <w:gridCol w:w="567"/>
        <w:gridCol w:w="992"/>
        <w:gridCol w:w="851"/>
        <w:gridCol w:w="567"/>
        <w:gridCol w:w="992"/>
        <w:gridCol w:w="850"/>
        <w:gridCol w:w="567"/>
        <w:gridCol w:w="1134"/>
        <w:gridCol w:w="851"/>
        <w:gridCol w:w="567"/>
        <w:gridCol w:w="992"/>
        <w:gridCol w:w="851"/>
        <w:gridCol w:w="567"/>
        <w:gridCol w:w="992"/>
        <w:gridCol w:w="850"/>
        <w:gridCol w:w="567"/>
        <w:gridCol w:w="993"/>
        <w:gridCol w:w="850"/>
      </w:tblGrid>
      <w:tr w:rsidR="00624820" w:rsidRPr="00A6342E" w:rsidTr="002D0E0F">
        <w:trPr>
          <w:trHeight w:val="288"/>
        </w:trPr>
        <w:tc>
          <w:tcPr>
            <w:tcW w:w="1526" w:type="dxa"/>
            <w:vMerge w:val="restart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Tumour characteristics</w:t>
            </w:r>
          </w:p>
        </w:tc>
        <w:tc>
          <w:tcPr>
            <w:tcW w:w="4819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De Kruijf et al., 2011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962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Dekker et al. 2013</w:t>
            </w:r>
          </w:p>
        </w:tc>
        <w:tc>
          <w:tcPr>
            <w:tcW w:w="4819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Gujam et al., 2014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  <w:vMerge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General breast cancer cohort</w:t>
            </w:r>
          </w:p>
        </w:tc>
        <w:tc>
          <w:tcPr>
            <w:tcW w:w="4962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General breast cancer cohort</w:t>
            </w:r>
          </w:p>
        </w:tc>
        <w:tc>
          <w:tcPr>
            <w:tcW w:w="4819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invasive carcinoma of no special type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  <w:vMerge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Recurrence-free period</w:t>
            </w:r>
          </w:p>
        </w:tc>
        <w:tc>
          <w:tcPr>
            <w:tcW w:w="4962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Disease-free survival</w:t>
            </w:r>
          </w:p>
        </w:tc>
        <w:tc>
          <w:tcPr>
            <w:tcW w:w="4819" w:type="dxa"/>
            <w:gridSpan w:val="6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Cancer-specific survival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  <w:vMerge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Univariate </w:t>
            </w:r>
          </w:p>
        </w:tc>
        <w:tc>
          <w:tcPr>
            <w:tcW w:w="2409" w:type="dxa"/>
            <w:gridSpan w:val="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Multivariate</w:t>
            </w:r>
          </w:p>
        </w:tc>
        <w:tc>
          <w:tcPr>
            <w:tcW w:w="2552" w:type="dxa"/>
            <w:gridSpan w:val="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Univariate </w:t>
            </w:r>
          </w:p>
        </w:tc>
        <w:tc>
          <w:tcPr>
            <w:tcW w:w="2410" w:type="dxa"/>
            <w:gridSpan w:val="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Multivariate</w:t>
            </w:r>
          </w:p>
        </w:tc>
        <w:tc>
          <w:tcPr>
            <w:tcW w:w="2409" w:type="dxa"/>
            <w:gridSpan w:val="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Univariate </w:t>
            </w:r>
          </w:p>
        </w:tc>
        <w:tc>
          <w:tcPr>
            <w:tcW w:w="2410" w:type="dxa"/>
            <w:gridSpan w:val="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Multivariate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  <w:vMerge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- value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- value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</w:t>
            </w:r>
            <w:r w:rsidRPr="002D0E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value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Tumour size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2.49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1.71-3.64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1.86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1.24-2.79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0.009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3.17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1.37-7.36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0.024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2.72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0.99-7.47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0.150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2.17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1.54-3.07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0.142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 node involvement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3.06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2.38-3.95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2.66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2.03-3.49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1.97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1.51-2.56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1.97</w:t>
            </w: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1.46-2.66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 grade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2.02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1.33-3.08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1.71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1.09-2.70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0.022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1.85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1.26-2.72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0.006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1.32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0.82-2.13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0.440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1.85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1.30-2.60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1.72</w:t>
            </w: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1.18-2.51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0.005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Histological type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1.24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0.83-1.85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0.291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ER status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1.05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0.81-1.36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0.725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0.87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0.60-1.26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0.454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0.52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0.34-0.79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0.002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0.240</w:t>
            </w:r>
          </w:p>
        </w:tc>
      </w:tr>
      <w:tr w:rsidR="00624820" w:rsidRPr="00A6342E" w:rsidTr="002D0E0F">
        <w:trPr>
          <w:trHeight w:val="303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PR status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0.96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0.74-1.24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0.744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0.83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0.60-1.16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0.275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0.44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0.32-0.82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0.006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0.184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HER2 status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1.21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0.78-1.88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1.27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0.83-1.97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0.275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1.44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0.88-2.35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0.145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Ki-67 expression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1.00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0.71-1.42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0.994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2.06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1.30-3.27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0.002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1.73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1.02-2.92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0.042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Lymphovascular invasion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2.07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1.39-3.09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0.864</w:t>
            </w:r>
          </w:p>
        </w:tc>
      </w:tr>
      <w:tr w:rsidR="00624820" w:rsidRPr="00A6342E" w:rsidTr="002D0E0F">
        <w:trPr>
          <w:trHeight w:val="288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Angiogenesis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1.21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0.81-1.80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0.349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624820" w:rsidRPr="00A6342E" w:rsidTr="002D0E0F">
        <w:trPr>
          <w:trHeight w:val="226"/>
        </w:trPr>
        <w:tc>
          <w:tcPr>
            <w:tcW w:w="152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Tumour-stroma ratio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1.62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1.23-2.13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1.97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1.47-2.64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1.69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1.23-2.31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1.85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1.33-2.59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1.89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1.26-2.82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2.12</w:t>
            </w:r>
          </w:p>
        </w:tc>
        <w:tc>
          <w:tcPr>
            <w:tcW w:w="993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1.37-3.29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0.001</w:t>
            </w:r>
          </w:p>
        </w:tc>
      </w:tr>
    </w:tbl>
    <w:p w:rsidR="00624820" w:rsidRDefault="00624820" w:rsidP="000A0AD5">
      <w:pPr>
        <w:rPr>
          <w:rFonts w:ascii="Times New Roman" w:hAnsi="Times New Roman" w:cs="Times New Roman"/>
          <w:sz w:val="20"/>
          <w:szCs w:val="20"/>
        </w:rPr>
      </w:pPr>
    </w:p>
    <w:p w:rsidR="0085197E" w:rsidRPr="00A6342E" w:rsidRDefault="00D74A38" w:rsidP="000A0AD5">
      <w:pPr>
        <w:rPr>
          <w:rFonts w:ascii="Times New Roman" w:hAnsi="Times New Roman" w:cs="Times New Roman"/>
          <w:sz w:val="18"/>
          <w:szCs w:val="18"/>
        </w:rPr>
      </w:pPr>
      <w:r w:rsidRPr="00A6342E">
        <w:rPr>
          <w:rFonts w:ascii="Times New Roman" w:hAnsi="Times New Roman" w:cs="Times New Roman"/>
          <w:sz w:val="18"/>
          <w:szCs w:val="18"/>
        </w:rPr>
        <w:t>The reference group used in the</w:t>
      </w:r>
      <w:r w:rsidR="002E5222" w:rsidRPr="00A6342E">
        <w:rPr>
          <w:rFonts w:ascii="Times New Roman" w:hAnsi="Times New Roman" w:cs="Times New Roman"/>
          <w:sz w:val="18"/>
          <w:szCs w:val="18"/>
        </w:rPr>
        <w:t xml:space="preserve"> univariate </w:t>
      </w:r>
      <w:r w:rsidR="000A0AD5" w:rsidRPr="00A6342E">
        <w:rPr>
          <w:rFonts w:ascii="Times New Roman" w:hAnsi="Times New Roman" w:cs="Times New Roman"/>
          <w:sz w:val="18"/>
          <w:szCs w:val="18"/>
        </w:rPr>
        <w:t xml:space="preserve">and multivariate </w:t>
      </w:r>
      <w:r w:rsidR="002E5222" w:rsidRPr="00A6342E">
        <w:rPr>
          <w:rFonts w:ascii="Times New Roman" w:hAnsi="Times New Roman" w:cs="Times New Roman"/>
          <w:sz w:val="18"/>
          <w:szCs w:val="18"/>
        </w:rPr>
        <w:t>Cox regr</w:t>
      </w:r>
      <w:r w:rsidR="000A0AD5" w:rsidRPr="00A6342E">
        <w:rPr>
          <w:rFonts w:ascii="Times New Roman" w:hAnsi="Times New Roman" w:cs="Times New Roman"/>
          <w:sz w:val="18"/>
          <w:szCs w:val="18"/>
        </w:rPr>
        <w:t>ession analyses was different between</w:t>
      </w:r>
      <w:r w:rsidR="002E5222" w:rsidRPr="00A6342E">
        <w:rPr>
          <w:rFonts w:ascii="Times New Roman" w:hAnsi="Times New Roman" w:cs="Times New Roman"/>
          <w:sz w:val="18"/>
          <w:szCs w:val="18"/>
        </w:rPr>
        <w:t xml:space="preserve"> the included studies. </w:t>
      </w:r>
      <w:r w:rsidR="00C066FA" w:rsidRPr="00A6342E">
        <w:rPr>
          <w:rFonts w:ascii="Times New Roman" w:hAnsi="Times New Roman" w:cs="Times New Roman"/>
          <w:sz w:val="18"/>
          <w:szCs w:val="18"/>
        </w:rPr>
        <w:t>I</w:t>
      </w:r>
      <w:r w:rsidR="000A0AD5" w:rsidRPr="00A6342E">
        <w:rPr>
          <w:rFonts w:ascii="Times New Roman" w:hAnsi="Times New Roman" w:cs="Times New Roman"/>
          <w:sz w:val="18"/>
          <w:szCs w:val="18"/>
        </w:rPr>
        <w:t>n this table</w:t>
      </w:r>
      <w:r w:rsidR="00C066FA" w:rsidRPr="00A6342E">
        <w:rPr>
          <w:rFonts w:ascii="Times New Roman" w:hAnsi="Times New Roman" w:cs="Times New Roman"/>
          <w:sz w:val="18"/>
          <w:szCs w:val="18"/>
        </w:rPr>
        <w:t xml:space="preserve"> only </w:t>
      </w:r>
      <w:proofErr w:type="gramStart"/>
      <w:r w:rsidR="00C066FA" w:rsidRPr="00A6342E">
        <w:rPr>
          <w:rFonts w:ascii="Times New Roman" w:hAnsi="Times New Roman" w:cs="Times New Roman"/>
          <w:sz w:val="18"/>
          <w:szCs w:val="18"/>
        </w:rPr>
        <w:t>the  traditional</w:t>
      </w:r>
      <w:proofErr w:type="gramEnd"/>
      <w:r w:rsidR="00C066FA" w:rsidRPr="00A6342E">
        <w:rPr>
          <w:rFonts w:ascii="Times New Roman" w:hAnsi="Times New Roman" w:cs="Times New Roman"/>
          <w:sz w:val="18"/>
          <w:szCs w:val="18"/>
        </w:rPr>
        <w:t xml:space="preserve"> prognostic markers </w:t>
      </w:r>
      <w:r w:rsidR="00AE3B0A">
        <w:rPr>
          <w:rFonts w:ascii="Times New Roman" w:hAnsi="Times New Roman" w:cs="Times New Roman"/>
          <w:sz w:val="18"/>
          <w:szCs w:val="18"/>
        </w:rPr>
        <w:t>are</w:t>
      </w:r>
      <w:r w:rsidR="00C066FA" w:rsidRPr="00A6342E">
        <w:rPr>
          <w:rFonts w:ascii="Times New Roman" w:hAnsi="Times New Roman" w:cs="Times New Roman"/>
          <w:sz w:val="18"/>
          <w:szCs w:val="18"/>
        </w:rPr>
        <w:t xml:space="preserve"> shown</w:t>
      </w:r>
      <w:r w:rsidR="000A0AD5" w:rsidRPr="00A6342E">
        <w:rPr>
          <w:rFonts w:ascii="Times New Roman" w:hAnsi="Times New Roman" w:cs="Times New Roman"/>
          <w:sz w:val="18"/>
          <w:szCs w:val="18"/>
        </w:rPr>
        <w:t>. In the original papers more parameters were</w:t>
      </w:r>
      <w:r w:rsidR="007D51D0">
        <w:rPr>
          <w:rFonts w:ascii="Times New Roman" w:hAnsi="Times New Roman" w:cs="Times New Roman"/>
          <w:sz w:val="18"/>
          <w:szCs w:val="18"/>
        </w:rPr>
        <w:t xml:space="preserve"> included</w:t>
      </w:r>
      <w:r w:rsidR="000A0AD5" w:rsidRPr="00A6342E">
        <w:rPr>
          <w:rFonts w:ascii="Times New Roman" w:hAnsi="Times New Roman" w:cs="Times New Roman"/>
          <w:sz w:val="18"/>
          <w:szCs w:val="18"/>
        </w:rPr>
        <w:t xml:space="preserve"> in de multivariate analyses. 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>Tumo</w:t>
      </w:r>
      <w:r w:rsidR="00DA540F" w:rsidRPr="00A6342E">
        <w:rPr>
          <w:rFonts w:ascii="Times New Roman" w:hAnsi="Times New Roman" w:cs="Times New Roman"/>
          <w:sz w:val="18"/>
          <w:szCs w:val="18"/>
          <w:lang w:val="nl-NL"/>
        </w:rPr>
        <w:t>u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r size; </w:t>
      </w:r>
      <w:r w:rsidR="002E5222" w:rsidRPr="00A6342E">
        <w:rPr>
          <w:rFonts w:ascii="Times New Roman" w:hAnsi="Times New Roman" w:cs="Times New Roman"/>
          <w:sz w:val="18"/>
          <w:szCs w:val="18"/>
          <w:lang w:val="nl-NL"/>
        </w:rPr>
        <w:t>pT1 versus pT3</w:t>
      </w:r>
      <w:r w:rsidR="0085197E" w:rsidRPr="00A6342E">
        <w:rPr>
          <w:rFonts w:ascii="Times New Roman" w:hAnsi="Times New Roman" w:cs="Times New Roman"/>
          <w:sz w:val="18"/>
          <w:szCs w:val="18"/>
          <w:lang w:val="nl-NL"/>
        </w:rPr>
        <w:t>/4</w:t>
      </w:r>
      <w:r w:rsidR="002E5222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(De Kruijf</w:t>
      </w:r>
      <w:r w:rsidR="009B2688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et al.</w:t>
      </w:r>
      <w:r w:rsidR="002E5222" w:rsidRPr="00A6342E">
        <w:rPr>
          <w:rFonts w:ascii="Times New Roman" w:hAnsi="Times New Roman" w:cs="Times New Roman"/>
          <w:sz w:val="18"/>
          <w:szCs w:val="18"/>
          <w:lang w:val="nl-NL"/>
        </w:rPr>
        <w:t>), cT1 versus cT3 (Dekker et al.)</w:t>
      </w:r>
      <w:r w:rsidR="00D17A1D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, </w:t>
      </w:r>
      <w:r w:rsidR="00196558" w:rsidRPr="00A6342E">
        <w:rPr>
          <w:rFonts w:ascii="Times New Roman" w:hAnsi="Times New Roman" w:cs="Times New Roman"/>
          <w:sz w:val="18"/>
          <w:szCs w:val="18"/>
          <w:lang w:val="nl-NL"/>
        </w:rPr>
        <w:t>≤</w:t>
      </w:r>
      <w:r w:rsidR="002E5222" w:rsidRPr="00A6342E">
        <w:rPr>
          <w:rFonts w:ascii="Times New Roman" w:hAnsi="Times New Roman" w:cs="Times New Roman"/>
          <w:sz w:val="18"/>
          <w:szCs w:val="18"/>
          <w:lang w:val="nl-NL"/>
        </w:rPr>
        <w:t>20mm versus &gt;50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>mm (Gujam</w:t>
      </w:r>
      <w:r w:rsidR="009B2688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et al.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>)</w:t>
      </w:r>
      <w:r w:rsidR="00D17A1D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and  ≤20mmversus &gt;50mm (Roeke et al.)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>. Lymph node involvement; pN negative versus pN positive (</w:t>
      </w:r>
      <w:r w:rsidR="009B2688" w:rsidRPr="00A6342E">
        <w:rPr>
          <w:rFonts w:ascii="Times New Roman" w:hAnsi="Times New Roman" w:cs="Times New Roman"/>
          <w:sz w:val="18"/>
          <w:szCs w:val="18"/>
          <w:lang w:val="nl-NL"/>
        </w:rPr>
        <w:t>De Kruijf et al.),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</w:t>
      </w:r>
      <w:r w:rsidR="00E01FA9" w:rsidRPr="00A6342E">
        <w:rPr>
          <w:rFonts w:ascii="Times New Roman" w:hAnsi="Times New Roman" w:cs="Times New Roman"/>
          <w:sz w:val="18"/>
          <w:szCs w:val="18"/>
          <w:lang w:val="nl-NL"/>
        </w:rPr>
        <w:t>0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versus </w:t>
      </w:r>
      <w:r w:rsidR="00E01FA9" w:rsidRPr="00A6342E">
        <w:rPr>
          <w:rFonts w:ascii="Times New Roman" w:hAnsi="Times New Roman" w:cs="Times New Roman"/>
          <w:sz w:val="18"/>
          <w:szCs w:val="18"/>
          <w:lang w:val="nl-NL"/>
        </w:rPr>
        <w:t>&gt;3</w:t>
      </w:r>
      <w:r w:rsidR="009B2688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involved lymph nodes (Gujam et al.) and</w:t>
      </w:r>
      <w:r w:rsidR="004C6ECB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</w:t>
      </w:r>
      <w:r w:rsidR="00D17A1D" w:rsidRPr="00A6342E">
        <w:rPr>
          <w:rFonts w:ascii="Times New Roman" w:hAnsi="Times New Roman" w:cs="Times New Roman"/>
          <w:sz w:val="18"/>
          <w:szCs w:val="18"/>
          <w:lang w:val="nl-NL"/>
        </w:rPr>
        <w:t>pN0</w:t>
      </w:r>
      <w:r w:rsidR="00BA6E09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versus pN3 (Roeke et al.)</w:t>
      </w:r>
      <w:r w:rsidR="009B2688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. </w:t>
      </w:r>
      <w:r w:rsidR="009B2688" w:rsidRPr="00A6342E">
        <w:rPr>
          <w:rFonts w:ascii="Times New Roman" w:hAnsi="Times New Roman" w:cs="Times New Roman"/>
          <w:sz w:val="18"/>
          <w:szCs w:val="18"/>
        </w:rPr>
        <w:t>Tumo</w:t>
      </w:r>
      <w:r w:rsidR="00DA540F" w:rsidRPr="00A6342E">
        <w:rPr>
          <w:rFonts w:ascii="Times New Roman" w:hAnsi="Times New Roman" w:cs="Times New Roman"/>
          <w:sz w:val="18"/>
          <w:szCs w:val="18"/>
        </w:rPr>
        <w:t>u</w:t>
      </w:r>
      <w:r w:rsidR="009B2688" w:rsidRPr="00A6342E">
        <w:rPr>
          <w:rFonts w:ascii="Times New Roman" w:hAnsi="Times New Roman" w:cs="Times New Roman"/>
          <w:sz w:val="18"/>
          <w:szCs w:val="18"/>
        </w:rPr>
        <w:t>r grade; grade I versus grade III</w:t>
      </w:r>
      <w:r w:rsidR="00D17A1D" w:rsidRPr="00A6342E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CC3445" w:rsidRPr="00A6342E">
        <w:rPr>
          <w:rFonts w:ascii="Times New Roman" w:hAnsi="Times New Roman" w:cs="Times New Roman"/>
          <w:sz w:val="18"/>
          <w:szCs w:val="18"/>
        </w:rPr>
        <w:t xml:space="preserve">Histological type; invasive carcinoma of no special type </w:t>
      </w:r>
      <w:r w:rsidR="009B2688" w:rsidRPr="00A6342E">
        <w:rPr>
          <w:rFonts w:ascii="Times New Roman" w:hAnsi="Times New Roman" w:cs="Times New Roman"/>
          <w:sz w:val="18"/>
          <w:szCs w:val="18"/>
        </w:rPr>
        <w:t>versus oth</w:t>
      </w:r>
      <w:r w:rsidR="00CC3445" w:rsidRPr="00A6342E">
        <w:rPr>
          <w:rFonts w:ascii="Times New Roman" w:hAnsi="Times New Roman" w:cs="Times New Roman"/>
          <w:sz w:val="18"/>
          <w:szCs w:val="18"/>
        </w:rPr>
        <w:t xml:space="preserve">er (De </w:t>
      </w:r>
      <w:proofErr w:type="spellStart"/>
      <w:r w:rsidR="00CC3445" w:rsidRPr="00A6342E">
        <w:rPr>
          <w:rFonts w:ascii="Times New Roman" w:hAnsi="Times New Roman" w:cs="Times New Roman"/>
          <w:sz w:val="18"/>
          <w:szCs w:val="18"/>
        </w:rPr>
        <w:t>Kruijf</w:t>
      </w:r>
      <w:proofErr w:type="spellEnd"/>
      <w:r w:rsidR="00CC3445" w:rsidRPr="00A6342E">
        <w:rPr>
          <w:rFonts w:ascii="Times New Roman" w:hAnsi="Times New Roman" w:cs="Times New Roman"/>
          <w:sz w:val="18"/>
          <w:szCs w:val="18"/>
        </w:rPr>
        <w:t xml:space="preserve"> et al.) and invasive carcinoma of no special type</w:t>
      </w:r>
      <w:r w:rsidR="009B2688" w:rsidRPr="00A6342E">
        <w:rPr>
          <w:rFonts w:ascii="Times New Roman" w:hAnsi="Times New Roman" w:cs="Times New Roman"/>
          <w:sz w:val="18"/>
          <w:szCs w:val="18"/>
        </w:rPr>
        <w:t xml:space="preserve"> </w:t>
      </w:r>
      <w:r w:rsidR="00A43D1F">
        <w:rPr>
          <w:rFonts w:ascii="Times New Roman" w:hAnsi="Times New Roman" w:cs="Times New Roman"/>
          <w:sz w:val="18"/>
          <w:szCs w:val="18"/>
        </w:rPr>
        <w:t>versus lobular (Roeke et al.).</w:t>
      </w:r>
      <w:proofErr w:type="gramEnd"/>
      <w:r w:rsidR="00A43D1F">
        <w:rPr>
          <w:rFonts w:ascii="Times New Roman" w:hAnsi="Times New Roman" w:cs="Times New Roman"/>
          <w:sz w:val="18"/>
          <w:szCs w:val="18"/>
        </w:rPr>
        <w:t xml:space="preserve"> Oe</w:t>
      </w:r>
      <w:r w:rsidR="009B2688" w:rsidRPr="00A6342E">
        <w:rPr>
          <w:rFonts w:ascii="Times New Roman" w:hAnsi="Times New Roman" w:cs="Times New Roman"/>
          <w:sz w:val="18"/>
          <w:szCs w:val="18"/>
        </w:rPr>
        <w:t xml:space="preserve">strogen receptor (ER) status; negative versus positive. Progesterone receptor (PR) status; negative versus positive. Human epidermal growth factor receptor 2 </w:t>
      </w:r>
      <w:r w:rsidR="0031733E" w:rsidRPr="00A6342E">
        <w:rPr>
          <w:rFonts w:ascii="Times New Roman" w:hAnsi="Times New Roman" w:cs="Times New Roman"/>
          <w:sz w:val="18"/>
          <w:szCs w:val="18"/>
        </w:rPr>
        <w:t>(HER2) status</w:t>
      </w:r>
      <w:proofErr w:type="gramStart"/>
      <w:r w:rsidR="009B2688" w:rsidRPr="00A6342E">
        <w:rPr>
          <w:rFonts w:ascii="Times New Roman" w:hAnsi="Times New Roman" w:cs="Times New Roman"/>
          <w:sz w:val="18"/>
          <w:szCs w:val="18"/>
        </w:rPr>
        <w:t>;  no</w:t>
      </w:r>
      <w:proofErr w:type="gramEnd"/>
      <w:r w:rsidR="009B2688" w:rsidRPr="00A6342E">
        <w:rPr>
          <w:rFonts w:ascii="Times New Roman" w:hAnsi="Times New Roman" w:cs="Times New Roman"/>
          <w:sz w:val="18"/>
          <w:szCs w:val="18"/>
        </w:rPr>
        <w:t xml:space="preserve"> overexpression versus overexpression (De </w:t>
      </w:r>
      <w:proofErr w:type="spellStart"/>
      <w:r w:rsidR="009B2688" w:rsidRPr="00A6342E">
        <w:rPr>
          <w:rFonts w:ascii="Times New Roman" w:hAnsi="Times New Roman" w:cs="Times New Roman"/>
          <w:sz w:val="18"/>
          <w:szCs w:val="18"/>
        </w:rPr>
        <w:t>Kruijf</w:t>
      </w:r>
      <w:proofErr w:type="spellEnd"/>
      <w:r w:rsidR="009B2688" w:rsidRPr="00A6342E">
        <w:rPr>
          <w:rFonts w:ascii="Times New Roman" w:hAnsi="Times New Roman" w:cs="Times New Roman"/>
          <w:sz w:val="18"/>
          <w:szCs w:val="18"/>
        </w:rPr>
        <w:t xml:space="preserve"> et al.) and negative versus positive (Dekker et al. and Roeke et al.). Ki-67 expression; negative versus positive</w:t>
      </w:r>
      <w:r w:rsidR="009773DA" w:rsidRPr="00A6342E">
        <w:rPr>
          <w:rFonts w:ascii="Times New Roman" w:hAnsi="Times New Roman" w:cs="Times New Roman"/>
          <w:sz w:val="18"/>
          <w:szCs w:val="18"/>
        </w:rPr>
        <w:t xml:space="preserve"> (De </w:t>
      </w:r>
      <w:proofErr w:type="spellStart"/>
      <w:r w:rsidR="009773DA" w:rsidRPr="00A6342E">
        <w:rPr>
          <w:rFonts w:ascii="Times New Roman" w:hAnsi="Times New Roman" w:cs="Times New Roman"/>
          <w:sz w:val="18"/>
          <w:szCs w:val="18"/>
        </w:rPr>
        <w:t>Kruijf</w:t>
      </w:r>
      <w:proofErr w:type="spellEnd"/>
      <w:r w:rsidR="009773DA" w:rsidRPr="00A6342E">
        <w:rPr>
          <w:rFonts w:ascii="Times New Roman" w:hAnsi="Times New Roman" w:cs="Times New Roman"/>
          <w:sz w:val="18"/>
          <w:szCs w:val="18"/>
        </w:rPr>
        <w:t xml:space="preserve"> et al.) and low versus high (Dekker et al.)</w:t>
      </w:r>
      <w:r w:rsidR="009B2688" w:rsidRPr="00A6342E">
        <w:rPr>
          <w:rFonts w:ascii="Times New Roman" w:hAnsi="Times New Roman" w:cs="Times New Roman"/>
          <w:sz w:val="18"/>
          <w:szCs w:val="18"/>
        </w:rPr>
        <w:t xml:space="preserve">. Angiogenesis; low microvessel density versus high microvessel density. </w:t>
      </w:r>
      <w:proofErr w:type="spellStart"/>
      <w:proofErr w:type="gramStart"/>
      <w:r w:rsidR="009B2688" w:rsidRPr="00A6342E">
        <w:rPr>
          <w:rFonts w:ascii="Times New Roman" w:hAnsi="Times New Roman" w:cs="Times New Roman"/>
          <w:sz w:val="18"/>
          <w:szCs w:val="18"/>
        </w:rPr>
        <w:t>Lymphovascular</w:t>
      </w:r>
      <w:proofErr w:type="spellEnd"/>
      <w:r w:rsidR="009B2688" w:rsidRPr="00A6342E">
        <w:rPr>
          <w:rFonts w:ascii="Times New Roman" w:hAnsi="Times New Roman" w:cs="Times New Roman"/>
          <w:sz w:val="18"/>
          <w:szCs w:val="18"/>
        </w:rPr>
        <w:t xml:space="preserve"> invasion; no versus yes.</w:t>
      </w:r>
      <w:proofErr w:type="gramEnd"/>
      <w:r w:rsidR="009B2688" w:rsidRPr="00A6342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7F2C52" w:rsidRPr="00A6342E">
        <w:rPr>
          <w:rFonts w:ascii="Times New Roman" w:hAnsi="Times New Roman" w:cs="Times New Roman"/>
          <w:sz w:val="18"/>
          <w:szCs w:val="18"/>
        </w:rPr>
        <w:t>Tumo</w:t>
      </w:r>
      <w:r w:rsidR="00DA540F" w:rsidRPr="00A6342E">
        <w:rPr>
          <w:rFonts w:ascii="Times New Roman" w:hAnsi="Times New Roman" w:cs="Times New Roman"/>
          <w:sz w:val="18"/>
          <w:szCs w:val="18"/>
        </w:rPr>
        <w:t>u</w:t>
      </w:r>
      <w:r w:rsidR="007F2C52" w:rsidRPr="00A6342E">
        <w:rPr>
          <w:rFonts w:ascii="Times New Roman" w:hAnsi="Times New Roman" w:cs="Times New Roman"/>
          <w:sz w:val="18"/>
          <w:szCs w:val="18"/>
        </w:rPr>
        <w:t>r-stroma ratio; stroma-low versus stroma-high.</w:t>
      </w:r>
      <w:proofErr w:type="gramEnd"/>
      <w:r w:rsidR="002D0E0F">
        <w:rPr>
          <w:rFonts w:ascii="Times New Roman" w:hAnsi="Times New Roman" w:cs="Times New Roman"/>
          <w:sz w:val="18"/>
          <w:szCs w:val="18"/>
        </w:rPr>
        <w:t xml:space="preserve"> </w:t>
      </w:r>
      <w:r w:rsidR="002D0E0F" w:rsidRPr="002D0E0F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2D0E0F" w:rsidRPr="002D0E0F">
        <w:rPr>
          <w:rFonts w:ascii="Times New Roman" w:hAnsi="Times New Roman" w:cs="Times New Roman"/>
          <w:color w:val="000000" w:themeColor="text1"/>
          <w:sz w:val="18"/>
          <w:szCs w:val="18"/>
        </w:rPr>
        <w:t>HR = hazard ratio, CI = confidence interval</w:t>
      </w:r>
    </w:p>
    <w:p w:rsidR="0085197E" w:rsidRPr="00A6342E" w:rsidRDefault="0085197E" w:rsidP="000F0291">
      <w:pPr>
        <w:spacing w:after="0"/>
        <w:rPr>
          <w:rFonts w:ascii="Times New Roman" w:hAnsi="Times New Roman" w:cs="Times New Roman"/>
          <w:b/>
        </w:rPr>
      </w:pPr>
    </w:p>
    <w:p w:rsidR="0085197E" w:rsidRPr="00A6342E" w:rsidRDefault="0085197E" w:rsidP="000F0291">
      <w:pPr>
        <w:spacing w:after="0"/>
        <w:rPr>
          <w:rFonts w:ascii="Times New Roman" w:hAnsi="Times New Roman" w:cs="Times New Roman"/>
          <w:b/>
        </w:rPr>
      </w:pPr>
    </w:p>
    <w:p w:rsidR="0085197E" w:rsidRDefault="0085197E" w:rsidP="000F0291">
      <w:pPr>
        <w:spacing w:after="0"/>
        <w:rPr>
          <w:rFonts w:ascii="Times New Roman" w:hAnsi="Times New Roman" w:cs="Times New Roman"/>
          <w:b/>
        </w:rPr>
      </w:pPr>
    </w:p>
    <w:p w:rsidR="00867F2E" w:rsidRDefault="00867F2E" w:rsidP="000F0291">
      <w:pPr>
        <w:spacing w:after="0"/>
        <w:rPr>
          <w:rFonts w:ascii="Times New Roman" w:hAnsi="Times New Roman" w:cs="Times New Roman"/>
          <w:b/>
        </w:rPr>
      </w:pPr>
    </w:p>
    <w:p w:rsidR="00867F2E" w:rsidRPr="00A6342E" w:rsidRDefault="00867F2E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510202" w:rsidRPr="00A6342E" w:rsidRDefault="00BF3DF2" w:rsidP="00510202">
      <w:pPr>
        <w:rPr>
          <w:rFonts w:ascii="Times New Roman" w:hAnsi="Times New Roman" w:cs="Times New Roman"/>
          <w:sz w:val="20"/>
          <w:szCs w:val="20"/>
        </w:rPr>
      </w:pPr>
      <w:r w:rsidRPr="00A6342E">
        <w:rPr>
          <w:rFonts w:ascii="Times New Roman" w:hAnsi="Times New Roman" w:cs="Times New Roman"/>
          <w:b/>
          <w:sz w:val="20"/>
          <w:szCs w:val="20"/>
        </w:rPr>
        <w:t>CONTINUED</w:t>
      </w:r>
      <w:r w:rsidR="004D3F9B">
        <w:rPr>
          <w:rFonts w:ascii="Times New Roman" w:hAnsi="Times New Roman" w:cs="Times New Roman"/>
          <w:b/>
          <w:sz w:val="20"/>
          <w:szCs w:val="20"/>
        </w:rPr>
        <w:t xml:space="preserve"> Supplementary Table 1</w:t>
      </w:r>
      <w:r w:rsidR="00510202" w:rsidRPr="00A6342E">
        <w:rPr>
          <w:rFonts w:ascii="Times New Roman" w:hAnsi="Times New Roman" w:cs="Times New Roman"/>
          <w:sz w:val="20"/>
          <w:szCs w:val="20"/>
        </w:rPr>
        <w:t xml:space="preserve"> </w:t>
      </w:r>
      <w:r w:rsidR="00AE3B0A" w:rsidRPr="00A6342E">
        <w:rPr>
          <w:rFonts w:ascii="Times New Roman" w:hAnsi="Times New Roman" w:cs="Times New Roman"/>
          <w:sz w:val="20"/>
          <w:szCs w:val="20"/>
        </w:rPr>
        <w:t>Prognostic value of TSR</w:t>
      </w:r>
      <w:r w:rsidR="00AE3B0A">
        <w:rPr>
          <w:rFonts w:ascii="Times New Roman" w:hAnsi="Times New Roman" w:cs="Times New Roman"/>
          <w:sz w:val="20"/>
          <w:szCs w:val="20"/>
        </w:rPr>
        <w:t xml:space="preserve"> in addition to traditional prognostic tumour </w:t>
      </w:r>
      <w:r w:rsidR="00AB452C">
        <w:rPr>
          <w:rFonts w:ascii="Times New Roman" w:hAnsi="Times New Roman" w:cs="Times New Roman"/>
          <w:sz w:val="20"/>
          <w:szCs w:val="20"/>
        </w:rPr>
        <w:t>characteristics</w:t>
      </w:r>
      <w:r w:rsidR="00AE3B0A" w:rsidRPr="00A6342E">
        <w:rPr>
          <w:rFonts w:ascii="Times New Roman" w:hAnsi="Times New Roman" w:cs="Times New Roman"/>
          <w:sz w:val="20"/>
          <w:szCs w:val="20"/>
        </w:rPr>
        <w:t xml:space="preserve"> in the main study cohort discussed in the literature calculated by univariate Cox- regression analyses. </w:t>
      </w:r>
    </w:p>
    <w:tbl>
      <w:tblPr>
        <w:tblStyle w:val="TableGrid"/>
        <w:tblpPr w:leftFromText="180" w:rightFromText="180" w:vertAnchor="text" w:horzAnchor="margin" w:tblpY="149"/>
        <w:tblOverlap w:val="never"/>
        <w:tblW w:w="15984" w:type="dxa"/>
        <w:tblLayout w:type="fixed"/>
        <w:tblLook w:val="04A0"/>
      </w:tblPr>
      <w:tblGrid>
        <w:gridCol w:w="1668"/>
        <w:gridCol w:w="567"/>
        <w:gridCol w:w="850"/>
        <w:gridCol w:w="851"/>
        <w:gridCol w:w="567"/>
        <w:gridCol w:w="850"/>
        <w:gridCol w:w="851"/>
        <w:gridCol w:w="567"/>
        <w:gridCol w:w="850"/>
        <w:gridCol w:w="851"/>
        <w:gridCol w:w="567"/>
        <w:gridCol w:w="850"/>
        <w:gridCol w:w="851"/>
        <w:gridCol w:w="567"/>
        <w:gridCol w:w="1134"/>
        <w:gridCol w:w="850"/>
        <w:gridCol w:w="709"/>
        <w:gridCol w:w="1134"/>
        <w:gridCol w:w="850"/>
      </w:tblGrid>
      <w:tr w:rsidR="00510202" w:rsidRPr="00A6342E" w:rsidTr="00D17A1D">
        <w:trPr>
          <w:trHeight w:val="284"/>
        </w:trPr>
        <w:tc>
          <w:tcPr>
            <w:tcW w:w="1668" w:type="dxa"/>
            <w:vMerge w:val="restart"/>
          </w:tcPr>
          <w:p w:rsidR="00510202" w:rsidRPr="00A6342E" w:rsidRDefault="00DA540F" w:rsidP="005102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Tumour</w:t>
            </w:r>
            <w:r w:rsidR="00510202"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characteristics</w:t>
            </w:r>
          </w:p>
        </w:tc>
        <w:tc>
          <w:tcPr>
            <w:tcW w:w="4536" w:type="dxa"/>
            <w:gridSpan w:val="6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Downey et al., 2014</w:t>
            </w:r>
          </w:p>
        </w:tc>
        <w:tc>
          <w:tcPr>
            <w:tcW w:w="4536" w:type="dxa"/>
            <w:gridSpan w:val="6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Downey et al., 2015</w:t>
            </w:r>
          </w:p>
        </w:tc>
        <w:tc>
          <w:tcPr>
            <w:tcW w:w="5244" w:type="dxa"/>
            <w:gridSpan w:val="6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Roeke et al., 2017</w:t>
            </w:r>
          </w:p>
        </w:tc>
      </w:tr>
      <w:tr w:rsidR="00487695" w:rsidRPr="00A6342E" w:rsidTr="00D17A1D">
        <w:trPr>
          <w:trHeight w:val="284"/>
        </w:trPr>
        <w:tc>
          <w:tcPr>
            <w:tcW w:w="1668" w:type="dxa"/>
            <w:vMerge/>
          </w:tcPr>
          <w:p w:rsidR="00487695" w:rsidRPr="00A6342E" w:rsidRDefault="00487695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6"/>
          </w:tcPr>
          <w:p w:rsidR="00487695" w:rsidRPr="00A6342E" w:rsidRDefault="00A43D1F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Oe</w:t>
            </w:r>
            <w:r w:rsidR="00487695" w:rsidRPr="00A6342E">
              <w:rPr>
                <w:rFonts w:ascii="Times New Roman" w:hAnsi="Times New Roman" w:cs="Times New Roman"/>
                <w:sz w:val="18"/>
                <w:szCs w:val="18"/>
              </w:rPr>
              <w:t>strogen receptor positive breast cancer</w:t>
            </w:r>
          </w:p>
        </w:tc>
        <w:tc>
          <w:tcPr>
            <w:tcW w:w="4536" w:type="dxa"/>
            <w:gridSpan w:val="6"/>
          </w:tcPr>
          <w:p w:rsidR="00487695" w:rsidRPr="00A6342E" w:rsidRDefault="00487695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Only inflammatory breast cancer</w:t>
            </w:r>
          </w:p>
        </w:tc>
        <w:tc>
          <w:tcPr>
            <w:tcW w:w="5244" w:type="dxa"/>
            <w:gridSpan w:val="6"/>
          </w:tcPr>
          <w:p w:rsidR="00487695" w:rsidRPr="00A6342E" w:rsidRDefault="00487695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General breast cancer</w:t>
            </w:r>
          </w:p>
        </w:tc>
      </w:tr>
      <w:tr w:rsidR="00510202" w:rsidRPr="00A6342E" w:rsidTr="00D17A1D">
        <w:trPr>
          <w:trHeight w:val="284"/>
        </w:trPr>
        <w:tc>
          <w:tcPr>
            <w:tcW w:w="1668" w:type="dxa"/>
            <w:vMerge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6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Relapse-free survival</w:t>
            </w:r>
          </w:p>
        </w:tc>
        <w:tc>
          <w:tcPr>
            <w:tcW w:w="4536" w:type="dxa"/>
            <w:gridSpan w:val="6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Disease-free survival</w:t>
            </w:r>
          </w:p>
        </w:tc>
        <w:tc>
          <w:tcPr>
            <w:tcW w:w="5244" w:type="dxa"/>
            <w:gridSpan w:val="6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Recurrence-free survival</w:t>
            </w:r>
          </w:p>
        </w:tc>
      </w:tr>
      <w:tr w:rsidR="00510202" w:rsidRPr="00A6342E" w:rsidTr="00D17A1D">
        <w:trPr>
          <w:trHeight w:val="284"/>
        </w:trPr>
        <w:tc>
          <w:tcPr>
            <w:tcW w:w="1668" w:type="dxa"/>
            <w:vMerge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Univariate </w:t>
            </w:r>
          </w:p>
        </w:tc>
        <w:tc>
          <w:tcPr>
            <w:tcW w:w="2268" w:type="dxa"/>
            <w:gridSpan w:val="3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Multivariate</w:t>
            </w:r>
          </w:p>
        </w:tc>
        <w:tc>
          <w:tcPr>
            <w:tcW w:w="2268" w:type="dxa"/>
            <w:gridSpan w:val="3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Univariate</w:t>
            </w:r>
          </w:p>
        </w:tc>
        <w:tc>
          <w:tcPr>
            <w:tcW w:w="2268" w:type="dxa"/>
            <w:gridSpan w:val="3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Multivariate</w:t>
            </w:r>
          </w:p>
        </w:tc>
        <w:tc>
          <w:tcPr>
            <w:tcW w:w="2551" w:type="dxa"/>
            <w:gridSpan w:val="3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Univariate</w:t>
            </w:r>
          </w:p>
        </w:tc>
        <w:tc>
          <w:tcPr>
            <w:tcW w:w="2693" w:type="dxa"/>
            <w:gridSpan w:val="3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Multivariate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  <w:vMerge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709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DA540F" w:rsidP="005102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Tumour</w:t>
            </w:r>
            <w:r w:rsidR="00510202"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size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1.61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0.40-6.52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0.670</w:t>
            </w:r>
          </w:p>
        </w:tc>
        <w:tc>
          <w:tcPr>
            <w:tcW w:w="709" w:type="dxa"/>
          </w:tcPr>
          <w:p w:rsidR="00510202" w:rsidRPr="00A6342E" w:rsidRDefault="00487695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1.33</w:t>
            </w:r>
          </w:p>
        </w:tc>
        <w:tc>
          <w:tcPr>
            <w:tcW w:w="1134" w:type="dxa"/>
          </w:tcPr>
          <w:p w:rsidR="00510202" w:rsidRPr="00A6342E" w:rsidRDefault="00487695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0.30-5.84</w:t>
            </w:r>
          </w:p>
        </w:tc>
        <w:tc>
          <w:tcPr>
            <w:tcW w:w="850" w:type="dxa"/>
          </w:tcPr>
          <w:p w:rsidR="00510202" w:rsidRPr="00A6342E" w:rsidRDefault="00487695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0.71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 node involvement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4.41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2.68-7.26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709" w:type="dxa"/>
          </w:tcPr>
          <w:p w:rsidR="00510202" w:rsidRPr="00A6342E" w:rsidRDefault="00642BC3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4.58</w:t>
            </w:r>
          </w:p>
        </w:tc>
        <w:tc>
          <w:tcPr>
            <w:tcW w:w="1134" w:type="dxa"/>
          </w:tcPr>
          <w:p w:rsidR="00510202" w:rsidRPr="00A6342E" w:rsidRDefault="00642BC3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2.51-8.36</w:t>
            </w:r>
          </w:p>
        </w:tc>
        <w:tc>
          <w:tcPr>
            <w:tcW w:w="850" w:type="dxa"/>
          </w:tcPr>
          <w:p w:rsidR="00510202" w:rsidRPr="00A6342E" w:rsidRDefault="00642BC3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DA540F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</w:t>
            </w:r>
            <w:r w:rsidR="00510202"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grade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2.73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1.74-4.30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709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1.78</w:t>
            </w:r>
          </w:p>
        </w:tc>
        <w:tc>
          <w:tcPr>
            <w:tcW w:w="1134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1.06-2.99</w:t>
            </w:r>
          </w:p>
        </w:tc>
        <w:tc>
          <w:tcPr>
            <w:tcW w:w="850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0.028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Histological type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0.97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0.61-1.55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0.910</w:t>
            </w:r>
          </w:p>
        </w:tc>
        <w:tc>
          <w:tcPr>
            <w:tcW w:w="709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ER status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0.53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0.38-0.74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709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0.82</w:t>
            </w:r>
          </w:p>
        </w:tc>
        <w:tc>
          <w:tcPr>
            <w:tcW w:w="1134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0.52-1.28</w:t>
            </w:r>
          </w:p>
        </w:tc>
        <w:tc>
          <w:tcPr>
            <w:tcW w:w="850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0.375</w:t>
            </w:r>
          </w:p>
        </w:tc>
      </w:tr>
      <w:tr w:rsidR="00D17A1D" w:rsidRPr="00A6342E" w:rsidTr="00D17A1D">
        <w:trPr>
          <w:trHeight w:val="299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PR status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0.59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0.44-0.79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&lt;0.001</w:t>
            </w:r>
          </w:p>
        </w:tc>
        <w:tc>
          <w:tcPr>
            <w:tcW w:w="709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0.78</w:t>
            </w:r>
          </w:p>
        </w:tc>
        <w:tc>
          <w:tcPr>
            <w:tcW w:w="1134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0.54-1.12</w:t>
            </w:r>
          </w:p>
        </w:tc>
        <w:tc>
          <w:tcPr>
            <w:tcW w:w="850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0.183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HER2 status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1.09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0.77-1.54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0.633</w:t>
            </w:r>
          </w:p>
        </w:tc>
        <w:tc>
          <w:tcPr>
            <w:tcW w:w="709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1.04</w:t>
            </w:r>
          </w:p>
        </w:tc>
        <w:tc>
          <w:tcPr>
            <w:tcW w:w="1134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0.73-1.48</w:t>
            </w:r>
          </w:p>
        </w:tc>
        <w:tc>
          <w:tcPr>
            <w:tcW w:w="850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0.819</w:t>
            </w: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Ki-67 expression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Lymphovascular invasion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D17A1D" w:rsidRPr="00A6342E" w:rsidTr="00D17A1D">
        <w:trPr>
          <w:trHeight w:val="284"/>
        </w:trPr>
        <w:tc>
          <w:tcPr>
            <w:tcW w:w="1668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Angiogenesis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D17A1D" w:rsidRPr="00A6342E" w:rsidTr="00D17A1D">
        <w:trPr>
          <w:trHeight w:val="223"/>
        </w:trPr>
        <w:tc>
          <w:tcPr>
            <w:tcW w:w="1668" w:type="dxa"/>
          </w:tcPr>
          <w:p w:rsidR="00510202" w:rsidRPr="00A6342E" w:rsidRDefault="00DA540F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</w:t>
            </w:r>
            <w:r w:rsidR="00510202"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-stroma ratio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0.4-2.8</w:t>
            </w: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0.001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0.66</w:t>
            </w: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1.26</w:t>
            </w:r>
          </w:p>
        </w:tc>
        <w:tc>
          <w:tcPr>
            <w:tcW w:w="1134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0.95-1.67</w:t>
            </w:r>
          </w:p>
        </w:tc>
        <w:tc>
          <w:tcPr>
            <w:tcW w:w="850" w:type="dxa"/>
          </w:tcPr>
          <w:p w:rsidR="00510202" w:rsidRPr="00A6342E" w:rsidRDefault="0051020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0.113</w:t>
            </w:r>
          </w:p>
        </w:tc>
        <w:tc>
          <w:tcPr>
            <w:tcW w:w="709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1.35</w:t>
            </w:r>
          </w:p>
        </w:tc>
        <w:tc>
          <w:tcPr>
            <w:tcW w:w="1134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1.01-1.81</w:t>
            </w:r>
          </w:p>
        </w:tc>
        <w:tc>
          <w:tcPr>
            <w:tcW w:w="850" w:type="dxa"/>
          </w:tcPr>
          <w:p w:rsidR="00510202" w:rsidRPr="00A6342E" w:rsidRDefault="00237B32" w:rsidP="00510202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0.046</w:t>
            </w:r>
          </w:p>
        </w:tc>
      </w:tr>
    </w:tbl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7A5091" w:rsidRPr="00A6342E" w:rsidRDefault="007A5091" w:rsidP="000F0291">
      <w:pPr>
        <w:spacing w:after="0"/>
        <w:rPr>
          <w:rFonts w:ascii="Times New Roman" w:hAnsi="Times New Roman" w:cs="Times New Roman"/>
          <w:b/>
        </w:rPr>
      </w:pPr>
    </w:p>
    <w:p w:rsidR="007A5091" w:rsidRPr="00A6342E" w:rsidRDefault="007A5091" w:rsidP="000F0291">
      <w:pPr>
        <w:spacing w:after="0"/>
        <w:rPr>
          <w:rFonts w:ascii="Times New Roman" w:hAnsi="Times New Roman" w:cs="Times New Roman"/>
          <w:b/>
        </w:rPr>
      </w:pPr>
    </w:p>
    <w:p w:rsidR="007A5091" w:rsidRPr="00A6342E" w:rsidRDefault="007A5091" w:rsidP="000F0291">
      <w:pPr>
        <w:spacing w:after="0"/>
        <w:rPr>
          <w:rFonts w:ascii="Times New Roman" w:hAnsi="Times New Roman" w:cs="Times New Roman"/>
          <w:b/>
        </w:rPr>
      </w:pPr>
    </w:p>
    <w:p w:rsidR="007A5091" w:rsidRPr="00A6342E" w:rsidRDefault="007A5091" w:rsidP="000F0291">
      <w:pPr>
        <w:spacing w:after="0"/>
        <w:rPr>
          <w:rFonts w:ascii="Times New Roman" w:hAnsi="Times New Roman" w:cs="Times New Roman"/>
          <w:b/>
        </w:rPr>
      </w:pPr>
    </w:p>
    <w:p w:rsidR="007A5091" w:rsidRPr="00A6342E" w:rsidRDefault="007A5091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0A0AD5" w:rsidRPr="00A6342E" w:rsidRDefault="000A0AD5" w:rsidP="000F0291">
      <w:pPr>
        <w:spacing w:after="0"/>
        <w:rPr>
          <w:rFonts w:ascii="Times New Roman" w:hAnsi="Times New Roman" w:cs="Times New Roman"/>
          <w:b/>
        </w:rPr>
      </w:pPr>
    </w:p>
    <w:p w:rsidR="004C7448" w:rsidRPr="00A6342E" w:rsidRDefault="004C7448" w:rsidP="000F0291">
      <w:pPr>
        <w:spacing w:after="0"/>
        <w:rPr>
          <w:rFonts w:ascii="Times New Roman" w:hAnsi="Times New Roman" w:cs="Times New Roman"/>
          <w:b/>
        </w:rPr>
      </w:pPr>
    </w:p>
    <w:p w:rsidR="00222BAF" w:rsidRDefault="004D3F9B" w:rsidP="000F029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Supplementary Table 2</w:t>
      </w:r>
      <w:r w:rsidR="00222BAF" w:rsidRPr="00A6342E">
        <w:rPr>
          <w:rFonts w:ascii="Times New Roman" w:hAnsi="Times New Roman" w:cs="Times New Roman"/>
          <w:sz w:val="20"/>
          <w:szCs w:val="20"/>
        </w:rPr>
        <w:t xml:space="preserve"> Prognostic value of </w:t>
      </w:r>
      <w:r w:rsidR="00C2033F" w:rsidRPr="00A6342E">
        <w:rPr>
          <w:rFonts w:ascii="Times New Roman" w:hAnsi="Times New Roman" w:cs="Times New Roman"/>
          <w:sz w:val="20"/>
          <w:szCs w:val="20"/>
        </w:rPr>
        <w:t xml:space="preserve">TSR </w:t>
      </w:r>
      <w:r w:rsidR="00AE3B0A">
        <w:rPr>
          <w:rFonts w:ascii="Times New Roman" w:hAnsi="Times New Roman" w:cs="Times New Roman"/>
          <w:sz w:val="20"/>
          <w:szCs w:val="20"/>
        </w:rPr>
        <w:t xml:space="preserve">in addition to traditional prognostic tumour characteristics </w:t>
      </w:r>
      <w:r w:rsidR="00C2033F" w:rsidRPr="00A6342E">
        <w:rPr>
          <w:rFonts w:ascii="Times New Roman" w:hAnsi="Times New Roman" w:cs="Times New Roman"/>
          <w:sz w:val="20"/>
          <w:szCs w:val="20"/>
        </w:rPr>
        <w:t>in t</w:t>
      </w:r>
      <w:r w:rsidR="00222BAF" w:rsidRPr="00A6342E">
        <w:rPr>
          <w:rFonts w:ascii="Times New Roman" w:hAnsi="Times New Roman" w:cs="Times New Roman"/>
          <w:sz w:val="20"/>
          <w:szCs w:val="20"/>
        </w:rPr>
        <w:t xml:space="preserve">riple negative breast cancer population described in the discussed literature </w:t>
      </w:r>
      <w:r w:rsidR="00B32E2D" w:rsidRPr="00A6342E">
        <w:rPr>
          <w:rFonts w:ascii="Times New Roman" w:hAnsi="Times New Roman" w:cs="Times New Roman"/>
          <w:sz w:val="20"/>
          <w:szCs w:val="20"/>
        </w:rPr>
        <w:t>c</w:t>
      </w:r>
      <w:r w:rsidR="00222BAF" w:rsidRPr="00A6342E">
        <w:rPr>
          <w:rFonts w:ascii="Times New Roman" w:hAnsi="Times New Roman" w:cs="Times New Roman"/>
          <w:sz w:val="20"/>
          <w:szCs w:val="20"/>
        </w:rPr>
        <w:t xml:space="preserve">alculated </w:t>
      </w:r>
      <w:r w:rsidR="00C2033F" w:rsidRPr="00A6342E">
        <w:rPr>
          <w:rFonts w:ascii="Times New Roman" w:hAnsi="Times New Roman" w:cs="Times New Roman"/>
          <w:sz w:val="20"/>
          <w:szCs w:val="20"/>
        </w:rPr>
        <w:t>by univariate Cox</w:t>
      </w:r>
      <w:r w:rsidR="00222BAF" w:rsidRPr="00A6342E">
        <w:rPr>
          <w:rFonts w:ascii="Times New Roman" w:hAnsi="Times New Roman" w:cs="Times New Roman"/>
          <w:sz w:val="20"/>
          <w:szCs w:val="20"/>
        </w:rPr>
        <w:t xml:space="preserve"> regression analyses. </w:t>
      </w:r>
    </w:p>
    <w:p w:rsidR="002D0E0F" w:rsidRPr="00A6342E" w:rsidRDefault="002D0E0F" w:rsidP="000F029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60"/>
        <w:tblOverlap w:val="never"/>
        <w:tblW w:w="16268" w:type="dxa"/>
        <w:jc w:val="center"/>
        <w:tblLayout w:type="fixed"/>
        <w:tblLook w:val="04A0"/>
      </w:tblPr>
      <w:tblGrid>
        <w:gridCol w:w="1526"/>
        <w:gridCol w:w="567"/>
        <w:gridCol w:w="992"/>
        <w:gridCol w:w="851"/>
        <w:gridCol w:w="567"/>
        <w:gridCol w:w="992"/>
        <w:gridCol w:w="850"/>
        <w:gridCol w:w="567"/>
        <w:gridCol w:w="993"/>
        <w:gridCol w:w="850"/>
        <w:gridCol w:w="567"/>
        <w:gridCol w:w="992"/>
        <w:gridCol w:w="709"/>
        <w:gridCol w:w="709"/>
        <w:gridCol w:w="1134"/>
        <w:gridCol w:w="850"/>
        <w:gridCol w:w="567"/>
        <w:gridCol w:w="1134"/>
        <w:gridCol w:w="851"/>
      </w:tblGrid>
      <w:tr w:rsidR="00043380" w:rsidRPr="00A6342E" w:rsidTr="002D0E0F">
        <w:trPr>
          <w:trHeight w:val="282"/>
          <w:jc w:val="center"/>
        </w:trPr>
        <w:tc>
          <w:tcPr>
            <w:tcW w:w="1526" w:type="dxa"/>
            <w:vMerge w:val="restart"/>
          </w:tcPr>
          <w:p w:rsidR="00043380" w:rsidRPr="00A6342E" w:rsidRDefault="00DA540F" w:rsidP="002D0E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Tumour</w:t>
            </w:r>
            <w:r w:rsidR="00043380"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D0E0F"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characteristics</w:t>
            </w:r>
          </w:p>
        </w:tc>
        <w:tc>
          <w:tcPr>
            <w:tcW w:w="4819" w:type="dxa"/>
            <w:gridSpan w:val="6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De Kruijf et al., 2011</w:t>
            </w:r>
          </w:p>
        </w:tc>
        <w:tc>
          <w:tcPr>
            <w:tcW w:w="4678" w:type="dxa"/>
            <w:gridSpan w:val="6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Moorman et al., 2012</w:t>
            </w:r>
          </w:p>
        </w:tc>
        <w:tc>
          <w:tcPr>
            <w:tcW w:w="5245" w:type="dxa"/>
            <w:gridSpan w:val="6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Dekker et al., 2013</w:t>
            </w:r>
          </w:p>
        </w:tc>
      </w:tr>
      <w:tr w:rsidR="00043380" w:rsidRPr="00A6342E" w:rsidTr="002D0E0F">
        <w:trPr>
          <w:trHeight w:val="282"/>
          <w:jc w:val="center"/>
        </w:trPr>
        <w:tc>
          <w:tcPr>
            <w:tcW w:w="1526" w:type="dxa"/>
            <w:vMerge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gridSpan w:val="6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Recurrence-free period</w:t>
            </w:r>
          </w:p>
        </w:tc>
        <w:tc>
          <w:tcPr>
            <w:tcW w:w="4678" w:type="dxa"/>
            <w:gridSpan w:val="6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Relapse- free period</w:t>
            </w:r>
          </w:p>
        </w:tc>
        <w:tc>
          <w:tcPr>
            <w:tcW w:w="5245" w:type="dxa"/>
            <w:gridSpan w:val="6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Disease-free survival</w:t>
            </w:r>
          </w:p>
        </w:tc>
      </w:tr>
      <w:tr w:rsidR="00043380" w:rsidRPr="00A6342E" w:rsidTr="002D0E0F">
        <w:trPr>
          <w:trHeight w:val="282"/>
          <w:jc w:val="center"/>
        </w:trPr>
        <w:tc>
          <w:tcPr>
            <w:tcW w:w="1526" w:type="dxa"/>
            <w:vMerge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Univariate</w:t>
            </w:r>
          </w:p>
        </w:tc>
        <w:tc>
          <w:tcPr>
            <w:tcW w:w="2409" w:type="dxa"/>
            <w:gridSpan w:val="3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Multivariate</w:t>
            </w:r>
          </w:p>
        </w:tc>
        <w:tc>
          <w:tcPr>
            <w:tcW w:w="2410" w:type="dxa"/>
            <w:gridSpan w:val="3"/>
          </w:tcPr>
          <w:p w:rsidR="00043380" w:rsidRPr="002D0E0F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2D0E0F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Univariate</w:t>
            </w:r>
          </w:p>
        </w:tc>
        <w:tc>
          <w:tcPr>
            <w:tcW w:w="2268" w:type="dxa"/>
            <w:gridSpan w:val="3"/>
          </w:tcPr>
          <w:p w:rsidR="00043380" w:rsidRPr="002D0E0F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2D0E0F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Multivariate</w:t>
            </w:r>
          </w:p>
        </w:tc>
        <w:tc>
          <w:tcPr>
            <w:tcW w:w="2693" w:type="dxa"/>
            <w:gridSpan w:val="3"/>
          </w:tcPr>
          <w:p w:rsidR="00043380" w:rsidRPr="002D0E0F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2D0E0F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Univariate</w:t>
            </w:r>
          </w:p>
        </w:tc>
        <w:tc>
          <w:tcPr>
            <w:tcW w:w="2552" w:type="dxa"/>
            <w:gridSpan w:val="3"/>
          </w:tcPr>
          <w:p w:rsidR="00043380" w:rsidRPr="002D0E0F" w:rsidRDefault="00043380" w:rsidP="002D0E0F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2D0E0F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Multivariate</w:t>
            </w: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  <w:vMerge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3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709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709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1134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0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1134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043380" w:rsidRPr="00A6342E" w:rsidRDefault="00043380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DA540F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Tumour</w:t>
            </w:r>
            <w:r w:rsidR="00A80E97"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size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3.53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</w:t>
            </w:r>
            <w:r w:rsidR="00897BDD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3-12.08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0.131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10.17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2.29-45.11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0.009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6.19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1.04-36.96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0.075</w:t>
            </w: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 node involvement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2.30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1.61-4.57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0.017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1.88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0.89-3.96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0.096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3.38</w:t>
            </w: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1.27-9.00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0.010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DA540F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</w:t>
            </w:r>
            <w:r w:rsidR="00A80E97"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grade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1.72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0.80-3.69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0.163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0.84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0.12-6.22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0.478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Histological type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Ki-67 expression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0.70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0.31-1.61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0.403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2.44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0.33-17.91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0.382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Lymphovascular invasion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2.46</w:t>
            </w: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1.19-5.07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0.012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Angiogenesis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1.53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0.61-3.84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0.364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  <w:jc w:val="center"/>
        </w:trPr>
        <w:tc>
          <w:tcPr>
            <w:tcW w:w="1526" w:type="dxa"/>
          </w:tcPr>
          <w:p w:rsidR="00A80E97" w:rsidRPr="00A6342E" w:rsidRDefault="00DA540F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</w:t>
            </w:r>
            <w:r w:rsidR="00A80E97"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-stroma ratio</w:t>
            </w:r>
          </w:p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3.19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1.49-6.83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0.003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2.92</w:t>
            </w:r>
          </w:p>
        </w:tc>
        <w:tc>
          <w:tcPr>
            <w:tcW w:w="992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1.36-6.32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0.006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2.93</w:t>
            </w:r>
          </w:p>
        </w:tc>
        <w:tc>
          <w:tcPr>
            <w:tcW w:w="993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1.37-6.26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0.004</w:t>
            </w:r>
          </w:p>
        </w:tc>
        <w:tc>
          <w:tcPr>
            <w:tcW w:w="567" w:type="dxa"/>
          </w:tcPr>
          <w:p w:rsidR="00A80E97" w:rsidRPr="00A6342E" w:rsidRDefault="00C61BC6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2.39</w:t>
            </w:r>
          </w:p>
        </w:tc>
        <w:tc>
          <w:tcPr>
            <w:tcW w:w="992" w:type="dxa"/>
          </w:tcPr>
          <w:p w:rsidR="00A80E97" w:rsidRPr="00A6342E" w:rsidRDefault="00C61BC6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1.07-5.29</w:t>
            </w:r>
          </w:p>
        </w:tc>
        <w:tc>
          <w:tcPr>
            <w:tcW w:w="709" w:type="dxa"/>
          </w:tcPr>
          <w:p w:rsidR="00A80E97" w:rsidRPr="00A6342E" w:rsidRDefault="00C61BC6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0.033</w:t>
            </w:r>
          </w:p>
        </w:tc>
        <w:tc>
          <w:tcPr>
            <w:tcW w:w="709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2.21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1.00</w:t>
            </w:r>
            <w:r w:rsidR="00FC6A7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4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-4.84</w:t>
            </w:r>
          </w:p>
        </w:tc>
        <w:tc>
          <w:tcPr>
            <w:tcW w:w="850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0.049</w:t>
            </w:r>
          </w:p>
        </w:tc>
        <w:tc>
          <w:tcPr>
            <w:tcW w:w="567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1134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1.11-6.61</w:t>
            </w:r>
          </w:p>
        </w:tc>
        <w:tc>
          <w:tcPr>
            <w:tcW w:w="851" w:type="dxa"/>
          </w:tcPr>
          <w:p w:rsidR="00A80E97" w:rsidRPr="00A6342E" w:rsidRDefault="00A80E97" w:rsidP="002D0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</w:tbl>
    <w:p w:rsidR="00043380" w:rsidRPr="00A6342E" w:rsidRDefault="00043380" w:rsidP="00222BAF">
      <w:pPr>
        <w:rPr>
          <w:rFonts w:ascii="Times New Roman" w:hAnsi="Times New Roman" w:cs="Times New Roman"/>
          <w:sz w:val="18"/>
          <w:szCs w:val="18"/>
        </w:rPr>
      </w:pPr>
    </w:p>
    <w:p w:rsidR="00222BAF" w:rsidRPr="00A6342E" w:rsidRDefault="000A0AD5" w:rsidP="00222BAF">
      <w:pPr>
        <w:rPr>
          <w:rFonts w:ascii="Times New Roman" w:hAnsi="Times New Roman" w:cs="Times New Roman"/>
          <w:sz w:val="18"/>
          <w:szCs w:val="18"/>
        </w:rPr>
      </w:pPr>
      <w:r w:rsidRPr="00A6342E">
        <w:rPr>
          <w:rFonts w:ascii="Times New Roman" w:hAnsi="Times New Roman" w:cs="Times New Roman"/>
          <w:sz w:val="18"/>
          <w:szCs w:val="18"/>
        </w:rPr>
        <w:t>The reference group used in the univariate and multivariate Cox regression analyses was different between the included studies.</w:t>
      </w:r>
      <w:r w:rsidR="00C066FA" w:rsidRPr="00A6342E">
        <w:rPr>
          <w:rFonts w:ascii="Times New Roman" w:hAnsi="Times New Roman" w:cs="Times New Roman"/>
          <w:sz w:val="18"/>
          <w:szCs w:val="18"/>
        </w:rPr>
        <w:t xml:space="preserve"> In this table only traditional prognostic markers </w:t>
      </w:r>
      <w:r w:rsidR="00AE3B0A">
        <w:rPr>
          <w:rFonts w:ascii="Times New Roman" w:hAnsi="Times New Roman" w:cs="Times New Roman"/>
          <w:sz w:val="18"/>
          <w:szCs w:val="18"/>
        </w:rPr>
        <w:t>are</w:t>
      </w:r>
      <w:r w:rsidR="00C066FA" w:rsidRPr="00A6342E">
        <w:rPr>
          <w:rFonts w:ascii="Times New Roman" w:hAnsi="Times New Roman" w:cs="Times New Roman"/>
          <w:sz w:val="18"/>
          <w:szCs w:val="18"/>
        </w:rPr>
        <w:t xml:space="preserve"> shown</w:t>
      </w:r>
      <w:r w:rsidRPr="00A6342E">
        <w:rPr>
          <w:rFonts w:ascii="Times New Roman" w:hAnsi="Times New Roman" w:cs="Times New Roman"/>
          <w:sz w:val="18"/>
          <w:szCs w:val="18"/>
        </w:rPr>
        <w:t>. In the original papers more parameters were</w:t>
      </w:r>
      <w:r w:rsidR="007D51D0">
        <w:rPr>
          <w:rFonts w:ascii="Times New Roman" w:hAnsi="Times New Roman" w:cs="Times New Roman"/>
          <w:sz w:val="18"/>
          <w:szCs w:val="18"/>
        </w:rPr>
        <w:t xml:space="preserve"> included</w:t>
      </w:r>
      <w:r w:rsidRPr="00A6342E">
        <w:rPr>
          <w:rFonts w:ascii="Times New Roman" w:hAnsi="Times New Roman" w:cs="Times New Roman"/>
          <w:sz w:val="18"/>
          <w:szCs w:val="18"/>
        </w:rPr>
        <w:t xml:space="preserve"> in de multivariate analyses.</w:t>
      </w:r>
      <w:r w:rsidR="00C05FD5" w:rsidRPr="00A6342E">
        <w:rPr>
          <w:rFonts w:ascii="Times New Roman" w:hAnsi="Times New Roman" w:cs="Times New Roman"/>
          <w:sz w:val="18"/>
          <w:szCs w:val="18"/>
        </w:rPr>
        <w:t xml:space="preserve"> </w:t>
      </w:r>
      <w:r w:rsidR="00DA540F" w:rsidRPr="00A6342E">
        <w:rPr>
          <w:rFonts w:ascii="Times New Roman" w:hAnsi="Times New Roman" w:cs="Times New Roman"/>
          <w:sz w:val="18"/>
          <w:szCs w:val="18"/>
          <w:lang w:val="nl-NL"/>
        </w:rPr>
        <w:t>Tumour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size; pT1 versus pT3</w:t>
      </w:r>
      <w:r w:rsidR="00901D8E" w:rsidRPr="00A6342E">
        <w:rPr>
          <w:rFonts w:ascii="Times New Roman" w:hAnsi="Times New Roman" w:cs="Times New Roman"/>
          <w:sz w:val="18"/>
          <w:szCs w:val="18"/>
          <w:lang w:val="nl-NL"/>
        </w:rPr>
        <w:t>/4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(De Kruijf et al.), </w:t>
      </w:r>
      <w:r w:rsidR="00196558" w:rsidRPr="00A6342E">
        <w:rPr>
          <w:rFonts w:ascii="Times New Roman" w:hAnsi="Times New Roman" w:cs="Times New Roman"/>
          <w:sz w:val="18"/>
          <w:szCs w:val="18"/>
          <w:lang w:val="nl-NL"/>
        </w:rPr>
        <w:t>T1 versus T3 (</w:t>
      </w:r>
      <w:r w:rsidR="007F2C52" w:rsidRPr="00A6342E">
        <w:rPr>
          <w:rFonts w:ascii="Times New Roman" w:hAnsi="Times New Roman" w:cs="Times New Roman"/>
          <w:sz w:val="18"/>
          <w:szCs w:val="18"/>
          <w:lang w:val="nl-NL"/>
        </w:rPr>
        <w:t>Dekker et al</w:t>
      </w:r>
      <w:r w:rsidR="00196558" w:rsidRPr="00A6342E">
        <w:rPr>
          <w:rFonts w:ascii="Times New Roman" w:hAnsi="Times New Roman" w:cs="Times New Roman"/>
          <w:sz w:val="18"/>
          <w:szCs w:val="18"/>
          <w:lang w:val="nl-NL"/>
        </w:rPr>
        <w:t>). and ≤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20mm versus &gt;50mm (Gujam et al.). Lymph node involvement; pN negative versus pN positive (De Kruijf et al.), </w:t>
      </w:r>
      <w:r w:rsidR="007F2C52" w:rsidRPr="00A6342E">
        <w:rPr>
          <w:rFonts w:ascii="Times New Roman" w:hAnsi="Times New Roman" w:cs="Times New Roman"/>
          <w:sz w:val="18"/>
          <w:szCs w:val="18"/>
          <w:lang w:val="nl-NL"/>
        </w:rPr>
        <w:t>pN0 versus pN2/3 (Moorman et al.)</w:t>
      </w:r>
      <w:r w:rsidR="005B7BC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and</w:t>
      </w:r>
      <w:r w:rsidR="007F2C52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>0 versus &gt;3 involved lymph nodes (Gujam et al.)</w:t>
      </w:r>
      <w:r w:rsidR="005B7BC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. </w:t>
      </w:r>
      <w:r w:rsidR="00DA540F" w:rsidRPr="00A6342E">
        <w:rPr>
          <w:rFonts w:ascii="Times New Roman" w:hAnsi="Times New Roman" w:cs="Times New Roman"/>
          <w:sz w:val="18"/>
          <w:szCs w:val="18"/>
          <w:lang w:val="nl-NL"/>
        </w:rPr>
        <w:t>Tumour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grade; grade I</w:t>
      </w:r>
      <w:r w:rsidR="00901D8E" w:rsidRPr="00A6342E">
        <w:rPr>
          <w:rFonts w:ascii="Times New Roman" w:hAnsi="Times New Roman" w:cs="Times New Roman"/>
          <w:sz w:val="18"/>
          <w:szCs w:val="18"/>
          <w:lang w:val="nl-NL"/>
        </w:rPr>
        <w:t>/II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versus grade III</w:t>
      </w:r>
      <w:r w:rsidR="00901D8E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(De Kruijf et al.)</w:t>
      </w:r>
      <w:r w:rsidR="005B7BCF" w:rsidRPr="00A6342E">
        <w:rPr>
          <w:rFonts w:ascii="Times New Roman" w:hAnsi="Times New Roman" w:cs="Times New Roman"/>
          <w:sz w:val="18"/>
          <w:szCs w:val="18"/>
          <w:lang w:val="nl-NL"/>
        </w:rPr>
        <w:t>, grade I versus grade III (Gujam et al</w:t>
      </w:r>
      <w:r w:rsidR="00196558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 and Dekker et al.</w:t>
      </w:r>
      <w:r w:rsidR="005B7BCF" w:rsidRPr="00A6342E">
        <w:rPr>
          <w:rFonts w:ascii="Times New Roman" w:hAnsi="Times New Roman" w:cs="Times New Roman"/>
          <w:sz w:val="18"/>
          <w:szCs w:val="18"/>
          <w:lang w:val="nl-NL"/>
        </w:rPr>
        <w:t>)</w:t>
      </w:r>
      <w:r w:rsidR="00222BAF" w:rsidRPr="00A6342E">
        <w:rPr>
          <w:rFonts w:ascii="Times New Roman" w:hAnsi="Times New Roman" w:cs="Times New Roman"/>
          <w:sz w:val="18"/>
          <w:szCs w:val="18"/>
          <w:lang w:val="nl-NL"/>
        </w:rPr>
        <w:t xml:space="preserve">. </w:t>
      </w:r>
      <w:r w:rsidR="00222BAF" w:rsidRPr="00A6342E">
        <w:rPr>
          <w:rFonts w:ascii="Times New Roman" w:hAnsi="Times New Roman" w:cs="Times New Roman"/>
          <w:sz w:val="18"/>
          <w:szCs w:val="18"/>
        </w:rPr>
        <w:t>Ki-67 expression; negative versus positive</w:t>
      </w:r>
      <w:r w:rsidR="00901D8E" w:rsidRPr="00A6342E">
        <w:rPr>
          <w:rFonts w:ascii="Times New Roman" w:hAnsi="Times New Roman" w:cs="Times New Roman"/>
          <w:sz w:val="18"/>
          <w:szCs w:val="18"/>
        </w:rPr>
        <w:t xml:space="preserve"> (De </w:t>
      </w:r>
      <w:proofErr w:type="spellStart"/>
      <w:r w:rsidR="00901D8E" w:rsidRPr="00A6342E">
        <w:rPr>
          <w:rFonts w:ascii="Times New Roman" w:hAnsi="Times New Roman" w:cs="Times New Roman"/>
          <w:sz w:val="18"/>
          <w:szCs w:val="18"/>
        </w:rPr>
        <w:t>Kruijf</w:t>
      </w:r>
      <w:proofErr w:type="spellEnd"/>
      <w:r w:rsidR="00901D8E" w:rsidRPr="00A6342E">
        <w:rPr>
          <w:rFonts w:ascii="Times New Roman" w:hAnsi="Times New Roman" w:cs="Times New Roman"/>
          <w:sz w:val="18"/>
          <w:szCs w:val="18"/>
        </w:rPr>
        <w:t xml:space="preserve"> et al.)</w:t>
      </w:r>
      <w:r w:rsidR="00196558" w:rsidRPr="00A6342E">
        <w:rPr>
          <w:rFonts w:ascii="Times New Roman" w:hAnsi="Times New Roman" w:cs="Times New Roman"/>
          <w:sz w:val="18"/>
          <w:szCs w:val="18"/>
        </w:rPr>
        <w:t xml:space="preserve"> and low versus high (Dekker et al.)</w:t>
      </w:r>
      <w:r w:rsidR="005B7BCF" w:rsidRPr="00A6342E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proofErr w:type="gramStart"/>
      <w:r w:rsidR="00222BAF" w:rsidRPr="00A6342E">
        <w:rPr>
          <w:rFonts w:ascii="Times New Roman" w:hAnsi="Times New Roman" w:cs="Times New Roman"/>
          <w:sz w:val="18"/>
          <w:szCs w:val="18"/>
        </w:rPr>
        <w:t>Lymphovascular</w:t>
      </w:r>
      <w:proofErr w:type="spellEnd"/>
      <w:r w:rsidR="00222BAF" w:rsidRPr="00A6342E">
        <w:rPr>
          <w:rFonts w:ascii="Times New Roman" w:hAnsi="Times New Roman" w:cs="Times New Roman"/>
          <w:sz w:val="18"/>
          <w:szCs w:val="18"/>
        </w:rPr>
        <w:t xml:space="preserve"> invasion; no versus yes.</w:t>
      </w:r>
      <w:proofErr w:type="gramEnd"/>
      <w:r w:rsidR="00222BAF" w:rsidRPr="00A6342E">
        <w:rPr>
          <w:rFonts w:ascii="Times New Roman" w:hAnsi="Times New Roman" w:cs="Times New Roman"/>
          <w:sz w:val="18"/>
          <w:szCs w:val="18"/>
        </w:rPr>
        <w:t xml:space="preserve"> </w:t>
      </w:r>
      <w:r w:rsidR="009163BE" w:rsidRPr="00A6342E">
        <w:rPr>
          <w:rFonts w:ascii="Times New Roman" w:hAnsi="Times New Roman" w:cs="Times New Roman"/>
          <w:sz w:val="18"/>
          <w:szCs w:val="18"/>
        </w:rPr>
        <w:t xml:space="preserve">Angiogenesis; low microvessel density versus high microvessel density. </w:t>
      </w:r>
      <w:proofErr w:type="gramStart"/>
      <w:r w:rsidR="00DA540F" w:rsidRPr="00A6342E">
        <w:rPr>
          <w:rFonts w:ascii="Times New Roman" w:hAnsi="Times New Roman" w:cs="Times New Roman"/>
          <w:sz w:val="18"/>
          <w:szCs w:val="18"/>
        </w:rPr>
        <w:t>Tumour</w:t>
      </w:r>
      <w:r w:rsidR="007F2C52" w:rsidRPr="00A6342E">
        <w:rPr>
          <w:rFonts w:ascii="Times New Roman" w:hAnsi="Times New Roman" w:cs="Times New Roman"/>
          <w:sz w:val="18"/>
          <w:szCs w:val="18"/>
        </w:rPr>
        <w:t>-stroma ratio; stroma-low versus stroma-high.</w:t>
      </w:r>
      <w:proofErr w:type="gramEnd"/>
      <w:r w:rsidR="002D0E0F">
        <w:rPr>
          <w:rFonts w:ascii="Times New Roman" w:hAnsi="Times New Roman" w:cs="Times New Roman"/>
          <w:sz w:val="18"/>
          <w:szCs w:val="18"/>
        </w:rPr>
        <w:t xml:space="preserve"> </w:t>
      </w:r>
      <w:r w:rsidR="002D0E0F" w:rsidRPr="002D0E0F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2D0E0F" w:rsidRPr="002D0E0F">
        <w:rPr>
          <w:rFonts w:ascii="Times New Roman" w:hAnsi="Times New Roman" w:cs="Times New Roman"/>
          <w:color w:val="000000" w:themeColor="text1"/>
          <w:sz w:val="18"/>
          <w:szCs w:val="18"/>
        </w:rPr>
        <w:t>HR = hazard ratio, CI = confidence interval</w:t>
      </w:r>
    </w:p>
    <w:p w:rsidR="00222BAF" w:rsidRPr="00A6342E" w:rsidRDefault="00222BAF">
      <w:pPr>
        <w:rPr>
          <w:rFonts w:ascii="Times New Roman" w:hAnsi="Times New Roman" w:cs="Times New Roman"/>
        </w:rPr>
      </w:pPr>
    </w:p>
    <w:p w:rsidR="00EF20DF" w:rsidRPr="00A6342E" w:rsidRDefault="00EF20DF">
      <w:pPr>
        <w:rPr>
          <w:rFonts w:ascii="Times New Roman" w:hAnsi="Times New Roman" w:cs="Times New Roman"/>
        </w:rPr>
      </w:pPr>
    </w:p>
    <w:p w:rsidR="00EF20DF" w:rsidRPr="00A6342E" w:rsidRDefault="00EF20DF">
      <w:pPr>
        <w:rPr>
          <w:rFonts w:ascii="Times New Roman" w:hAnsi="Times New Roman" w:cs="Times New Roman"/>
        </w:rPr>
      </w:pPr>
    </w:p>
    <w:p w:rsidR="007A5091" w:rsidRPr="00A6342E" w:rsidRDefault="007A5091">
      <w:pPr>
        <w:rPr>
          <w:rFonts w:ascii="Times New Roman" w:hAnsi="Times New Roman" w:cs="Times New Roman"/>
        </w:rPr>
      </w:pPr>
    </w:p>
    <w:p w:rsidR="007A5091" w:rsidRPr="00A6342E" w:rsidRDefault="007A5091">
      <w:pPr>
        <w:rPr>
          <w:rFonts w:ascii="Times New Roman" w:hAnsi="Times New Roman" w:cs="Times New Roman"/>
        </w:rPr>
      </w:pPr>
    </w:p>
    <w:p w:rsidR="007A5091" w:rsidRPr="00A6342E" w:rsidRDefault="007A5091">
      <w:pPr>
        <w:rPr>
          <w:rFonts w:ascii="Times New Roman" w:hAnsi="Times New Roman" w:cs="Times New Roman"/>
        </w:rPr>
      </w:pPr>
    </w:p>
    <w:p w:rsidR="00BF3DF2" w:rsidRPr="00A6342E" w:rsidRDefault="00BF3DF2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700"/>
        <w:tblOverlap w:val="never"/>
        <w:tblW w:w="13575" w:type="dxa"/>
        <w:tblLayout w:type="fixed"/>
        <w:tblLook w:val="04A0"/>
      </w:tblPr>
      <w:tblGrid>
        <w:gridCol w:w="1668"/>
        <w:gridCol w:w="567"/>
        <w:gridCol w:w="992"/>
        <w:gridCol w:w="992"/>
        <w:gridCol w:w="709"/>
        <w:gridCol w:w="992"/>
        <w:gridCol w:w="992"/>
        <w:gridCol w:w="567"/>
        <w:gridCol w:w="851"/>
        <w:gridCol w:w="2551"/>
        <w:gridCol w:w="851"/>
        <w:gridCol w:w="992"/>
        <w:gridCol w:w="851"/>
      </w:tblGrid>
      <w:tr w:rsidR="0018596B" w:rsidRPr="00A6342E" w:rsidTr="002D0E0F">
        <w:trPr>
          <w:trHeight w:val="282"/>
        </w:trPr>
        <w:tc>
          <w:tcPr>
            <w:tcW w:w="1668" w:type="dxa"/>
            <w:vMerge w:val="restart"/>
          </w:tcPr>
          <w:p w:rsidR="0018596B" w:rsidRPr="00A6342E" w:rsidRDefault="00DA540F" w:rsidP="00BF3D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Tumour</w:t>
            </w:r>
            <w:r w:rsidR="0018596B"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D0E0F"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characteristics</w:t>
            </w:r>
          </w:p>
        </w:tc>
        <w:tc>
          <w:tcPr>
            <w:tcW w:w="5244" w:type="dxa"/>
            <w:gridSpan w:val="6"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Gujam</w:t>
            </w:r>
            <w:proofErr w:type="spellEnd"/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et al., 2014</w:t>
            </w:r>
          </w:p>
        </w:tc>
        <w:tc>
          <w:tcPr>
            <w:tcW w:w="6663" w:type="dxa"/>
            <w:gridSpan w:val="6"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Roeke et al., 2017</w:t>
            </w:r>
          </w:p>
        </w:tc>
      </w:tr>
      <w:tr w:rsidR="0018596B" w:rsidRPr="00A6342E" w:rsidTr="002D0E0F">
        <w:trPr>
          <w:trHeight w:val="282"/>
        </w:trPr>
        <w:tc>
          <w:tcPr>
            <w:tcW w:w="1668" w:type="dxa"/>
            <w:vMerge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gridSpan w:val="6"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Cancer-specific survival</w:t>
            </w:r>
          </w:p>
        </w:tc>
        <w:tc>
          <w:tcPr>
            <w:tcW w:w="6663" w:type="dxa"/>
            <w:gridSpan w:val="6"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Overall survival</w:t>
            </w:r>
          </w:p>
        </w:tc>
      </w:tr>
      <w:tr w:rsidR="0018596B" w:rsidRPr="00A6342E" w:rsidTr="002D0E0F">
        <w:trPr>
          <w:trHeight w:val="282"/>
        </w:trPr>
        <w:tc>
          <w:tcPr>
            <w:tcW w:w="1668" w:type="dxa"/>
            <w:vMerge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3" w:colLast="4"/>
          </w:p>
        </w:tc>
        <w:tc>
          <w:tcPr>
            <w:tcW w:w="2551" w:type="dxa"/>
            <w:gridSpan w:val="3"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Univariate</w:t>
            </w:r>
          </w:p>
        </w:tc>
        <w:tc>
          <w:tcPr>
            <w:tcW w:w="2693" w:type="dxa"/>
            <w:gridSpan w:val="3"/>
          </w:tcPr>
          <w:p w:rsidR="0018596B" w:rsidRPr="00A6342E" w:rsidRDefault="0018596B" w:rsidP="00BF3DF2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Multivariate</w:t>
            </w:r>
          </w:p>
        </w:tc>
        <w:tc>
          <w:tcPr>
            <w:tcW w:w="3969" w:type="dxa"/>
            <w:gridSpan w:val="3"/>
          </w:tcPr>
          <w:p w:rsidR="0018596B" w:rsidRPr="00D8642E" w:rsidRDefault="0018596B" w:rsidP="00BF3DF2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D86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Univariate</w:t>
            </w:r>
          </w:p>
        </w:tc>
        <w:tc>
          <w:tcPr>
            <w:tcW w:w="2694" w:type="dxa"/>
            <w:gridSpan w:val="3"/>
          </w:tcPr>
          <w:p w:rsidR="0018596B" w:rsidRPr="00D8642E" w:rsidRDefault="0018596B" w:rsidP="00BF3DF2">
            <w:pPr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</w:pPr>
            <w:r w:rsidRPr="00D86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Multivariate</w:t>
            </w:r>
          </w:p>
        </w:tc>
      </w:tr>
      <w:bookmarkEnd w:id="0"/>
      <w:tr w:rsidR="002D0E0F" w:rsidRPr="00A6342E" w:rsidTr="002D0E0F">
        <w:trPr>
          <w:trHeight w:val="282"/>
        </w:trPr>
        <w:tc>
          <w:tcPr>
            <w:tcW w:w="1668" w:type="dxa"/>
            <w:vMerge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HR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95% CI</w:t>
            </w: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  <w:lang w:val="nl-NL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 value</w:t>
            </w: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A6342E" w:rsidRDefault="00DA540F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Tumour</w:t>
            </w:r>
            <w:r w:rsidR="0018596B"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size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3.10</w:t>
            </w:r>
          </w:p>
        </w:tc>
        <w:tc>
          <w:tcPr>
            <w:tcW w:w="992" w:type="dxa"/>
          </w:tcPr>
          <w:p w:rsidR="0018596B" w:rsidRPr="00FC6A72" w:rsidRDefault="00FC6A72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1.91-5.04</w:t>
            </w:r>
          </w:p>
        </w:tc>
        <w:tc>
          <w:tcPr>
            <w:tcW w:w="992" w:type="dxa"/>
          </w:tcPr>
          <w:p w:rsidR="0018596B" w:rsidRPr="00FC6A72" w:rsidRDefault="00FC6A72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1.52-4.21</w:t>
            </w: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7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E25C7" w:rsidRPr="00FC6A72" w:rsidRDefault="006E25C7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E25C7" w:rsidRPr="00FC6A72" w:rsidRDefault="006E25C7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Lymph node involvement</w:t>
            </w:r>
          </w:p>
        </w:tc>
        <w:tc>
          <w:tcPr>
            <w:tcW w:w="567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1.34-2.71</w:t>
            </w: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1.15-2.34</w:t>
            </w: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567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FC6A72" w:rsidRDefault="00DA540F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Tumour</w:t>
            </w:r>
            <w:r w:rsidR="0018596B" w:rsidRPr="00FC6A72">
              <w:rPr>
                <w:rFonts w:ascii="Times New Roman" w:hAnsi="Times New Roman" w:cs="Times New Roman"/>
                <w:sz w:val="18"/>
                <w:szCs w:val="18"/>
              </w:rPr>
              <w:t xml:space="preserve"> grade</w:t>
            </w:r>
          </w:p>
        </w:tc>
        <w:tc>
          <w:tcPr>
            <w:tcW w:w="567" w:type="dxa"/>
          </w:tcPr>
          <w:p w:rsidR="0018596B" w:rsidRPr="00FC6A72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A72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0.54-1.74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0.916</w:t>
            </w: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Histological type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Ki-67 expression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Lymphovascular invasion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2.11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1.20-3.70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0.009</w:t>
            </w: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Angiogenesis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2D0E0F" w:rsidRPr="00A6342E" w:rsidTr="002D0E0F">
        <w:trPr>
          <w:trHeight w:val="282"/>
        </w:trPr>
        <w:tc>
          <w:tcPr>
            <w:tcW w:w="1668" w:type="dxa"/>
          </w:tcPr>
          <w:p w:rsidR="0018596B" w:rsidRPr="00A6342E" w:rsidRDefault="00DA540F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Tumour</w:t>
            </w:r>
            <w:r w:rsidR="0018596B"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-stroma ratio</w:t>
            </w:r>
          </w:p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1.06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1.03-1.12</w:t>
            </w: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0.035</w:t>
            </w:r>
          </w:p>
        </w:tc>
        <w:tc>
          <w:tcPr>
            <w:tcW w:w="709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0.151</w:t>
            </w:r>
          </w:p>
        </w:tc>
        <w:tc>
          <w:tcPr>
            <w:tcW w:w="567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No statistical significant difference (data not shown)</w:t>
            </w: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596B" w:rsidRPr="00A6342E" w:rsidRDefault="0018596B" w:rsidP="00185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3DF2" w:rsidRPr="00A6342E" w:rsidRDefault="004D3F9B" w:rsidP="00BF3DF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CONTINUED Supplementary Table 2</w:t>
      </w:r>
      <w:r w:rsidR="00BF3DF2" w:rsidRPr="00A6342E">
        <w:rPr>
          <w:rFonts w:ascii="Times New Roman" w:hAnsi="Times New Roman" w:cs="Times New Roman"/>
          <w:sz w:val="20"/>
          <w:szCs w:val="20"/>
        </w:rPr>
        <w:t xml:space="preserve"> </w:t>
      </w:r>
      <w:r w:rsidR="00AE3B0A" w:rsidRPr="00A6342E">
        <w:rPr>
          <w:rFonts w:ascii="Times New Roman" w:hAnsi="Times New Roman" w:cs="Times New Roman"/>
          <w:sz w:val="20"/>
          <w:szCs w:val="20"/>
        </w:rPr>
        <w:t xml:space="preserve">Prognostic value of TSR </w:t>
      </w:r>
      <w:r w:rsidR="00AE3B0A">
        <w:rPr>
          <w:rFonts w:ascii="Times New Roman" w:hAnsi="Times New Roman" w:cs="Times New Roman"/>
          <w:sz w:val="20"/>
          <w:szCs w:val="20"/>
        </w:rPr>
        <w:t xml:space="preserve">in addition to traditional prognostic tumour characteristics </w:t>
      </w:r>
      <w:r w:rsidR="00AE3B0A" w:rsidRPr="00A6342E">
        <w:rPr>
          <w:rFonts w:ascii="Times New Roman" w:hAnsi="Times New Roman" w:cs="Times New Roman"/>
          <w:sz w:val="20"/>
          <w:szCs w:val="20"/>
        </w:rPr>
        <w:t>in triple negative breast cancer population described in the discussed literature calculated by univariate Cox regression analyses</w:t>
      </w:r>
    </w:p>
    <w:p w:rsidR="00EF20DF" w:rsidRPr="00A6342E" w:rsidRDefault="00EF20DF">
      <w:pPr>
        <w:rPr>
          <w:rFonts w:ascii="Times New Roman" w:hAnsi="Times New Roman" w:cs="Times New Roman"/>
        </w:rPr>
      </w:pPr>
    </w:p>
    <w:p w:rsidR="00EF20DF" w:rsidRPr="00A6342E" w:rsidRDefault="00EF20DF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p w:rsidR="0018596B" w:rsidRPr="00A6342E" w:rsidRDefault="0018596B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823"/>
        <w:tblOverlap w:val="never"/>
        <w:tblW w:w="16126" w:type="dxa"/>
        <w:tblLayout w:type="fixed"/>
        <w:tblLook w:val="04A0"/>
      </w:tblPr>
      <w:tblGrid>
        <w:gridCol w:w="2518"/>
        <w:gridCol w:w="1134"/>
        <w:gridCol w:w="709"/>
        <w:gridCol w:w="1276"/>
        <w:gridCol w:w="850"/>
        <w:gridCol w:w="1134"/>
        <w:gridCol w:w="567"/>
        <w:gridCol w:w="851"/>
        <w:gridCol w:w="850"/>
        <w:gridCol w:w="1134"/>
        <w:gridCol w:w="567"/>
        <w:gridCol w:w="992"/>
        <w:gridCol w:w="3544"/>
      </w:tblGrid>
      <w:tr w:rsidR="00624820" w:rsidRPr="00A6342E" w:rsidTr="002D0E0F">
        <w:trPr>
          <w:trHeight w:val="282"/>
        </w:trPr>
        <w:tc>
          <w:tcPr>
            <w:tcW w:w="2518" w:type="dxa"/>
            <w:vMerge w:val="restart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Subgroup</w:t>
            </w:r>
          </w:p>
        </w:tc>
        <w:tc>
          <w:tcPr>
            <w:tcW w:w="3969" w:type="dxa"/>
            <w:gridSpan w:val="4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De Kruijf et al., 2011</w:t>
            </w:r>
          </w:p>
        </w:tc>
        <w:tc>
          <w:tcPr>
            <w:tcW w:w="3402" w:type="dxa"/>
            <w:gridSpan w:val="4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Gujam et al., 2014</w:t>
            </w:r>
          </w:p>
        </w:tc>
        <w:tc>
          <w:tcPr>
            <w:tcW w:w="6237" w:type="dxa"/>
            <w:gridSpan w:val="4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Roeke et al. 2017</w:t>
            </w:r>
          </w:p>
        </w:tc>
      </w:tr>
      <w:tr w:rsidR="00624820" w:rsidRPr="00A6342E" w:rsidTr="002D0E0F">
        <w:trPr>
          <w:trHeight w:val="282"/>
        </w:trPr>
        <w:tc>
          <w:tcPr>
            <w:tcW w:w="2518" w:type="dxa"/>
            <w:vMerge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Recurrence free period</w:t>
            </w:r>
          </w:p>
        </w:tc>
        <w:tc>
          <w:tcPr>
            <w:tcW w:w="3402" w:type="dxa"/>
            <w:gridSpan w:val="4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Cancer-specific survival</w:t>
            </w:r>
          </w:p>
        </w:tc>
        <w:tc>
          <w:tcPr>
            <w:tcW w:w="6237" w:type="dxa"/>
            <w:gridSpan w:val="4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Overall survival 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  <w:vMerge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stroma-high</w:t>
            </w:r>
            <w:proofErr w:type="gramEnd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- value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stroma-high</w:t>
            </w:r>
            <w:proofErr w:type="gramEnd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- value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stroma-high</w:t>
            </w:r>
            <w:proofErr w:type="gramEnd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- value</w:t>
            </w:r>
          </w:p>
        </w:tc>
      </w:tr>
      <w:tr w:rsidR="00624820" w:rsidRPr="00A6342E" w:rsidTr="00624820">
        <w:trPr>
          <w:trHeight w:val="282"/>
        </w:trPr>
        <w:tc>
          <w:tcPr>
            <w:tcW w:w="16126" w:type="dxa"/>
            <w:gridSpan w:val="1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TREATMENT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Only local therapy </w:t>
            </w:r>
          </w:p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(no systemic therapy)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244 (66)</w:t>
            </w: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1.42-2.97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Only adjuvant chemotherapy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88 (68)</w:t>
            </w: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1.04-3.25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Only adjuvant endocrine therapy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27 (29)</w:t>
            </w: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1.13-5.91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1.34-3.07</w:t>
            </w: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Only local therapy in TNBC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1.49-11.39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820" w:rsidRPr="00A6342E" w:rsidTr="00624820">
        <w:trPr>
          <w:trHeight w:val="282"/>
        </w:trPr>
        <w:tc>
          <w:tcPr>
            <w:tcW w:w="16126" w:type="dxa"/>
            <w:gridSpan w:val="1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RECEPTOR STATUS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Non- TNBC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1.09-2.07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ER positive tumours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1.04-1.99</w:t>
            </w: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ER negative and PR negative tumours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No statistically significant difference (data not shown)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HER2-negative tumours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Results comparable with results of </w:t>
            </w:r>
            <w:proofErr w:type="spellStart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estrogen</w:t>
            </w:r>
            <w:proofErr w:type="spellEnd"/>
            <w:r w:rsidRPr="00A6342E">
              <w:rPr>
                <w:rFonts w:ascii="Times New Roman" w:hAnsi="Times New Roman" w:cs="Times New Roman"/>
                <w:sz w:val="18"/>
                <w:szCs w:val="18"/>
              </w:rPr>
              <w:t xml:space="preserve"> receptor positive (data not shown)</w:t>
            </w:r>
          </w:p>
        </w:tc>
      </w:tr>
      <w:tr w:rsidR="00624820" w:rsidRPr="00A6342E" w:rsidTr="00624820">
        <w:trPr>
          <w:trHeight w:val="282"/>
        </w:trPr>
        <w:tc>
          <w:tcPr>
            <w:tcW w:w="16126" w:type="dxa"/>
            <w:gridSpan w:val="13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b/>
                <w:sz w:val="18"/>
                <w:szCs w:val="18"/>
              </w:rPr>
              <w:t>TUMOUR STAGE</w:t>
            </w:r>
          </w:p>
        </w:tc>
      </w:tr>
      <w:tr w:rsidR="00624820" w:rsidRPr="00A6342E" w:rsidTr="003513BD">
        <w:trPr>
          <w:trHeight w:val="282"/>
        </w:trPr>
        <w:tc>
          <w:tcPr>
            <w:tcW w:w="2518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Node- negative  tumours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54 (26)</w:t>
            </w: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851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1.53-6.33</w:t>
            </w:r>
          </w:p>
        </w:tc>
        <w:tc>
          <w:tcPr>
            <w:tcW w:w="850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3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992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1.24-2.90</w:t>
            </w:r>
          </w:p>
        </w:tc>
        <w:tc>
          <w:tcPr>
            <w:tcW w:w="3544" w:type="dxa"/>
          </w:tcPr>
          <w:p w:rsidR="00624820" w:rsidRPr="00A6342E" w:rsidRDefault="00624820" w:rsidP="0062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42E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</w:tbl>
    <w:p w:rsidR="0018596B" w:rsidRPr="00A6342E" w:rsidRDefault="0018596B" w:rsidP="0018596B">
      <w:pPr>
        <w:rPr>
          <w:rFonts w:ascii="Times New Roman" w:hAnsi="Times New Roman" w:cs="Times New Roman"/>
          <w:sz w:val="20"/>
          <w:szCs w:val="20"/>
        </w:rPr>
      </w:pPr>
      <w:r w:rsidRPr="00A6342E">
        <w:rPr>
          <w:rFonts w:ascii="Times New Roman" w:hAnsi="Times New Roman" w:cs="Times New Roman"/>
          <w:b/>
          <w:sz w:val="20"/>
          <w:szCs w:val="20"/>
        </w:rPr>
        <w:t>Supplementary Table 3</w:t>
      </w:r>
      <w:r w:rsidRPr="00A6342E">
        <w:rPr>
          <w:rFonts w:ascii="Times New Roman" w:hAnsi="Times New Roman" w:cs="Times New Roman"/>
          <w:sz w:val="20"/>
          <w:szCs w:val="20"/>
        </w:rPr>
        <w:t xml:space="preserve"> The results of the multivariate Cox regression analyses on the prognostic value of TSR in different subgroups of breast </w:t>
      </w:r>
      <w:r w:rsidR="00BA34D6" w:rsidRPr="00A6342E">
        <w:rPr>
          <w:rFonts w:ascii="Times New Roman" w:hAnsi="Times New Roman" w:cs="Times New Roman"/>
          <w:sz w:val="20"/>
          <w:szCs w:val="20"/>
        </w:rPr>
        <w:t>tumours</w:t>
      </w:r>
      <w:r w:rsidRPr="00A6342E">
        <w:rPr>
          <w:rFonts w:ascii="Times New Roman" w:hAnsi="Times New Roman" w:cs="Times New Roman"/>
          <w:sz w:val="20"/>
          <w:szCs w:val="20"/>
        </w:rPr>
        <w:t xml:space="preserve"> described in literature (data on main cohort of publication and TN </w:t>
      </w:r>
      <w:r w:rsidR="00BA34D6" w:rsidRPr="00A6342E">
        <w:rPr>
          <w:rFonts w:ascii="Times New Roman" w:hAnsi="Times New Roman" w:cs="Times New Roman"/>
          <w:sz w:val="20"/>
          <w:szCs w:val="20"/>
        </w:rPr>
        <w:t>tumours</w:t>
      </w:r>
      <w:r w:rsidRPr="00A6342E">
        <w:rPr>
          <w:rFonts w:ascii="Times New Roman" w:hAnsi="Times New Roman" w:cs="Times New Roman"/>
          <w:sz w:val="20"/>
          <w:szCs w:val="20"/>
        </w:rPr>
        <w:t xml:space="preserve"> are presented in Table 1).</w:t>
      </w:r>
    </w:p>
    <w:p w:rsidR="0018596B" w:rsidRPr="00A6342E" w:rsidRDefault="0018596B" w:rsidP="0018596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23BB0" w:rsidRPr="00A6342E" w:rsidRDefault="00547754" w:rsidP="0054775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6342E">
        <w:rPr>
          <w:rFonts w:ascii="Times New Roman" w:hAnsi="Times New Roman" w:cs="Times New Roman"/>
          <w:sz w:val="18"/>
          <w:szCs w:val="18"/>
        </w:rPr>
        <w:t xml:space="preserve">Stroma-low is used as reference. </w:t>
      </w:r>
      <w:r w:rsidR="00046A3D" w:rsidRPr="00A6342E">
        <w:rPr>
          <w:rFonts w:ascii="Times New Roman" w:hAnsi="Times New Roman" w:cs="Times New Roman"/>
          <w:sz w:val="18"/>
          <w:szCs w:val="18"/>
        </w:rPr>
        <w:t>Abbreviations:</w:t>
      </w:r>
      <w:r w:rsidR="00CE03B8" w:rsidRPr="00A6342E">
        <w:rPr>
          <w:rFonts w:ascii="Times New Roman" w:hAnsi="Times New Roman" w:cs="Times New Roman"/>
          <w:sz w:val="18"/>
          <w:szCs w:val="18"/>
        </w:rPr>
        <w:t xml:space="preserve"> ER = </w:t>
      </w:r>
      <w:r w:rsidR="00A43D1F">
        <w:rPr>
          <w:rFonts w:ascii="Times New Roman" w:hAnsi="Times New Roman" w:cs="Times New Roman"/>
          <w:sz w:val="18"/>
          <w:szCs w:val="18"/>
        </w:rPr>
        <w:t>o</w:t>
      </w:r>
      <w:r w:rsidR="00CE03B8" w:rsidRPr="00A6342E">
        <w:rPr>
          <w:rFonts w:ascii="Times New Roman" w:hAnsi="Times New Roman" w:cs="Times New Roman"/>
          <w:sz w:val="18"/>
          <w:szCs w:val="18"/>
        </w:rPr>
        <w:t>estrogen</w:t>
      </w:r>
      <w:r w:rsidR="00046A3D" w:rsidRPr="00A6342E">
        <w:rPr>
          <w:rFonts w:ascii="Times New Roman" w:hAnsi="Times New Roman" w:cs="Times New Roman"/>
          <w:sz w:val="18"/>
          <w:szCs w:val="18"/>
        </w:rPr>
        <w:t xml:space="preserve"> receptor, PR = progesterone receptor, HER2 = human epidermal growth factor receptor 2, TNBC </w:t>
      </w:r>
      <w:r w:rsidR="002D0E0F">
        <w:rPr>
          <w:rFonts w:ascii="Times New Roman" w:hAnsi="Times New Roman" w:cs="Times New Roman"/>
          <w:sz w:val="18"/>
          <w:szCs w:val="18"/>
        </w:rPr>
        <w:t xml:space="preserve">= triple negative breast cancer. </w:t>
      </w:r>
      <w:r w:rsidR="002D0E0F" w:rsidRPr="002D0E0F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2D0E0F" w:rsidRPr="002D0E0F">
        <w:rPr>
          <w:rFonts w:ascii="Times New Roman" w:hAnsi="Times New Roman" w:cs="Times New Roman"/>
          <w:color w:val="000000" w:themeColor="text1"/>
          <w:sz w:val="18"/>
          <w:szCs w:val="18"/>
        </w:rPr>
        <w:t>HR = hazard ratio, CI = confidence interval</w:t>
      </w:r>
    </w:p>
    <w:p w:rsidR="00AE53AC" w:rsidRPr="00A6342E" w:rsidRDefault="00AE53AC" w:rsidP="00AE53AC">
      <w:pPr>
        <w:rPr>
          <w:rFonts w:ascii="Times New Roman" w:hAnsi="Times New Roman" w:cs="Times New Roman"/>
        </w:rPr>
      </w:pPr>
    </w:p>
    <w:p w:rsidR="00AE53AC" w:rsidRPr="00A6342E" w:rsidRDefault="00AE53AC" w:rsidP="00AE53AC">
      <w:pPr>
        <w:rPr>
          <w:rFonts w:ascii="Times New Roman" w:hAnsi="Times New Roman" w:cs="Times New Roman"/>
        </w:rPr>
      </w:pPr>
    </w:p>
    <w:p w:rsidR="0018596B" w:rsidRPr="00A6342E" w:rsidRDefault="0018596B" w:rsidP="00AE53AC">
      <w:pPr>
        <w:rPr>
          <w:rFonts w:ascii="Times New Roman" w:hAnsi="Times New Roman" w:cs="Times New Roman"/>
        </w:rPr>
      </w:pPr>
    </w:p>
    <w:p w:rsidR="0018596B" w:rsidRPr="00A6342E" w:rsidRDefault="0018596B" w:rsidP="00AE53AC">
      <w:pPr>
        <w:rPr>
          <w:rFonts w:ascii="Times New Roman" w:hAnsi="Times New Roman" w:cs="Times New Roman"/>
        </w:rPr>
      </w:pPr>
    </w:p>
    <w:p w:rsidR="00CE03B8" w:rsidRPr="00A6342E" w:rsidRDefault="00CE03B8" w:rsidP="00AE53AC">
      <w:pPr>
        <w:rPr>
          <w:rFonts w:ascii="Times New Roman" w:hAnsi="Times New Roman" w:cs="Times New Roman"/>
        </w:rPr>
      </w:pPr>
    </w:p>
    <w:p w:rsidR="00CE03B8" w:rsidRPr="00A6342E" w:rsidRDefault="00CE03B8" w:rsidP="00AE53AC">
      <w:pPr>
        <w:rPr>
          <w:rFonts w:ascii="Times New Roman" w:hAnsi="Times New Roman" w:cs="Times New Roman"/>
        </w:rPr>
      </w:pPr>
    </w:p>
    <w:sectPr w:rsidR="00CE03B8" w:rsidRPr="00A6342E" w:rsidSect="006248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65F15B0" w15:done="0"/>
  <w15:commentEx w15:paraId="48CFED49" w15:done="0"/>
  <w15:commentEx w15:paraId="7F63111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5F15B0" w16cid:durableId="1F32E165"/>
  <w16cid:commentId w16cid:paraId="48CFED49" w16cid:durableId="1F32E166"/>
  <w16cid:commentId w16cid:paraId="7F631111" w16cid:durableId="1F32E1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3AC" w:rsidRDefault="00ED73AC" w:rsidP="00AE53AC">
      <w:pPr>
        <w:spacing w:after="0" w:line="240" w:lineRule="auto"/>
      </w:pPr>
      <w:r>
        <w:separator/>
      </w:r>
    </w:p>
  </w:endnote>
  <w:endnote w:type="continuationSeparator" w:id="0">
    <w:p w:rsidR="00ED73AC" w:rsidRDefault="00ED73AC" w:rsidP="00AE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3AC" w:rsidRDefault="00ED73AC" w:rsidP="00AE53AC">
      <w:pPr>
        <w:spacing w:after="0" w:line="240" w:lineRule="auto"/>
      </w:pPr>
      <w:r>
        <w:separator/>
      </w:r>
    </w:p>
  </w:footnote>
  <w:footnote w:type="continuationSeparator" w:id="0">
    <w:p w:rsidR="00ED73AC" w:rsidRDefault="00ED73AC" w:rsidP="00AE5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5059F"/>
    <w:multiLevelType w:val="hybridMultilevel"/>
    <w:tmpl w:val="969A094A"/>
    <w:lvl w:ilvl="0" w:tplc="08A2B2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351"/>
    <w:rsid w:val="000350E1"/>
    <w:rsid w:val="00043380"/>
    <w:rsid w:val="00046A3D"/>
    <w:rsid w:val="000476A9"/>
    <w:rsid w:val="000862F0"/>
    <w:rsid w:val="000A0AD5"/>
    <w:rsid w:val="000F0291"/>
    <w:rsid w:val="000F598D"/>
    <w:rsid w:val="0018596B"/>
    <w:rsid w:val="00196558"/>
    <w:rsid w:val="00222BAF"/>
    <w:rsid w:val="00237B32"/>
    <w:rsid w:val="0026580F"/>
    <w:rsid w:val="00276E36"/>
    <w:rsid w:val="002D0E0F"/>
    <w:rsid w:val="002D706F"/>
    <w:rsid w:val="002E5222"/>
    <w:rsid w:val="002F1841"/>
    <w:rsid w:val="002F3FA9"/>
    <w:rsid w:val="003146AB"/>
    <w:rsid w:val="0031733E"/>
    <w:rsid w:val="003513BD"/>
    <w:rsid w:val="00382282"/>
    <w:rsid w:val="003977AC"/>
    <w:rsid w:val="003A6FC0"/>
    <w:rsid w:val="003C4357"/>
    <w:rsid w:val="003E7ED2"/>
    <w:rsid w:val="0047016B"/>
    <w:rsid w:val="00481C66"/>
    <w:rsid w:val="00487695"/>
    <w:rsid w:val="004C15FD"/>
    <w:rsid w:val="004C6ECB"/>
    <w:rsid w:val="004C7448"/>
    <w:rsid w:val="004D3F9B"/>
    <w:rsid w:val="00510202"/>
    <w:rsid w:val="00547754"/>
    <w:rsid w:val="00576424"/>
    <w:rsid w:val="005853A9"/>
    <w:rsid w:val="00590163"/>
    <w:rsid w:val="005B7BCF"/>
    <w:rsid w:val="005D4737"/>
    <w:rsid w:val="00624820"/>
    <w:rsid w:val="00642BC3"/>
    <w:rsid w:val="006D79E4"/>
    <w:rsid w:val="006D7F34"/>
    <w:rsid w:val="006E25C7"/>
    <w:rsid w:val="007745DA"/>
    <w:rsid w:val="00777CBB"/>
    <w:rsid w:val="00782D15"/>
    <w:rsid w:val="007A3461"/>
    <w:rsid w:val="007A5091"/>
    <w:rsid w:val="007D51D0"/>
    <w:rsid w:val="007F288C"/>
    <w:rsid w:val="007F2C52"/>
    <w:rsid w:val="00800449"/>
    <w:rsid w:val="00816BF5"/>
    <w:rsid w:val="00834794"/>
    <w:rsid w:val="0085197E"/>
    <w:rsid w:val="00867F2E"/>
    <w:rsid w:val="00894838"/>
    <w:rsid w:val="00897BDD"/>
    <w:rsid w:val="008A3921"/>
    <w:rsid w:val="00901D8E"/>
    <w:rsid w:val="009163BE"/>
    <w:rsid w:val="00942351"/>
    <w:rsid w:val="009773DA"/>
    <w:rsid w:val="009B2688"/>
    <w:rsid w:val="009D436A"/>
    <w:rsid w:val="009F358A"/>
    <w:rsid w:val="00A43D1F"/>
    <w:rsid w:val="00A6342E"/>
    <w:rsid w:val="00A80E97"/>
    <w:rsid w:val="00AB452C"/>
    <w:rsid w:val="00AB7A23"/>
    <w:rsid w:val="00AE3B0A"/>
    <w:rsid w:val="00AE53AC"/>
    <w:rsid w:val="00B1286F"/>
    <w:rsid w:val="00B21C15"/>
    <w:rsid w:val="00B32E2D"/>
    <w:rsid w:val="00B80817"/>
    <w:rsid w:val="00B86A1F"/>
    <w:rsid w:val="00B961E7"/>
    <w:rsid w:val="00BA34D6"/>
    <w:rsid w:val="00BA6E09"/>
    <w:rsid w:val="00BB4845"/>
    <w:rsid w:val="00BC1447"/>
    <w:rsid w:val="00BF1E80"/>
    <w:rsid w:val="00BF3DF2"/>
    <w:rsid w:val="00C05FD5"/>
    <w:rsid w:val="00C066FA"/>
    <w:rsid w:val="00C2033F"/>
    <w:rsid w:val="00C458AF"/>
    <w:rsid w:val="00C61BC6"/>
    <w:rsid w:val="00C649D4"/>
    <w:rsid w:val="00CA5022"/>
    <w:rsid w:val="00CC2EA5"/>
    <w:rsid w:val="00CC3445"/>
    <w:rsid w:val="00CE03B8"/>
    <w:rsid w:val="00CE5589"/>
    <w:rsid w:val="00D17A1D"/>
    <w:rsid w:val="00D74A38"/>
    <w:rsid w:val="00D8642E"/>
    <w:rsid w:val="00DA540F"/>
    <w:rsid w:val="00DC16AD"/>
    <w:rsid w:val="00DD5CE4"/>
    <w:rsid w:val="00E01FA9"/>
    <w:rsid w:val="00E23BB0"/>
    <w:rsid w:val="00E44FB1"/>
    <w:rsid w:val="00E50F98"/>
    <w:rsid w:val="00E6386C"/>
    <w:rsid w:val="00EB53C7"/>
    <w:rsid w:val="00ED73AC"/>
    <w:rsid w:val="00EF20DF"/>
    <w:rsid w:val="00F31F47"/>
    <w:rsid w:val="00F642DA"/>
    <w:rsid w:val="00F72E70"/>
    <w:rsid w:val="00F92AAE"/>
    <w:rsid w:val="00FB25BA"/>
    <w:rsid w:val="00FC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F2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C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C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3AC"/>
  </w:style>
  <w:style w:type="paragraph" w:styleId="Footer">
    <w:name w:val="footer"/>
    <w:basedOn w:val="Normal"/>
    <w:link w:val="FooterChar"/>
    <w:uiPriority w:val="99"/>
    <w:unhideWhenUsed/>
    <w:rsid w:val="00AE5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2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C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C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3AC"/>
  </w:style>
  <w:style w:type="paragraph" w:styleId="Footer">
    <w:name w:val="footer"/>
    <w:basedOn w:val="Normal"/>
    <w:link w:val="FooterChar"/>
    <w:uiPriority w:val="99"/>
    <w:unhideWhenUsed/>
    <w:rsid w:val="00AE5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3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230C0-E1A6-46C9-8160-26D287EB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Vangangelt, K.M.H. (HLK)</dc:creator>
  <cp:lastModifiedBy>0005080</cp:lastModifiedBy>
  <cp:revision>2</cp:revision>
  <cp:lastPrinted>2018-09-13T12:29:00Z</cp:lastPrinted>
  <dcterms:created xsi:type="dcterms:W3CDTF">2018-09-29T07:07:00Z</dcterms:created>
  <dcterms:modified xsi:type="dcterms:W3CDTF">2018-09-29T07:07:00Z</dcterms:modified>
</cp:coreProperties>
</file>