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48" w:rsidRPr="00381D48" w:rsidRDefault="00381D48" w:rsidP="00381D48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 w:rsidRPr="00381D48">
        <w:rPr>
          <w:rFonts w:ascii="Times New Roman"/>
          <w:b/>
          <w:sz w:val="24"/>
          <w:szCs w:val="24"/>
        </w:rPr>
        <w:t>Supplementary Material 2</w:t>
      </w:r>
    </w:p>
    <w:p w:rsidR="00AD6C76" w:rsidRPr="00381D48" w:rsidRDefault="00AD6C76" w:rsidP="006368F1">
      <w:pPr>
        <w:spacing w:after="0" w:line="360" w:lineRule="auto"/>
        <w:rPr>
          <w:rFonts w:ascii="Times New Roman"/>
          <w:bCs/>
          <w:sz w:val="24"/>
          <w:szCs w:val="24"/>
        </w:rPr>
      </w:pPr>
      <w:proofErr w:type="gramStart"/>
      <w:r w:rsidRPr="00381D48">
        <w:rPr>
          <w:rFonts w:ascii="Times New Roman"/>
          <w:b/>
          <w:sz w:val="24"/>
          <w:szCs w:val="24"/>
        </w:rPr>
        <w:t xml:space="preserve">Table </w:t>
      </w:r>
      <w:r w:rsidR="00055174" w:rsidRPr="00381D48">
        <w:rPr>
          <w:rFonts w:ascii="Times New Roman"/>
          <w:b/>
          <w:sz w:val="24"/>
          <w:szCs w:val="24"/>
        </w:rPr>
        <w:t>1</w:t>
      </w:r>
      <w:r w:rsidR="005B7546" w:rsidRPr="00381D48">
        <w:rPr>
          <w:rFonts w:ascii="Times New Roman"/>
          <w:b/>
          <w:sz w:val="24"/>
          <w:szCs w:val="24"/>
        </w:rPr>
        <w:t>.</w:t>
      </w:r>
      <w:proofErr w:type="gramEnd"/>
      <w:r w:rsidR="005B7546" w:rsidRPr="00381D48">
        <w:rPr>
          <w:rFonts w:ascii="Times New Roman"/>
          <w:sz w:val="24"/>
          <w:szCs w:val="24"/>
        </w:rPr>
        <w:t xml:space="preserve"> </w:t>
      </w:r>
      <w:r w:rsidRPr="00381D48">
        <w:rPr>
          <w:rFonts w:ascii="Times New Roman"/>
          <w:bCs/>
          <w:sz w:val="24"/>
          <w:szCs w:val="24"/>
        </w:rPr>
        <w:t>Results from the International Patient Decision Aids Standards (</w:t>
      </w:r>
      <w:proofErr w:type="spellStart"/>
      <w:r w:rsidRPr="00381D48">
        <w:rPr>
          <w:rFonts w:ascii="Times New Roman"/>
          <w:bCs/>
          <w:sz w:val="24"/>
          <w:szCs w:val="24"/>
        </w:rPr>
        <w:t>IPDAS</w:t>
      </w:r>
      <w:proofErr w:type="spellEnd"/>
      <w:r w:rsidRPr="00381D48">
        <w:rPr>
          <w:rFonts w:ascii="Times New Roman"/>
          <w:bCs/>
          <w:sz w:val="24"/>
          <w:szCs w:val="24"/>
        </w:rPr>
        <w:t>) Checklist of</w:t>
      </w:r>
      <w:r w:rsidR="009B1C13" w:rsidRPr="00381D48">
        <w:rPr>
          <w:rFonts w:ascii="Times New Roman"/>
          <w:bCs/>
          <w:sz w:val="24"/>
          <w:szCs w:val="24"/>
        </w:rPr>
        <w:t xml:space="preserve"> the Patient Decision Aids (</w:t>
      </w:r>
      <w:r w:rsidR="009B1C13" w:rsidRPr="00381D48">
        <w:rPr>
          <w:rFonts w:ascii="Times New Roman"/>
          <w:bCs/>
          <w:i/>
          <w:sz w:val="24"/>
          <w:szCs w:val="24"/>
        </w:rPr>
        <w:t>n</w:t>
      </w:r>
      <w:r w:rsidR="00513469">
        <w:rPr>
          <w:rFonts w:ascii="Times New Roman"/>
          <w:bCs/>
          <w:sz w:val="24"/>
          <w:szCs w:val="24"/>
        </w:rPr>
        <w:t>=21</w:t>
      </w:r>
      <w:r w:rsidRPr="00381D48">
        <w:rPr>
          <w:rFonts w:ascii="Times New Roman"/>
          <w:bCs/>
          <w:sz w:val="24"/>
          <w:szCs w:val="24"/>
        </w:rPr>
        <w:t>)</w:t>
      </w:r>
      <w:r w:rsidR="005B7546" w:rsidRPr="00381D48">
        <w:rPr>
          <w:rFonts w:ascii="Times New Roman"/>
          <w:bCs/>
          <w:sz w:val="24"/>
          <w:szCs w:val="24"/>
        </w:rPr>
        <w:t>.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7"/>
        <w:gridCol w:w="2295"/>
        <w:gridCol w:w="5593"/>
        <w:gridCol w:w="426"/>
        <w:gridCol w:w="567"/>
      </w:tblGrid>
      <w:tr w:rsidR="00AD6C76" w:rsidRPr="00381D48" w:rsidTr="00392F00">
        <w:tc>
          <w:tcPr>
            <w:tcW w:w="617" w:type="dxa"/>
            <w:tcBorders>
              <w:top w:val="single" w:sz="8" w:space="0" w:color="auto"/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2295" w:type="dxa"/>
            <w:tcBorders>
              <w:top w:val="single" w:sz="8" w:space="0" w:color="auto"/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/>
                <w:bCs/>
                <w:sz w:val="20"/>
                <w:szCs w:val="20"/>
              </w:rPr>
            </w:pPr>
            <w:proofErr w:type="spellStart"/>
            <w:r w:rsidRPr="00381D48">
              <w:rPr>
                <w:rFonts w:ascii="Times New Roman" w:eastAsia="Arial"/>
                <w:b/>
                <w:bCs/>
                <w:sz w:val="20"/>
                <w:szCs w:val="20"/>
              </w:rPr>
              <w:t>IPDAS</w:t>
            </w:r>
            <w:proofErr w:type="spellEnd"/>
            <w:r w:rsidRPr="00381D48">
              <w:rPr>
                <w:rFonts w:ascii="Times New Roman" w:eastAsia="Arial"/>
                <w:b/>
                <w:bCs/>
                <w:sz w:val="20"/>
                <w:szCs w:val="20"/>
              </w:rPr>
              <w:t xml:space="preserve"> dimension</w:t>
            </w:r>
          </w:p>
        </w:tc>
        <w:tc>
          <w:tcPr>
            <w:tcW w:w="5593" w:type="dxa"/>
            <w:tcBorders>
              <w:top w:val="single" w:sz="8" w:space="0" w:color="auto"/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/>
                <w:bCs/>
                <w:sz w:val="20"/>
                <w:szCs w:val="20"/>
              </w:rPr>
              <w:t>Item description</w:t>
            </w:r>
          </w:p>
        </w:tc>
        <w:tc>
          <w:tcPr>
            <w:tcW w:w="426" w:type="dxa"/>
            <w:tcBorders>
              <w:top w:val="single" w:sz="8" w:space="0" w:color="auto"/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/>
                <w:bCs/>
                <w:i/>
                <w:sz w:val="20"/>
                <w:szCs w:val="20"/>
              </w:rPr>
            </w:pPr>
            <w:r w:rsidRPr="00381D48">
              <w:rPr>
                <w:rFonts w:ascii="Times New Roman" w:eastAsia="Arial"/>
                <w:b/>
                <w:bCs/>
                <w:i/>
                <w:sz w:val="20"/>
                <w:szCs w:val="20"/>
              </w:rPr>
              <w:t>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/>
                <w:bCs/>
                <w:sz w:val="20"/>
                <w:szCs w:val="20"/>
              </w:rPr>
              <w:t>%</w:t>
            </w:r>
          </w:p>
        </w:tc>
      </w:tr>
      <w:tr w:rsidR="00AD6C76" w:rsidRPr="00381D48" w:rsidTr="00392F00">
        <w:tc>
          <w:tcPr>
            <w:tcW w:w="617" w:type="dxa"/>
            <w:tcBorders>
              <w:top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</w:t>
            </w:r>
          </w:p>
        </w:tc>
        <w:tc>
          <w:tcPr>
            <w:tcW w:w="2295" w:type="dxa"/>
            <w:tcBorders>
              <w:top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Information about options</w:t>
            </w:r>
          </w:p>
        </w:tc>
        <w:tc>
          <w:tcPr>
            <w:tcW w:w="5593" w:type="dxa"/>
            <w:tcBorders>
              <w:top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health condition or problem (intervention, procedure, or investigation) for which the index decision is required</w:t>
            </w:r>
          </w:p>
        </w:tc>
        <w:tc>
          <w:tcPr>
            <w:tcW w:w="426" w:type="dxa"/>
            <w:tcBorders>
              <w:top w:val="single" w:sz="8" w:space="0" w:color="auto"/>
            </w:tcBorders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95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described the decision that needs to be considered (the index decision)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100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options available for the index decision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100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4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natural course of the health condition or problem, if no action is taken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76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5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describes positive features (benefits or advantages) of each option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95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6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negative features (harms, side effects or disadvantages) of each option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95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7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makes it possible to compare the positive and negative features of the available options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86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8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shows the negative and positive features of options with equal detail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14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9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Outcome probabilities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provides information about outcome probabilities associated with the options (</w:t>
            </w:r>
            <w:proofErr w:type="spellStart"/>
            <w:r w:rsidRPr="00381D48">
              <w:rPr>
                <w:rFonts w:ascii="Times New Roman"/>
                <w:sz w:val="20"/>
                <w:szCs w:val="20"/>
              </w:rPr>
              <w:t>i.e</w:t>
            </w:r>
            <w:proofErr w:type="spellEnd"/>
            <w:r w:rsidRPr="00381D48">
              <w:rPr>
                <w:rFonts w:ascii="Times New Roman"/>
                <w:sz w:val="20"/>
                <w:szCs w:val="20"/>
              </w:rPr>
              <w:t>, the likely consequences of decisions)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76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10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specifies the defined group (reference class) of patients for which the outcome probabilities apply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11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specifies the event rates for the outcome probabilities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12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specifies the time period over which the outcome probabilities apply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43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13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allows the user to compare outcome probabilities across options using the same denominator and time period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29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14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provides information about the levels of uncertainty around event or outcome probabilities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52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15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provides more than one way of viewing the probabilities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49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16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provides balanced information about event or outcome probabilities to limit framing bias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43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17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Clarifying values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features of options to help patients imagine what it is like to experience physical effects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86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18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features of options to help patients imagine what it is like to experience the psychological effects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76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19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describes the features of options to help patients imagine what it is like to experience social effects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67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asks patients to think about which positive and negative features of the options matters most to them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100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21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Decision guidance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provides a step-by-step way to make a decision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81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22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includes tools like worksheets or lists of questions to use when discussing options with a practitioner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81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23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Development process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mentions that the development process included finding out what clients or patients need to prepare them to discuss a decision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24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(or associated paper) mentions that the development process included finding out what health professionals need to prepare them to discuss a specific decision with patients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43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25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mentions that the development process included expert review by clients/patients not involved in producing the DST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52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26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mentions that the development process included expert review by health professionals not involved in producing the DST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95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27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(or associated paper) mentions that the DST was field tested with patients who were facing the decision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28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(or associated paper) mentions that the DST was field tested with practitioners who counsel patients who face the decision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57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29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Using evidence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provides citations to the studies selected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62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30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describes how research evidence was selected or synthesized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48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31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 xml:space="preserve">The DST (or associated paper) provides a production or publication rate 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81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32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provides information about the proposed update policy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19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33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describes the quality of the research evidence used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14</w:t>
            </w:r>
          </w:p>
        </w:tc>
      </w:tr>
      <w:tr w:rsidR="00AD6C76" w:rsidRPr="00381D48" w:rsidTr="00392F00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34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Disclosure and transparency</w:t>
            </w: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technical documentation) provides information about the funding used for development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71</w:t>
            </w:r>
          </w:p>
        </w:tc>
      </w:tr>
      <w:tr w:rsidR="00AD6C76" w:rsidRPr="00381D48" w:rsidTr="00AD6C76">
        <w:tc>
          <w:tcPr>
            <w:tcW w:w="617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35</w:t>
            </w:r>
          </w:p>
        </w:tc>
        <w:tc>
          <w:tcPr>
            <w:tcW w:w="2295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</w:p>
        </w:tc>
        <w:tc>
          <w:tcPr>
            <w:tcW w:w="5593" w:type="dxa"/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includes author / developer credentials or qualifications</w:t>
            </w:r>
          </w:p>
        </w:tc>
        <w:tc>
          <w:tcPr>
            <w:tcW w:w="426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90</w:t>
            </w:r>
            <w:bookmarkStart w:id="0" w:name="_GoBack"/>
            <w:bookmarkEnd w:id="0"/>
          </w:p>
        </w:tc>
      </w:tr>
      <w:tr w:rsidR="00AD6C76" w:rsidRPr="00381D48" w:rsidTr="00AD6C76">
        <w:tc>
          <w:tcPr>
            <w:tcW w:w="617" w:type="dxa"/>
            <w:tcBorders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36</w:t>
            </w:r>
          </w:p>
        </w:tc>
        <w:tc>
          <w:tcPr>
            <w:tcW w:w="2295" w:type="dxa"/>
            <w:tcBorders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 w:eastAsia="Arial"/>
                <w:bCs/>
                <w:sz w:val="20"/>
                <w:szCs w:val="20"/>
              </w:rPr>
            </w:pPr>
            <w:r w:rsidRPr="00381D48">
              <w:rPr>
                <w:rFonts w:ascii="Times New Roman" w:eastAsia="Arial"/>
                <w:bCs/>
                <w:sz w:val="20"/>
                <w:szCs w:val="20"/>
              </w:rPr>
              <w:t>Plain language</w:t>
            </w:r>
          </w:p>
        </w:tc>
        <w:tc>
          <w:tcPr>
            <w:tcW w:w="5593" w:type="dxa"/>
            <w:tcBorders>
              <w:bottom w:val="single" w:sz="8" w:space="0" w:color="auto"/>
            </w:tcBorders>
          </w:tcPr>
          <w:p w:rsidR="00AD6C76" w:rsidRPr="00381D48" w:rsidRDefault="00AD6C76" w:rsidP="00FA6581">
            <w:pPr>
              <w:spacing w:beforeLines="40" w:afterLines="40"/>
              <w:rPr>
                <w:rFonts w:ascii="Times New Roman"/>
              </w:rPr>
            </w:pPr>
            <w:r w:rsidRPr="00381D48">
              <w:rPr>
                <w:rFonts w:ascii="Times New Roman"/>
                <w:sz w:val="20"/>
                <w:szCs w:val="20"/>
              </w:rPr>
              <w:t>The DST (or associated paper) reports readability levels (using one or more of the available scales)</w:t>
            </w:r>
          </w:p>
        </w:tc>
        <w:tc>
          <w:tcPr>
            <w:tcW w:w="426" w:type="dxa"/>
            <w:tcBorders>
              <w:bottom w:val="single" w:sz="8" w:space="0" w:color="auto"/>
            </w:tcBorders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:rsidR="00AD6C76" w:rsidRPr="00381D48" w:rsidRDefault="00836841" w:rsidP="00FA6581">
            <w:pPr>
              <w:spacing w:beforeLines="40" w:afterLines="40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>24</w:t>
            </w:r>
          </w:p>
        </w:tc>
      </w:tr>
    </w:tbl>
    <w:p w:rsidR="00AD6C76" w:rsidRPr="00381D48" w:rsidRDefault="00AD6C76" w:rsidP="00AD6C76">
      <w:pPr>
        <w:spacing w:before="60" w:after="0"/>
        <w:rPr>
          <w:rFonts w:ascii="Times New Roman" w:eastAsia="Arial"/>
          <w:bCs/>
          <w:sz w:val="24"/>
          <w:szCs w:val="24"/>
        </w:rPr>
      </w:pPr>
      <w:r w:rsidRPr="00381D48">
        <w:rPr>
          <w:rFonts w:ascii="Times New Roman" w:eastAsia="Arial"/>
          <w:bCs/>
          <w:i/>
          <w:sz w:val="24"/>
          <w:szCs w:val="24"/>
        </w:rPr>
        <w:t xml:space="preserve">Note. </w:t>
      </w:r>
      <w:r w:rsidRPr="00381D48">
        <w:rPr>
          <w:rFonts w:ascii="Times New Roman" w:eastAsia="Arial"/>
          <w:bCs/>
          <w:sz w:val="24"/>
          <w:szCs w:val="24"/>
        </w:rPr>
        <w:t xml:space="preserve">DST = Decision support technology. </w:t>
      </w:r>
    </w:p>
    <w:p w:rsidR="00AD6C76" w:rsidRPr="00381D48" w:rsidRDefault="00AD6C76" w:rsidP="00AD6C76">
      <w:pPr>
        <w:rPr>
          <w:rFonts w:ascii="Times New Roman"/>
          <w:sz w:val="24"/>
          <w:szCs w:val="24"/>
        </w:rPr>
      </w:pPr>
    </w:p>
    <w:p w:rsidR="00ED06FE" w:rsidRPr="00381D48" w:rsidRDefault="00ED06FE">
      <w:pPr>
        <w:rPr>
          <w:rFonts w:ascii="Times New Roman"/>
        </w:rPr>
      </w:pPr>
    </w:p>
    <w:sectPr w:rsidR="00ED06FE" w:rsidRPr="00381D48" w:rsidSect="00FA6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64D" w:rsidRDefault="00A0764D" w:rsidP="00FC2046">
      <w:pPr>
        <w:spacing w:after="0" w:line="240" w:lineRule="auto"/>
      </w:pPr>
      <w:r>
        <w:separator/>
      </w:r>
    </w:p>
  </w:endnote>
  <w:endnote w:type="continuationSeparator" w:id="0">
    <w:p w:rsidR="00A0764D" w:rsidRDefault="00A0764D" w:rsidP="00FC2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64D" w:rsidRDefault="00A0764D" w:rsidP="00FC2046">
      <w:pPr>
        <w:spacing w:after="0" w:line="240" w:lineRule="auto"/>
      </w:pPr>
      <w:r>
        <w:separator/>
      </w:r>
    </w:p>
  </w:footnote>
  <w:footnote w:type="continuationSeparator" w:id="0">
    <w:p w:rsidR="00A0764D" w:rsidRDefault="00A0764D" w:rsidP="00FC20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AD6C76"/>
    <w:rsid w:val="00055174"/>
    <w:rsid w:val="001822E0"/>
    <w:rsid w:val="00245C2D"/>
    <w:rsid w:val="002A366A"/>
    <w:rsid w:val="002D238A"/>
    <w:rsid w:val="00380891"/>
    <w:rsid w:val="00381D48"/>
    <w:rsid w:val="00490930"/>
    <w:rsid w:val="00513469"/>
    <w:rsid w:val="00513586"/>
    <w:rsid w:val="00546590"/>
    <w:rsid w:val="005B7546"/>
    <w:rsid w:val="006368F1"/>
    <w:rsid w:val="007B3E7B"/>
    <w:rsid w:val="00836841"/>
    <w:rsid w:val="008407EF"/>
    <w:rsid w:val="00910E97"/>
    <w:rsid w:val="00974959"/>
    <w:rsid w:val="00985FFE"/>
    <w:rsid w:val="009B1C13"/>
    <w:rsid w:val="00A0764D"/>
    <w:rsid w:val="00AD6C76"/>
    <w:rsid w:val="00AE72F9"/>
    <w:rsid w:val="00BF7748"/>
    <w:rsid w:val="00C567AA"/>
    <w:rsid w:val="00D22BEE"/>
    <w:rsid w:val="00DA7C88"/>
    <w:rsid w:val="00EC2171"/>
    <w:rsid w:val="00ED06FE"/>
    <w:rsid w:val="00EF4AB8"/>
    <w:rsid w:val="00F33730"/>
    <w:rsid w:val="00FA6581"/>
    <w:rsid w:val="00FC2046"/>
    <w:rsid w:val="00FD2AB1"/>
    <w:rsid w:val="00FE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C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6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C20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046"/>
  </w:style>
  <w:style w:type="paragraph" w:styleId="Footer">
    <w:name w:val="footer"/>
    <w:basedOn w:val="Normal"/>
    <w:link w:val="FooterChar"/>
    <w:uiPriority w:val="99"/>
    <w:unhideWhenUsed/>
    <w:rsid w:val="00FC204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2018-10-29T19:07:00Z</dcterms:created>
  <dcterms:modified xsi:type="dcterms:W3CDTF">2019-07-08T09:25:00Z</dcterms:modified>
</cp:coreProperties>
</file>