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/>
          <w:szCs w:val="20"/>
        </w:rPr>
      </w:pPr>
      <w:r w:rsidRPr="00F934A2">
        <w:rPr>
          <w:rFonts w:cstheme="minorHAnsi"/>
          <w:b/>
          <w:bCs/>
          <w:noProof/>
          <w:szCs w:val="20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4066E022" wp14:editId="45B14F7E">
            <wp:simplePos x="0" y="0"/>
            <wp:positionH relativeFrom="margin">
              <wp:posOffset>1184275</wp:posOffset>
            </wp:positionH>
            <wp:positionV relativeFrom="paragraph">
              <wp:posOffset>0</wp:posOffset>
            </wp:positionV>
            <wp:extent cx="3419475" cy="3724275"/>
            <wp:effectExtent l="0" t="0" r="0" b="0"/>
            <wp:wrapTight wrapText="bothSides">
              <wp:wrapPolygon edited="0">
                <wp:start x="4332" y="0"/>
                <wp:lineTo x="4332" y="3536"/>
                <wp:lineTo x="602" y="4419"/>
                <wp:lineTo x="361" y="4530"/>
                <wp:lineTo x="481" y="5303"/>
                <wp:lineTo x="4212" y="7071"/>
                <wp:lineTo x="4332" y="8839"/>
                <wp:lineTo x="1324" y="9502"/>
                <wp:lineTo x="361" y="9944"/>
                <wp:lineTo x="602" y="10607"/>
                <wp:lineTo x="4212" y="12374"/>
                <wp:lineTo x="1444" y="14142"/>
                <wp:lineTo x="361" y="14142"/>
                <wp:lineTo x="481" y="15137"/>
                <wp:lineTo x="4332" y="15910"/>
                <wp:lineTo x="4332" y="19777"/>
                <wp:lineTo x="7340" y="21103"/>
                <wp:lineTo x="8062" y="21324"/>
                <wp:lineTo x="16004" y="21324"/>
                <wp:lineTo x="16365" y="19446"/>
                <wp:lineTo x="16365" y="10607"/>
                <wp:lineTo x="21058" y="9723"/>
                <wp:lineTo x="21419" y="9391"/>
                <wp:lineTo x="20697" y="8839"/>
                <wp:lineTo x="16365" y="7071"/>
                <wp:lineTo x="19133" y="7071"/>
                <wp:lineTo x="19133" y="6187"/>
                <wp:lineTo x="16365" y="5303"/>
                <wp:lineTo x="16365" y="0"/>
                <wp:lineTo x="4332" y="0"/>
              </wp:wrapPolygon>
            </wp:wrapTight>
            <wp:docPr id="1" name="Picture 1" descr="C:\Users\msxaa98\Desktop\MX1 revis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xaa98\Desktop\MX1 revise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color w:val="000000"/>
          <w:szCs w:val="20"/>
        </w:rPr>
      </w:pPr>
    </w:p>
    <w:p w:rsidR="00E51131" w:rsidRDefault="00E51131" w:rsidP="00863E2F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Default="00E51131" w:rsidP="00E51131"/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  <w:r w:rsidRPr="00F934A2">
        <w:rPr>
          <w:rFonts w:cstheme="minorHAnsi"/>
          <w:b/>
          <w:color w:val="000000"/>
          <w:szCs w:val="20"/>
        </w:rPr>
        <w:t>Supplementary Figure (1)</w:t>
      </w:r>
      <w:r w:rsidRPr="00F934A2">
        <w:rPr>
          <w:rFonts w:cstheme="minorHAnsi"/>
          <w:color w:val="000000"/>
          <w:szCs w:val="20"/>
        </w:rPr>
        <w:t xml:space="preserve"> Evaluation of MX1 primary antibody specificity by WB. This shows a single specific band at predicted size </w:t>
      </w:r>
      <w:proofErr w:type="gramStart"/>
      <w:r w:rsidRPr="00F934A2">
        <w:rPr>
          <w:rFonts w:cstheme="minorHAnsi"/>
          <w:color w:val="000000"/>
          <w:szCs w:val="20"/>
        </w:rPr>
        <w:t xml:space="preserve">( </w:t>
      </w:r>
      <w:r w:rsidRPr="00F934A2">
        <w:rPr>
          <w:rFonts w:cstheme="minorHAnsi"/>
          <w:szCs w:val="20"/>
        </w:rPr>
        <w:t>~</w:t>
      </w:r>
      <w:proofErr w:type="gramEnd"/>
      <w:r w:rsidRPr="00F934A2">
        <w:rPr>
          <w:rFonts w:cstheme="minorHAnsi"/>
          <w:szCs w:val="20"/>
        </w:rPr>
        <w:t>64KDa</w:t>
      </w:r>
      <w:r w:rsidRPr="00F934A2">
        <w:rPr>
          <w:rFonts w:cstheme="minorHAnsi"/>
          <w:color w:val="000000"/>
          <w:szCs w:val="20"/>
        </w:rPr>
        <w:t xml:space="preserve"> ).</w:t>
      </w: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1312" behindDoc="1" locked="0" layoutInCell="1" allowOverlap="1" wp14:anchorId="2B5C3E36" wp14:editId="0CCB63D4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Pr="00F934A2" w:rsidRDefault="00E51131" w:rsidP="00E51131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Cs w:val="20"/>
        </w:rPr>
      </w:pPr>
    </w:p>
    <w:p w:rsidR="00E51131" w:rsidRDefault="00E51131" w:rsidP="00E51131">
      <w:pPr>
        <w:tabs>
          <w:tab w:val="left" w:pos="2910"/>
        </w:tabs>
      </w:pPr>
    </w:p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Default="00E51131" w:rsidP="00E51131"/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  <w:r w:rsidRPr="00F934A2">
        <w:rPr>
          <w:rFonts w:cstheme="minorHAnsi"/>
          <w:b/>
          <w:color w:val="000000"/>
          <w:szCs w:val="20"/>
        </w:rPr>
        <w:t>Supplementary</w:t>
      </w:r>
      <w:r w:rsidRPr="00F934A2">
        <w:rPr>
          <w:rFonts w:cstheme="minorHAnsi"/>
          <w:b/>
          <w:szCs w:val="20"/>
        </w:rPr>
        <w:t xml:space="preserve"> Figure (</w:t>
      </w:r>
      <w:r>
        <w:rPr>
          <w:rFonts w:cstheme="minorHAnsi"/>
          <w:b/>
          <w:szCs w:val="20"/>
        </w:rPr>
        <w:t>2</w:t>
      </w:r>
      <w:r w:rsidRPr="00F934A2">
        <w:rPr>
          <w:rFonts w:cstheme="minorHAnsi"/>
          <w:b/>
          <w:szCs w:val="20"/>
        </w:rPr>
        <w:t xml:space="preserve">) </w:t>
      </w:r>
      <w:r w:rsidRPr="00F934A2">
        <w:rPr>
          <w:rFonts w:eastAsiaTheme="minorEastAsia" w:cstheme="minorHAnsi"/>
          <w:color w:val="000000" w:themeColor="text1"/>
          <w:kern w:val="24"/>
          <w:szCs w:val="20"/>
        </w:rPr>
        <w:t>Kaplan–Meier survival plots show</w:t>
      </w:r>
      <w:r>
        <w:rPr>
          <w:rFonts w:eastAsiaTheme="minorEastAsia" w:cstheme="minorHAnsi"/>
          <w:color w:val="000000" w:themeColor="text1"/>
          <w:kern w:val="24"/>
          <w:szCs w:val="20"/>
        </w:rPr>
        <w:t xml:space="preserve">ing the association between </w:t>
      </w:r>
      <w:proofErr w:type="spellStart"/>
      <w:r>
        <w:rPr>
          <w:rFonts w:eastAsiaTheme="minorEastAsia" w:cstheme="minorHAnsi"/>
          <w:color w:val="000000" w:themeColor="text1"/>
          <w:kern w:val="24"/>
          <w:szCs w:val="20"/>
        </w:rPr>
        <w:t>MX1</w:t>
      </w:r>
      <w:proofErr w:type="spellEnd"/>
      <w:r w:rsidRPr="00F934A2">
        <w:rPr>
          <w:rFonts w:cstheme="minorHAnsi"/>
          <w:b/>
          <w:bCs/>
          <w:szCs w:val="20"/>
        </w:rPr>
        <w:t xml:space="preserve"> </w:t>
      </w:r>
      <w:r>
        <w:rPr>
          <w:rFonts w:cstheme="minorHAnsi"/>
          <w:szCs w:val="20"/>
          <w:lang w:eastAsia="en-GB"/>
        </w:rPr>
        <w:t>RNA-</w:t>
      </w:r>
      <w:proofErr w:type="spellStart"/>
      <w:r>
        <w:rPr>
          <w:rFonts w:cstheme="minorHAnsi"/>
          <w:szCs w:val="20"/>
          <w:lang w:eastAsia="en-GB"/>
        </w:rPr>
        <w:t>seq</w:t>
      </w:r>
      <w:proofErr w:type="spellEnd"/>
      <w:r w:rsidRPr="00F934A2">
        <w:rPr>
          <w:rFonts w:cstheme="minorHAnsi"/>
          <w:szCs w:val="20"/>
          <w:lang w:eastAsia="en-GB"/>
        </w:rPr>
        <w:t xml:space="preserve"> </w:t>
      </w:r>
      <w:r>
        <w:rPr>
          <w:rFonts w:cstheme="minorHAnsi"/>
          <w:szCs w:val="20"/>
          <w:lang w:eastAsia="en-GB"/>
        </w:rPr>
        <w:t xml:space="preserve">data </w:t>
      </w:r>
      <w:r w:rsidRPr="00F934A2">
        <w:rPr>
          <w:rFonts w:cstheme="minorHAnsi"/>
          <w:szCs w:val="20"/>
          <w:lang w:eastAsia="en-GB"/>
        </w:rPr>
        <w:t xml:space="preserve">and patients’ outcome in publicly available dataset </w:t>
      </w:r>
      <w:r>
        <w:rPr>
          <w:rFonts w:eastAsiaTheme="minorEastAsia" w:cstheme="minorHAnsi"/>
          <w:color w:val="000000" w:themeColor="text1"/>
          <w:kern w:val="24"/>
          <w:szCs w:val="20"/>
        </w:rPr>
        <w:t>TCGA</w:t>
      </w:r>
      <w:r>
        <w:t xml:space="preserve"> (n=1034</w:t>
      </w:r>
      <w:r w:rsidRPr="00F934A2">
        <w:rPr>
          <w:rFonts w:cstheme="minorHAnsi"/>
          <w:szCs w:val="20"/>
          <w:lang w:eastAsia="en-GB"/>
        </w:rPr>
        <w:t>) Breast Cancer Gene-Expressio</w:t>
      </w:r>
      <w:r>
        <w:rPr>
          <w:rFonts w:cstheme="minorHAnsi"/>
          <w:szCs w:val="20"/>
          <w:lang w:eastAsia="en-GB"/>
        </w:rPr>
        <w:t xml:space="preserve">n Miner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>
        <w:rPr>
          <w:rFonts w:cstheme="minorHAnsi"/>
          <w:szCs w:val="20"/>
          <w:lang w:eastAsia="en-GB"/>
        </w:rPr>
        <w:t xml:space="preserve"> (</w:t>
      </w:r>
      <w:proofErr w:type="spellStart"/>
      <w:r>
        <w:rPr>
          <w:rFonts w:cstheme="minorHAnsi"/>
          <w:szCs w:val="20"/>
          <w:lang w:eastAsia="en-GB"/>
        </w:rPr>
        <w:t>bc-GenExMiner</w:t>
      </w:r>
      <w:proofErr w:type="spellEnd"/>
      <w:r>
        <w:rPr>
          <w:rFonts w:cstheme="minorHAnsi"/>
          <w:szCs w:val="20"/>
          <w:lang w:eastAsia="en-GB"/>
        </w:rPr>
        <w:t xml:space="preserve">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 w:rsidRPr="00F934A2">
        <w:rPr>
          <w:rFonts w:cstheme="minorHAnsi"/>
          <w:szCs w:val="20"/>
          <w:lang w:eastAsia="en-GB"/>
        </w:rPr>
        <w:t>)</w:t>
      </w: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3360" behindDoc="1" locked="0" layoutInCell="1" allowOverlap="1" wp14:anchorId="5228613D" wp14:editId="72273454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Pr="00F934A2" w:rsidRDefault="00E51131" w:rsidP="00E51131">
      <w:pPr>
        <w:spacing w:after="0" w:line="276" w:lineRule="auto"/>
        <w:contextualSpacing/>
        <w:jc w:val="both"/>
        <w:rPr>
          <w:rFonts w:cstheme="minorHAnsi"/>
          <w:b/>
          <w:szCs w:val="20"/>
        </w:rPr>
      </w:pPr>
    </w:p>
    <w:p w:rsidR="00205720" w:rsidRDefault="00A95D19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Pr="00F934A2" w:rsidRDefault="00E51131" w:rsidP="00E51131">
      <w:pPr>
        <w:spacing w:after="0" w:line="276" w:lineRule="auto"/>
        <w:contextualSpacing/>
        <w:jc w:val="both"/>
        <w:rPr>
          <w:rFonts w:cstheme="minorHAnsi"/>
          <w:b/>
          <w:szCs w:val="20"/>
        </w:rPr>
      </w:pPr>
      <w:r w:rsidRPr="00F934A2">
        <w:rPr>
          <w:rFonts w:cstheme="minorHAnsi"/>
          <w:b/>
          <w:color w:val="000000"/>
          <w:szCs w:val="20"/>
        </w:rPr>
        <w:t>Supplementary</w:t>
      </w:r>
      <w:r w:rsidRPr="00F934A2">
        <w:rPr>
          <w:rFonts w:cstheme="minorHAnsi"/>
          <w:b/>
          <w:szCs w:val="20"/>
        </w:rPr>
        <w:t xml:space="preserve"> Figure (</w:t>
      </w:r>
      <w:r>
        <w:rPr>
          <w:rFonts w:cstheme="minorHAnsi"/>
          <w:b/>
          <w:szCs w:val="20"/>
        </w:rPr>
        <w:t>3</w:t>
      </w:r>
      <w:r w:rsidRPr="00F934A2">
        <w:rPr>
          <w:rFonts w:cstheme="minorHAnsi"/>
          <w:b/>
          <w:szCs w:val="20"/>
        </w:rPr>
        <w:t xml:space="preserve">) </w:t>
      </w:r>
      <w:r w:rsidRPr="00F934A2">
        <w:rPr>
          <w:rFonts w:eastAsiaTheme="minorEastAsia" w:cstheme="minorHAnsi"/>
          <w:color w:val="000000" w:themeColor="text1"/>
          <w:kern w:val="24"/>
          <w:szCs w:val="20"/>
        </w:rPr>
        <w:t>Kaplan–Meier survival plots show</w:t>
      </w:r>
      <w:r>
        <w:rPr>
          <w:rFonts w:eastAsiaTheme="minorEastAsia" w:cstheme="minorHAnsi"/>
          <w:color w:val="000000" w:themeColor="text1"/>
          <w:kern w:val="24"/>
          <w:szCs w:val="20"/>
        </w:rPr>
        <w:t>ing the association between MX1</w:t>
      </w:r>
      <w:r w:rsidRPr="00F934A2">
        <w:rPr>
          <w:rFonts w:cstheme="minorHAnsi"/>
          <w:b/>
          <w:bCs/>
          <w:szCs w:val="20"/>
        </w:rPr>
        <w:t xml:space="preserve"> </w:t>
      </w:r>
      <w:r>
        <w:rPr>
          <w:rFonts w:cstheme="minorHAnsi"/>
          <w:szCs w:val="20"/>
          <w:lang w:eastAsia="en-GB"/>
        </w:rPr>
        <w:t>DNA microarray</w:t>
      </w:r>
      <w:r w:rsidRPr="00F934A2">
        <w:rPr>
          <w:rFonts w:cstheme="minorHAnsi"/>
          <w:szCs w:val="20"/>
          <w:lang w:eastAsia="en-GB"/>
        </w:rPr>
        <w:t xml:space="preserve"> </w:t>
      </w:r>
      <w:r>
        <w:rPr>
          <w:rFonts w:cstheme="minorHAnsi"/>
          <w:szCs w:val="20"/>
          <w:lang w:eastAsia="en-GB"/>
        </w:rPr>
        <w:t xml:space="preserve">data </w:t>
      </w:r>
      <w:r w:rsidRPr="00F934A2">
        <w:rPr>
          <w:rFonts w:cstheme="minorHAnsi"/>
          <w:szCs w:val="20"/>
          <w:lang w:eastAsia="en-GB"/>
        </w:rPr>
        <w:t xml:space="preserve">and patients’ outcome in publicly available datasets </w:t>
      </w:r>
      <w:proofErr w:type="spellStart"/>
      <w:r>
        <w:rPr>
          <w:rFonts w:eastAsiaTheme="minorEastAsia" w:cstheme="minorHAnsi"/>
          <w:color w:val="000000" w:themeColor="text1"/>
          <w:kern w:val="24"/>
          <w:szCs w:val="20"/>
        </w:rPr>
        <w:t>Affymetrix</w:t>
      </w:r>
      <w:proofErr w:type="spellEnd"/>
      <w:r w:rsidRPr="00F934A2">
        <w:rPr>
          <w:rFonts w:cstheme="minorHAnsi"/>
          <w:szCs w:val="20"/>
          <w:lang w:eastAsia="en-GB"/>
        </w:rPr>
        <w:t xml:space="preserve"> (</w:t>
      </w:r>
      <w:r>
        <w:t>n= 4904</w:t>
      </w:r>
      <w:r w:rsidRPr="00F934A2">
        <w:rPr>
          <w:rFonts w:cstheme="minorHAnsi"/>
          <w:szCs w:val="20"/>
          <w:lang w:eastAsia="en-GB"/>
        </w:rPr>
        <w:t>) Breast Cancer Gene-Expressio</w:t>
      </w:r>
      <w:r>
        <w:rPr>
          <w:rFonts w:cstheme="minorHAnsi"/>
          <w:szCs w:val="20"/>
          <w:lang w:eastAsia="en-GB"/>
        </w:rPr>
        <w:t xml:space="preserve">n Miner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>
        <w:rPr>
          <w:rFonts w:cstheme="minorHAnsi"/>
          <w:szCs w:val="20"/>
          <w:lang w:eastAsia="en-GB"/>
        </w:rPr>
        <w:t xml:space="preserve"> (</w:t>
      </w:r>
      <w:proofErr w:type="spellStart"/>
      <w:r>
        <w:rPr>
          <w:rFonts w:cstheme="minorHAnsi"/>
          <w:szCs w:val="20"/>
          <w:lang w:eastAsia="en-GB"/>
        </w:rPr>
        <w:t>bc-GenExMiner</w:t>
      </w:r>
      <w:proofErr w:type="spellEnd"/>
      <w:r>
        <w:rPr>
          <w:rFonts w:cstheme="minorHAnsi"/>
          <w:szCs w:val="20"/>
          <w:lang w:eastAsia="en-GB"/>
        </w:rPr>
        <w:t xml:space="preserve">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 w:rsidRPr="00F934A2">
        <w:rPr>
          <w:rFonts w:cstheme="minorHAnsi"/>
          <w:szCs w:val="20"/>
          <w:lang w:eastAsia="en-GB"/>
        </w:rPr>
        <w:t>)</w:t>
      </w: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  <w:r>
        <w:rPr>
          <w:noProof/>
          <w:lang w:val="en-IN" w:eastAsia="en-IN"/>
        </w:rPr>
        <w:drawing>
          <wp:anchor distT="0" distB="0" distL="114300" distR="114300" simplePos="0" relativeHeight="251665408" behindDoc="1" locked="0" layoutInCell="1" allowOverlap="1" wp14:anchorId="229F58F2" wp14:editId="56240C50">
            <wp:simplePos x="0" y="0"/>
            <wp:positionH relativeFrom="column">
              <wp:posOffset>771525</wp:posOffset>
            </wp:positionH>
            <wp:positionV relativeFrom="paragraph">
              <wp:posOffset>9525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Default="00E51131" w:rsidP="00E51131">
      <w:pPr>
        <w:tabs>
          <w:tab w:val="left" w:pos="930"/>
        </w:tabs>
      </w:pPr>
    </w:p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  <w:r w:rsidRPr="00F934A2">
        <w:rPr>
          <w:rFonts w:cstheme="minorHAnsi"/>
          <w:b/>
          <w:color w:val="000000"/>
          <w:szCs w:val="20"/>
        </w:rPr>
        <w:t>Supplementary</w:t>
      </w:r>
      <w:r w:rsidRPr="00F934A2">
        <w:rPr>
          <w:rFonts w:cstheme="minorHAnsi"/>
          <w:b/>
          <w:szCs w:val="20"/>
        </w:rPr>
        <w:t xml:space="preserve"> Figure (</w:t>
      </w:r>
      <w:r>
        <w:rPr>
          <w:rFonts w:cstheme="minorHAnsi"/>
          <w:b/>
          <w:szCs w:val="20"/>
        </w:rPr>
        <w:t>4</w:t>
      </w:r>
      <w:r w:rsidRPr="00F934A2">
        <w:rPr>
          <w:rFonts w:cstheme="minorHAnsi"/>
          <w:b/>
          <w:szCs w:val="20"/>
        </w:rPr>
        <w:t xml:space="preserve">) </w:t>
      </w:r>
      <w:r w:rsidRPr="00F934A2">
        <w:rPr>
          <w:rFonts w:eastAsiaTheme="minorEastAsia" w:cstheme="minorHAnsi"/>
          <w:color w:val="000000" w:themeColor="text1"/>
          <w:kern w:val="24"/>
          <w:szCs w:val="20"/>
        </w:rPr>
        <w:t>Kaplan–Meier survival plots show</w:t>
      </w:r>
      <w:r>
        <w:rPr>
          <w:rFonts w:eastAsiaTheme="minorEastAsia" w:cstheme="minorHAnsi"/>
          <w:color w:val="000000" w:themeColor="text1"/>
          <w:kern w:val="24"/>
          <w:szCs w:val="20"/>
        </w:rPr>
        <w:t>ing the association between all MX1</w:t>
      </w:r>
      <w:r w:rsidRPr="00F934A2">
        <w:rPr>
          <w:rFonts w:cstheme="minorHAnsi"/>
          <w:b/>
          <w:bCs/>
          <w:szCs w:val="20"/>
        </w:rPr>
        <w:t xml:space="preserve"> </w:t>
      </w:r>
      <w:r>
        <w:rPr>
          <w:rFonts w:cstheme="minorHAnsi"/>
          <w:szCs w:val="20"/>
          <w:lang w:eastAsia="en-GB"/>
        </w:rPr>
        <w:t>DNA microarray</w:t>
      </w:r>
      <w:r w:rsidRPr="00F934A2">
        <w:rPr>
          <w:rFonts w:cstheme="minorHAnsi"/>
          <w:szCs w:val="20"/>
          <w:lang w:eastAsia="en-GB"/>
        </w:rPr>
        <w:t xml:space="preserve"> </w:t>
      </w:r>
      <w:r>
        <w:rPr>
          <w:rFonts w:cstheme="minorHAnsi"/>
          <w:szCs w:val="20"/>
          <w:lang w:eastAsia="en-GB"/>
        </w:rPr>
        <w:t xml:space="preserve">data </w:t>
      </w:r>
      <w:r w:rsidRPr="00F934A2">
        <w:rPr>
          <w:rFonts w:cstheme="minorHAnsi"/>
          <w:szCs w:val="20"/>
          <w:lang w:eastAsia="en-GB"/>
        </w:rPr>
        <w:t>and patients’ outcome in publicly available datasets (</w:t>
      </w:r>
      <w:r>
        <w:t>n= 10001</w:t>
      </w:r>
      <w:r w:rsidRPr="00F934A2">
        <w:rPr>
          <w:rFonts w:cstheme="minorHAnsi"/>
          <w:szCs w:val="20"/>
          <w:lang w:eastAsia="en-GB"/>
        </w:rPr>
        <w:t>) Breast Cancer Gene-Expressio</w:t>
      </w:r>
      <w:r>
        <w:rPr>
          <w:rFonts w:cstheme="minorHAnsi"/>
          <w:szCs w:val="20"/>
          <w:lang w:eastAsia="en-GB"/>
        </w:rPr>
        <w:t xml:space="preserve">n Miner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>
        <w:rPr>
          <w:rFonts w:cstheme="minorHAnsi"/>
          <w:szCs w:val="20"/>
          <w:lang w:eastAsia="en-GB"/>
        </w:rPr>
        <w:t xml:space="preserve"> (</w:t>
      </w:r>
      <w:proofErr w:type="spellStart"/>
      <w:r>
        <w:rPr>
          <w:rFonts w:cstheme="minorHAnsi"/>
          <w:szCs w:val="20"/>
          <w:lang w:eastAsia="en-GB"/>
        </w:rPr>
        <w:t>bc-GenExMiner</w:t>
      </w:r>
      <w:proofErr w:type="spellEnd"/>
      <w:r>
        <w:rPr>
          <w:rFonts w:cstheme="minorHAnsi"/>
          <w:szCs w:val="20"/>
          <w:lang w:eastAsia="en-GB"/>
        </w:rPr>
        <w:t xml:space="preserve">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 w:rsidRPr="00F934A2">
        <w:rPr>
          <w:rFonts w:cstheme="minorHAnsi"/>
          <w:szCs w:val="20"/>
          <w:lang w:eastAsia="en-GB"/>
        </w:rPr>
        <w:t>)</w:t>
      </w: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Pr="00F934A2" w:rsidRDefault="00E51131" w:rsidP="00E51131">
      <w:pPr>
        <w:spacing w:after="0" w:line="276" w:lineRule="auto"/>
        <w:contextualSpacing/>
        <w:jc w:val="both"/>
        <w:rPr>
          <w:rFonts w:cstheme="minorHAnsi"/>
          <w:b/>
          <w:szCs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7456" behindDoc="1" locked="0" layoutInCell="1" allowOverlap="1" wp14:anchorId="141244C8" wp14:editId="1BE57078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tabs>
          <w:tab w:val="left" w:pos="2040"/>
        </w:tabs>
      </w:pPr>
    </w:p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Default="00E51131" w:rsidP="00E51131"/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  <w:r w:rsidRPr="00F934A2">
        <w:rPr>
          <w:rFonts w:cstheme="minorHAnsi"/>
          <w:b/>
          <w:color w:val="000000"/>
          <w:szCs w:val="20"/>
        </w:rPr>
        <w:t>Supplementary</w:t>
      </w:r>
      <w:r w:rsidRPr="00F934A2">
        <w:rPr>
          <w:rFonts w:cstheme="minorHAnsi"/>
          <w:b/>
          <w:szCs w:val="20"/>
        </w:rPr>
        <w:t xml:space="preserve"> Figure (</w:t>
      </w:r>
      <w:r>
        <w:rPr>
          <w:rFonts w:cstheme="minorHAnsi"/>
          <w:b/>
          <w:szCs w:val="20"/>
        </w:rPr>
        <w:t>5</w:t>
      </w:r>
      <w:r w:rsidRPr="00F934A2">
        <w:rPr>
          <w:rFonts w:cstheme="minorHAnsi"/>
          <w:b/>
          <w:szCs w:val="20"/>
        </w:rPr>
        <w:t xml:space="preserve">) </w:t>
      </w:r>
      <w:r w:rsidRPr="00F934A2">
        <w:rPr>
          <w:rFonts w:eastAsiaTheme="minorEastAsia" w:cstheme="minorHAnsi"/>
          <w:color w:val="000000" w:themeColor="text1"/>
          <w:kern w:val="24"/>
          <w:szCs w:val="20"/>
        </w:rPr>
        <w:t>Kaplan–Meier survival plots show</w:t>
      </w:r>
      <w:r>
        <w:rPr>
          <w:rFonts w:eastAsiaTheme="minorEastAsia" w:cstheme="minorHAnsi"/>
          <w:color w:val="000000" w:themeColor="text1"/>
          <w:kern w:val="24"/>
          <w:szCs w:val="20"/>
        </w:rPr>
        <w:t xml:space="preserve">ing the association between </w:t>
      </w:r>
      <w:proofErr w:type="spellStart"/>
      <w:r>
        <w:rPr>
          <w:rFonts w:eastAsiaTheme="minorEastAsia" w:cstheme="minorHAnsi"/>
          <w:color w:val="000000" w:themeColor="text1"/>
          <w:kern w:val="24"/>
          <w:szCs w:val="20"/>
        </w:rPr>
        <w:t>MX1</w:t>
      </w:r>
      <w:proofErr w:type="spellEnd"/>
      <w:r w:rsidRPr="00F934A2">
        <w:rPr>
          <w:rFonts w:cstheme="minorHAnsi"/>
          <w:b/>
          <w:bCs/>
          <w:szCs w:val="20"/>
        </w:rPr>
        <w:t xml:space="preserve"> </w:t>
      </w:r>
      <w:r>
        <w:rPr>
          <w:rFonts w:cstheme="minorHAnsi"/>
          <w:szCs w:val="20"/>
          <w:lang w:eastAsia="en-GB"/>
        </w:rPr>
        <w:t>RNA-</w:t>
      </w:r>
      <w:proofErr w:type="spellStart"/>
      <w:r>
        <w:rPr>
          <w:rFonts w:cstheme="minorHAnsi"/>
          <w:szCs w:val="20"/>
          <w:lang w:eastAsia="en-GB"/>
        </w:rPr>
        <w:t>seq</w:t>
      </w:r>
      <w:proofErr w:type="spellEnd"/>
      <w:r w:rsidRPr="00F934A2">
        <w:rPr>
          <w:rFonts w:cstheme="minorHAnsi"/>
          <w:szCs w:val="20"/>
          <w:lang w:eastAsia="en-GB"/>
        </w:rPr>
        <w:t xml:space="preserve"> </w:t>
      </w:r>
      <w:r>
        <w:rPr>
          <w:rFonts w:cstheme="minorHAnsi"/>
          <w:szCs w:val="20"/>
          <w:lang w:eastAsia="en-GB"/>
        </w:rPr>
        <w:t xml:space="preserve">data </w:t>
      </w:r>
      <w:r w:rsidRPr="00F934A2">
        <w:rPr>
          <w:rFonts w:cstheme="minorHAnsi"/>
          <w:szCs w:val="20"/>
          <w:lang w:eastAsia="en-GB"/>
        </w:rPr>
        <w:t xml:space="preserve">and patients’ outcome in publicly available dataset </w:t>
      </w:r>
      <w:r>
        <w:rPr>
          <w:rFonts w:eastAsiaTheme="minorEastAsia" w:cstheme="minorHAnsi"/>
          <w:color w:val="000000" w:themeColor="text1"/>
          <w:kern w:val="24"/>
          <w:szCs w:val="20"/>
        </w:rPr>
        <w:t>GSE81540</w:t>
      </w:r>
      <w:r>
        <w:t xml:space="preserve"> (n=3678</w:t>
      </w:r>
      <w:r w:rsidRPr="00F934A2">
        <w:rPr>
          <w:rFonts w:cstheme="minorHAnsi"/>
          <w:szCs w:val="20"/>
          <w:lang w:eastAsia="en-GB"/>
        </w:rPr>
        <w:t>) Breast Cancer Gene-Expressio</w:t>
      </w:r>
      <w:r>
        <w:rPr>
          <w:rFonts w:cstheme="minorHAnsi"/>
          <w:szCs w:val="20"/>
          <w:lang w:eastAsia="en-GB"/>
        </w:rPr>
        <w:t xml:space="preserve">n Miner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>
        <w:rPr>
          <w:rFonts w:cstheme="minorHAnsi"/>
          <w:szCs w:val="20"/>
          <w:lang w:eastAsia="en-GB"/>
        </w:rPr>
        <w:t xml:space="preserve"> (</w:t>
      </w:r>
      <w:proofErr w:type="spellStart"/>
      <w:r>
        <w:rPr>
          <w:rFonts w:cstheme="minorHAnsi"/>
          <w:szCs w:val="20"/>
          <w:lang w:eastAsia="en-GB"/>
        </w:rPr>
        <w:t>bc-GenExMiner</w:t>
      </w:r>
      <w:proofErr w:type="spellEnd"/>
      <w:r>
        <w:rPr>
          <w:rFonts w:cstheme="minorHAnsi"/>
          <w:szCs w:val="20"/>
          <w:lang w:eastAsia="en-GB"/>
        </w:rPr>
        <w:t xml:space="preserve">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 w:rsidRPr="00F934A2">
        <w:rPr>
          <w:rFonts w:cstheme="minorHAnsi"/>
          <w:szCs w:val="20"/>
          <w:lang w:eastAsia="en-GB"/>
        </w:rPr>
        <w:t>)</w:t>
      </w: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Default="00E51131" w:rsidP="00E51131">
      <w:pPr>
        <w:spacing w:after="0" w:line="276" w:lineRule="auto"/>
        <w:contextualSpacing/>
        <w:jc w:val="both"/>
        <w:rPr>
          <w:rFonts w:cstheme="minorHAnsi"/>
          <w:szCs w:val="20"/>
          <w:lang w:eastAsia="en-GB"/>
        </w:rPr>
      </w:pPr>
    </w:p>
    <w:p w:rsidR="00E51131" w:rsidRPr="00F934A2" w:rsidRDefault="00E51131" w:rsidP="00E51131">
      <w:pPr>
        <w:spacing w:after="0" w:line="276" w:lineRule="auto"/>
        <w:contextualSpacing/>
        <w:jc w:val="both"/>
        <w:rPr>
          <w:rFonts w:cstheme="minorHAnsi"/>
          <w:b/>
          <w:szCs w:val="20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9504" behindDoc="1" locked="0" layoutInCell="1" allowOverlap="1" wp14:anchorId="545494EA" wp14:editId="4BE1CA1F">
            <wp:simplePos x="0" y="0"/>
            <wp:positionH relativeFrom="column">
              <wp:posOffset>533400</wp:posOffset>
            </wp:positionH>
            <wp:positionV relativeFrom="paragraph">
              <wp:posOffset>180975</wp:posOffset>
            </wp:positionV>
            <wp:extent cx="45720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10" y="21510"/>
                <wp:lineTo x="2151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131" w:rsidRDefault="00E51131" w:rsidP="00E51131">
      <w:pPr>
        <w:tabs>
          <w:tab w:val="left" w:pos="2190"/>
        </w:tabs>
      </w:pPr>
    </w:p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>
      <w:bookmarkStart w:id="0" w:name="_GoBack"/>
      <w:bookmarkEnd w:id="0"/>
    </w:p>
    <w:p w:rsidR="00E51131" w:rsidRPr="00E51131" w:rsidRDefault="00E51131" w:rsidP="00E51131"/>
    <w:p w:rsidR="00E51131" w:rsidRPr="00E51131" w:rsidRDefault="00E51131" w:rsidP="00E51131"/>
    <w:p w:rsidR="00E51131" w:rsidRPr="00E51131" w:rsidRDefault="00E51131" w:rsidP="00E51131"/>
    <w:p w:rsidR="00E51131" w:rsidRDefault="00E51131" w:rsidP="00E51131"/>
    <w:p w:rsidR="00E51131" w:rsidRPr="00F934A2" w:rsidRDefault="00E51131" w:rsidP="00E51131">
      <w:pPr>
        <w:spacing w:after="0" w:line="276" w:lineRule="auto"/>
        <w:contextualSpacing/>
        <w:jc w:val="both"/>
        <w:rPr>
          <w:rFonts w:cstheme="minorHAnsi"/>
          <w:b/>
          <w:szCs w:val="20"/>
        </w:rPr>
      </w:pPr>
      <w:r w:rsidRPr="00F934A2">
        <w:rPr>
          <w:rFonts w:cstheme="minorHAnsi"/>
          <w:b/>
          <w:color w:val="000000"/>
          <w:szCs w:val="20"/>
        </w:rPr>
        <w:t>Supplementary</w:t>
      </w:r>
      <w:r w:rsidRPr="00F934A2">
        <w:rPr>
          <w:rFonts w:cstheme="minorHAnsi"/>
          <w:b/>
          <w:szCs w:val="20"/>
        </w:rPr>
        <w:t xml:space="preserve"> Figure (</w:t>
      </w:r>
      <w:r>
        <w:rPr>
          <w:rFonts w:cstheme="minorHAnsi"/>
          <w:b/>
          <w:szCs w:val="20"/>
        </w:rPr>
        <w:t>6</w:t>
      </w:r>
      <w:r w:rsidRPr="00F934A2">
        <w:rPr>
          <w:rFonts w:cstheme="minorHAnsi"/>
          <w:b/>
          <w:szCs w:val="20"/>
        </w:rPr>
        <w:t xml:space="preserve">) </w:t>
      </w:r>
      <w:r w:rsidRPr="00F934A2">
        <w:rPr>
          <w:rFonts w:eastAsiaTheme="minorEastAsia" w:cstheme="minorHAnsi"/>
          <w:color w:val="000000" w:themeColor="text1"/>
          <w:kern w:val="24"/>
          <w:szCs w:val="20"/>
        </w:rPr>
        <w:t>Kaplan–Meier survival plots show</w:t>
      </w:r>
      <w:r>
        <w:rPr>
          <w:rFonts w:eastAsiaTheme="minorEastAsia" w:cstheme="minorHAnsi"/>
          <w:color w:val="000000" w:themeColor="text1"/>
          <w:kern w:val="24"/>
          <w:szCs w:val="20"/>
        </w:rPr>
        <w:t xml:space="preserve">ing the association between all </w:t>
      </w:r>
      <w:proofErr w:type="spellStart"/>
      <w:r>
        <w:rPr>
          <w:rFonts w:eastAsiaTheme="minorEastAsia" w:cstheme="minorHAnsi"/>
          <w:color w:val="000000" w:themeColor="text1"/>
          <w:kern w:val="24"/>
          <w:szCs w:val="20"/>
        </w:rPr>
        <w:t>MX1</w:t>
      </w:r>
      <w:proofErr w:type="spellEnd"/>
      <w:r w:rsidRPr="00F934A2">
        <w:rPr>
          <w:rFonts w:cstheme="minorHAnsi"/>
          <w:b/>
          <w:bCs/>
          <w:szCs w:val="20"/>
        </w:rPr>
        <w:t xml:space="preserve"> </w:t>
      </w:r>
      <w:r>
        <w:rPr>
          <w:rFonts w:cstheme="minorHAnsi"/>
          <w:szCs w:val="20"/>
          <w:lang w:eastAsia="en-GB"/>
        </w:rPr>
        <w:t>RNA-</w:t>
      </w:r>
      <w:proofErr w:type="spellStart"/>
      <w:r>
        <w:rPr>
          <w:rFonts w:cstheme="minorHAnsi"/>
          <w:szCs w:val="20"/>
          <w:lang w:eastAsia="en-GB"/>
        </w:rPr>
        <w:t>seq</w:t>
      </w:r>
      <w:proofErr w:type="spellEnd"/>
      <w:r w:rsidRPr="00F934A2">
        <w:rPr>
          <w:rFonts w:cstheme="minorHAnsi"/>
          <w:szCs w:val="20"/>
          <w:lang w:eastAsia="en-GB"/>
        </w:rPr>
        <w:t xml:space="preserve"> </w:t>
      </w:r>
      <w:r>
        <w:rPr>
          <w:rFonts w:cstheme="minorHAnsi"/>
          <w:szCs w:val="20"/>
          <w:lang w:eastAsia="en-GB"/>
        </w:rPr>
        <w:t xml:space="preserve">data </w:t>
      </w:r>
      <w:r w:rsidRPr="00F934A2">
        <w:rPr>
          <w:rFonts w:cstheme="minorHAnsi"/>
          <w:szCs w:val="20"/>
          <w:lang w:eastAsia="en-GB"/>
        </w:rPr>
        <w:t xml:space="preserve">and patients’ outcome in publicly available datasets </w:t>
      </w:r>
      <w:r>
        <w:t>(n= 4712</w:t>
      </w:r>
      <w:r w:rsidRPr="00F934A2">
        <w:rPr>
          <w:rFonts w:cstheme="minorHAnsi"/>
          <w:szCs w:val="20"/>
          <w:lang w:eastAsia="en-GB"/>
        </w:rPr>
        <w:t>) Breast Cancer Gene-Expressio</w:t>
      </w:r>
      <w:r>
        <w:rPr>
          <w:rFonts w:cstheme="minorHAnsi"/>
          <w:szCs w:val="20"/>
          <w:lang w:eastAsia="en-GB"/>
        </w:rPr>
        <w:t xml:space="preserve">n Miner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>
        <w:rPr>
          <w:rFonts w:cstheme="minorHAnsi"/>
          <w:szCs w:val="20"/>
          <w:lang w:eastAsia="en-GB"/>
        </w:rPr>
        <w:t xml:space="preserve"> (</w:t>
      </w:r>
      <w:proofErr w:type="spellStart"/>
      <w:r>
        <w:rPr>
          <w:rFonts w:cstheme="minorHAnsi"/>
          <w:szCs w:val="20"/>
          <w:lang w:eastAsia="en-GB"/>
        </w:rPr>
        <w:t>bc-GenExMiner</w:t>
      </w:r>
      <w:proofErr w:type="spellEnd"/>
      <w:r>
        <w:rPr>
          <w:rFonts w:cstheme="minorHAnsi"/>
          <w:szCs w:val="20"/>
          <w:lang w:eastAsia="en-GB"/>
        </w:rPr>
        <w:t xml:space="preserve"> </w:t>
      </w:r>
      <w:proofErr w:type="spellStart"/>
      <w:r>
        <w:rPr>
          <w:rFonts w:cstheme="minorHAnsi"/>
          <w:szCs w:val="20"/>
          <w:lang w:eastAsia="en-GB"/>
        </w:rPr>
        <w:t>v4.4</w:t>
      </w:r>
      <w:proofErr w:type="spellEnd"/>
      <w:r w:rsidRPr="00F934A2">
        <w:rPr>
          <w:rFonts w:cstheme="minorHAnsi"/>
          <w:szCs w:val="20"/>
          <w:lang w:eastAsia="en-GB"/>
        </w:rPr>
        <w:t>)</w:t>
      </w:r>
    </w:p>
    <w:p w:rsidR="00E51131" w:rsidRPr="00E51131" w:rsidRDefault="00E51131" w:rsidP="00E51131">
      <w:pPr>
        <w:tabs>
          <w:tab w:val="left" w:pos="1740"/>
        </w:tabs>
      </w:pPr>
    </w:p>
    <w:sectPr w:rsidR="00E51131" w:rsidRPr="00E51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31"/>
    <w:rsid w:val="00334069"/>
    <w:rsid w:val="003A5207"/>
    <w:rsid w:val="006657B5"/>
    <w:rsid w:val="00705A6A"/>
    <w:rsid w:val="0074105A"/>
    <w:rsid w:val="00863E2F"/>
    <w:rsid w:val="008846D6"/>
    <w:rsid w:val="00B1468E"/>
    <w:rsid w:val="00BA4A05"/>
    <w:rsid w:val="00CB76BB"/>
    <w:rsid w:val="00E51131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B3A96-8D77-4385-B0BE-02177464A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131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D430-8C4F-4342-9E04-B5CDB517D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Abrar Aljohani</dc:creator>
  <cp:keywords/>
  <dc:description/>
  <cp:lastModifiedBy>Karthikeyan N.</cp:lastModifiedBy>
  <cp:revision>2</cp:revision>
  <dcterms:created xsi:type="dcterms:W3CDTF">2020-04-20T06:09:00Z</dcterms:created>
  <dcterms:modified xsi:type="dcterms:W3CDTF">2020-04-20T06:09:00Z</dcterms:modified>
</cp:coreProperties>
</file>