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13FF" w:rsidRPr="00E91E7B" w:rsidRDefault="000113FF" w:rsidP="00E91E7B">
      <w:pPr>
        <w:spacing w:line="480" w:lineRule="auto"/>
        <w:jc w:val="both"/>
        <w:rPr>
          <w:rFonts w:ascii="Times New Roman" w:hAnsi="Times New Roman" w:cs="Times New Roman"/>
          <w:b/>
          <w:u w:val="single"/>
        </w:rPr>
      </w:pPr>
      <w:r w:rsidRPr="00E91E7B">
        <w:rPr>
          <w:rFonts w:ascii="Times New Roman" w:hAnsi="Times New Roman" w:cs="Times New Roman"/>
          <w:b/>
          <w:u w:val="single"/>
        </w:rPr>
        <w:t>Supplemental Material:</w:t>
      </w:r>
    </w:p>
    <w:p w:rsidR="000113FF" w:rsidRDefault="000113FF" w:rsidP="000113FF">
      <w:pPr>
        <w:spacing w:line="480" w:lineRule="auto"/>
        <w:ind w:left="720"/>
        <w:jc w:val="both"/>
        <w:rPr>
          <w:rFonts w:ascii="Times New Roman" w:hAnsi="Times New Roman" w:cs="Times New Roman"/>
        </w:rPr>
      </w:pPr>
      <w:r w:rsidRPr="00E91E7B">
        <w:rPr>
          <w:rFonts w:ascii="Times New Roman" w:hAnsi="Times New Roman" w:cs="Times New Roman"/>
          <w:b/>
        </w:rPr>
        <w:t>Supplemental Table 1</w:t>
      </w:r>
      <w:r>
        <w:rPr>
          <w:rFonts w:ascii="Times New Roman" w:hAnsi="Times New Roman" w:cs="Times New Roman"/>
        </w:rPr>
        <w:t>: Summary of the number of biochemicals that reached statistical significance (p</w:t>
      </w:r>
      <w:r w:rsidRPr="00DF57C0">
        <w:rPr>
          <w:rFonts w:ascii="Times New Roman" w:hAnsi="Times New Roman" w:cs="Times New Roman"/>
          <w:u w:val="single"/>
        </w:rPr>
        <w:t>&lt;</w:t>
      </w:r>
      <w:r>
        <w:rPr>
          <w:rFonts w:ascii="Times New Roman" w:hAnsi="Times New Roman" w:cs="Times New Roman"/>
        </w:rPr>
        <w:t xml:space="preserve">0.05) or those that approached significance </w:t>
      </w:r>
      <w:r>
        <w:rPr>
          <w:rFonts w:ascii="Times New Roman" w:hAnsi="Times New Roman" w:cs="Times New Roman"/>
          <w:bCs/>
        </w:rPr>
        <w:t xml:space="preserve">(0.05&lt;p&lt;0.10) across groups. </w:t>
      </w:r>
    </w:p>
    <w:p w:rsidR="000113FF" w:rsidRDefault="000113FF" w:rsidP="00E91E7B">
      <w:pPr>
        <w:spacing w:line="480" w:lineRule="auto"/>
        <w:ind w:firstLine="720"/>
        <w:jc w:val="both"/>
        <w:rPr>
          <w:rFonts w:ascii="Times New Roman" w:hAnsi="Times New Roman" w:cs="Times New Roman"/>
        </w:rPr>
      </w:pPr>
      <w:r w:rsidRPr="00DF57C0">
        <w:rPr>
          <w:rFonts w:ascii="Times New Roman" w:hAnsi="Times New Roman" w:cs="Times New Roman"/>
          <w:noProof/>
        </w:rPr>
        <w:drawing>
          <wp:inline distT="0" distB="0" distL="0" distR="0" wp14:anchorId="5839F554" wp14:editId="4285733A">
            <wp:extent cx="5029022" cy="2591425"/>
            <wp:effectExtent l="0" t="0" r="635" b="0"/>
            <wp:docPr id="31" name="Picture 3">
              <a:extLst xmlns:a="http://schemas.openxmlformats.org/drawingml/2006/main">
                <a:ext uri="{FF2B5EF4-FFF2-40B4-BE49-F238E27FC236}">
                  <a16:creationId xmlns:a16="http://schemas.microsoft.com/office/drawing/2014/main" id="{9B58B160-0D62-41E7-AF4A-405DC7C769E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9B58B160-0D62-41E7-AF4A-405DC7C769E6}"/>
                        </a:ext>
                      </a:extLst>
                    </pic:cNvPr>
                    <pic:cNvPicPr>
                      <a:picLocks noChangeAspect="1"/>
                    </pic:cNvPicPr>
                  </pic:nvPicPr>
                  <pic:blipFill>
                    <a:blip r:embed="rId4"/>
                    <a:stretch>
                      <a:fillRect/>
                    </a:stretch>
                  </pic:blipFill>
                  <pic:spPr>
                    <a:xfrm>
                      <a:off x="0" y="0"/>
                      <a:ext cx="5029022" cy="2591425"/>
                    </a:xfrm>
                    <a:prstGeom prst="rect">
                      <a:avLst/>
                    </a:prstGeom>
                  </pic:spPr>
                </pic:pic>
              </a:graphicData>
            </a:graphic>
          </wp:inline>
        </w:drawing>
      </w:r>
    </w:p>
    <w:p w:rsidR="000113FF" w:rsidRDefault="000113FF" w:rsidP="000113FF">
      <w:pPr>
        <w:spacing w:line="480" w:lineRule="auto"/>
        <w:jc w:val="both"/>
        <w:rPr>
          <w:rFonts w:ascii="Times New Roman" w:hAnsi="Times New Roman" w:cs="Times New Roman"/>
        </w:rPr>
      </w:pPr>
    </w:p>
    <w:p w:rsidR="000113FF" w:rsidRPr="00E91E7B" w:rsidRDefault="00E91E7B" w:rsidP="000113FF">
      <w:pPr>
        <w:jc w:val="both"/>
        <w:rPr>
          <w:rFonts w:ascii="Times New Roman" w:hAnsi="Times New Roman" w:cs="Times New Roman"/>
          <w:bCs/>
          <w:u w:val="single"/>
        </w:rPr>
      </w:pPr>
      <w:r w:rsidRPr="00E91E7B">
        <w:rPr>
          <w:rFonts w:ascii="Times New Roman" w:hAnsi="Times New Roman" w:cs="Times New Roman"/>
          <w:b/>
          <w:bCs/>
          <w:u w:val="single"/>
        </w:rPr>
        <w:t>Supplemental Figure Legends</w:t>
      </w:r>
      <w:r w:rsidRPr="00E91E7B">
        <w:rPr>
          <w:rFonts w:ascii="Times New Roman" w:hAnsi="Times New Roman" w:cs="Times New Roman"/>
          <w:bCs/>
          <w:u w:val="single"/>
        </w:rPr>
        <w:t>:</w:t>
      </w:r>
    </w:p>
    <w:p w:rsidR="000113FF" w:rsidRDefault="000113FF" w:rsidP="000113FF">
      <w:pPr>
        <w:jc w:val="both"/>
        <w:rPr>
          <w:rFonts w:ascii="Times New Roman" w:hAnsi="Times New Roman" w:cs="Times New Roman"/>
          <w:bCs/>
        </w:rPr>
      </w:pPr>
    </w:p>
    <w:p w:rsidR="000113FF" w:rsidRDefault="000113FF" w:rsidP="000113FF">
      <w:pPr>
        <w:jc w:val="both"/>
        <w:rPr>
          <w:rFonts w:ascii="Times New Roman" w:hAnsi="Times New Roman" w:cs="Times New Roman"/>
          <w:bCs/>
        </w:rPr>
      </w:pPr>
      <w:r>
        <w:rPr>
          <w:rFonts w:ascii="Times New Roman" w:hAnsi="Times New Roman" w:cs="Times New Roman"/>
          <w:bCs/>
        </w:rPr>
        <w:t>Supplemental Figure 1: Changes in fatty acid metabolism with estrogen ablation. (A) Heat map showing effects of estrogens on fatty acid metabolites in mammary glands. (B) Differences in BHBA across groups. (p</w:t>
      </w:r>
      <w:r w:rsidRPr="00451FAF">
        <w:rPr>
          <w:rFonts w:ascii="Times New Roman" w:hAnsi="Times New Roman" w:cs="Times New Roman"/>
          <w:bCs/>
          <w:u w:val="single"/>
        </w:rPr>
        <w:t>&lt;</w:t>
      </w:r>
      <w:r>
        <w:rPr>
          <w:rFonts w:ascii="Times New Roman" w:hAnsi="Times New Roman" w:cs="Times New Roman"/>
          <w:bCs/>
        </w:rPr>
        <w:t>0.05).</w:t>
      </w:r>
    </w:p>
    <w:p w:rsidR="000113FF" w:rsidRDefault="000113FF" w:rsidP="000113FF">
      <w:pPr>
        <w:jc w:val="both"/>
        <w:rPr>
          <w:rFonts w:ascii="Times New Roman" w:hAnsi="Times New Roman" w:cs="Times New Roman"/>
        </w:rPr>
      </w:pPr>
    </w:p>
    <w:p w:rsidR="000113FF" w:rsidRDefault="00E91E7B" w:rsidP="000113FF">
      <w:pPr>
        <w:jc w:val="both"/>
        <w:rPr>
          <w:rFonts w:ascii="Times New Roman" w:hAnsi="Times New Roman" w:cs="Times New Roman"/>
        </w:rPr>
      </w:pPr>
      <w:r w:rsidRPr="00E91E7B">
        <w:rPr>
          <w:rFonts w:ascii="Times New Roman" w:hAnsi="Times New Roman" w:cs="Times New Roman"/>
        </w:rPr>
        <w:t>Supplemental Figure 2: Changes in membrane phospholipid metabolites. (A) Heat map showing differences in phospholipids acros</w:t>
      </w:r>
      <w:bookmarkStart w:id="0" w:name="_GoBack"/>
      <w:bookmarkEnd w:id="0"/>
      <w:r w:rsidRPr="00E91E7B">
        <w:rPr>
          <w:rFonts w:ascii="Times New Roman" w:hAnsi="Times New Roman" w:cs="Times New Roman"/>
        </w:rPr>
        <w:t>s groups. (B) Heat map showing differences in the phosphatidylethanolamine species. (C) Heat map showing changes in phosphatidylcholine species. (D) Heat map showing changes in phosphatidylserine species. (E) Differences in glycophosphoinositol across groups. (F) Differences in choline phosphate across groups. (p&lt;0.05)</w:t>
      </w:r>
    </w:p>
    <w:p w:rsidR="000113FF" w:rsidRDefault="000113FF" w:rsidP="000113FF">
      <w:pPr>
        <w:jc w:val="both"/>
        <w:rPr>
          <w:rFonts w:ascii="Times New Roman" w:hAnsi="Times New Roman" w:cs="Times New Roman"/>
        </w:rPr>
      </w:pPr>
    </w:p>
    <w:p w:rsidR="000113FF" w:rsidRDefault="000113FF" w:rsidP="000113FF">
      <w:pPr>
        <w:jc w:val="both"/>
        <w:rPr>
          <w:rFonts w:ascii="Times New Roman" w:hAnsi="Times New Roman" w:cs="Times New Roman"/>
        </w:rPr>
      </w:pPr>
      <w:r>
        <w:rPr>
          <w:rFonts w:ascii="Times New Roman" w:hAnsi="Times New Roman" w:cs="Times New Roman"/>
        </w:rPr>
        <w:t>Supplemental Figure 3: Changes in cholesterol metabolites. (A) Heat map showing effects of estrogen on cholesterol metabolites in mammary glands. (B) Differences in</w:t>
      </w:r>
      <w:r w:rsidRPr="00451FAF">
        <w:rPr>
          <w:rFonts w:ascii="Arial" w:eastAsiaTheme="minorEastAsia" w:hAnsi="Arial"/>
          <w:color w:val="000000"/>
          <w:kern w:val="24"/>
          <w:sz w:val="16"/>
          <w:szCs w:val="16"/>
        </w:rPr>
        <w:t xml:space="preserve"> </w:t>
      </w:r>
      <w:r w:rsidRPr="00451FAF">
        <w:rPr>
          <w:rFonts w:ascii="Times New Roman" w:hAnsi="Times New Roman" w:cs="Times New Roman"/>
        </w:rPr>
        <w:t>7-alpha-hydroxy-3-oxo-4-cholestenoate</w:t>
      </w:r>
      <w:r>
        <w:rPr>
          <w:rFonts w:ascii="Times New Roman" w:hAnsi="Times New Roman" w:cs="Times New Roman"/>
        </w:rPr>
        <w:t xml:space="preserve"> (7-HOCA) metabolism across groups (p</w:t>
      </w:r>
      <w:r w:rsidRPr="00451FAF">
        <w:rPr>
          <w:rFonts w:ascii="Times New Roman" w:hAnsi="Times New Roman" w:cs="Times New Roman"/>
          <w:u w:val="single"/>
        </w:rPr>
        <w:t>&lt;</w:t>
      </w:r>
      <w:r>
        <w:rPr>
          <w:rFonts w:ascii="Times New Roman" w:hAnsi="Times New Roman" w:cs="Times New Roman"/>
        </w:rPr>
        <w:t>0.05).</w:t>
      </w:r>
    </w:p>
    <w:p w:rsidR="000113FF" w:rsidRDefault="000113FF" w:rsidP="000113FF">
      <w:pPr>
        <w:jc w:val="both"/>
        <w:rPr>
          <w:rFonts w:ascii="Times New Roman" w:hAnsi="Times New Roman" w:cs="Times New Roman"/>
        </w:rPr>
      </w:pPr>
    </w:p>
    <w:p w:rsidR="000113FF" w:rsidRDefault="000113FF" w:rsidP="000113FF">
      <w:pPr>
        <w:jc w:val="both"/>
        <w:rPr>
          <w:rFonts w:ascii="Times New Roman" w:hAnsi="Times New Roman" w:cs="Times New Roman"/>
        </w:rPr>
      </w:pPr>
      <w:r>
        <w:rPr>
          <w:rFonts w:ascii="Times New Roman" w:hAnsi="Times New Roman" w:cs="Times New Roman"/>
        </w:rPr>
        <w:t>Supplemental Figure 4: Principal component analysis segregating mammary gland samples based on estrogen availability status (</w:t>
      </w:r>
      <w:r w:rsidR="00E91E7B">
        <w:rPr>
          <w:rFonts w:ascii="Times New Roman" w:hAnsi="Times New Roman" w:cs="Times New Roman"/>
        </w:rPr>
        <w:t>Ovary-intact (no-OVX) vs Ovariectomized (OVX)) and/or treatment after OVX</w:t>
      </w:r>
      <w:r>
        <w:rPr>
          <w:rFonts w:ascii="Times New Roman" w:hAnsi="Times New Roman" w:cs="Times New Roman"/>
        </w:rPr>
        <w:t xml:space="preserve"> (</w:t>
      </w:r>
      <w:r w:rsidR="00E91E7B">
        <w:rPr>
          <w:rFonts w:ascii="Times New Roman" w:hAnsi="Times New Roman" w:cs="Times New Roman"/>
        </w:rPr>
        <w:t>Untreated</w:t>
      </w:r>
      <w:r>
        <w:rPr>
          <w:rFonts w:ascii="Times New Roman" w:hAnsi="Times New Roman" w:cs="Times New Roman"/>
        </w:rPr>
        <w:t xml:space="preserve">, CEE, or TAM). The samples displayed minimal separation based on both estrogen status and treatment post menopause in the PCA. </w:t>
      </w:r>
    </w:p>
    <w:p w:rsidR="00445D46" w:rsidRDefault="00445D46"/>
    <w:sectPr w:rsidR="00445D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3FF"/>
    <w:rsid w:val="000113FF"/>
    <w:rsid w:val="00445D46"/>
    <w:rsid w:val="00E91E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324EE"/>
  <w15:chartTrackingRefBased/>
  <w15:docId w15:val="{5EC4E383-E7AB-4D9F-9698-0FB96AC43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13FF"/>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221</Words>
  <Characters>1260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WFBH</Company>
  <LinksUpToDate>false</LinksUpToDate>
  <CharactersWithSpaces>1479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Loree Cook, Ph.D.</dc:creator>
  <cp:keywords/>
  <dc:description/>
  <cp:lastModifiedBy>Katherine Loree Cook, Ph.D.</cp:lastModifiedBy>
  <cp:revision>2</cp:revision>
  <dcterms:created xsi:type="dcterms:W3CDTF">2021-07-02T16:46:00Z</dcterms:created>
  <dcterms:modified xsi:type="dcterms:W3CDTF">2021-07-02T16:46:00Z</dcterms:modified>
</cp:coreProperties>
</file>