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E87" w:rsidRPr="00AC2DFC" w:rsidRDefault="008D3E87" w:rsidP="00227A0D">
      <w:pPr>
        <w:rPr>
          <w:b/>
          <w:sz w:val="24"/>
          <w:lang w:val="en-US"/>
        </w:rPr>
      </w:pPr>
      <w:bookmarkStart w:id="0" w:name="_GoBack"/>
      <w:bookmarkEnd w:id="0"/>
      <w:r w:rsidRPr="00AC2DFC">
        <w:rPr>
          <w:b/>
          <w:sz w:val="24"/>
          <w:lang w:val="en-US"/>
        </w:rPr>
        <w:t>Supplementary materials for:</w:t>
      </w:r>
    </w:p>
    <w:p w:rsidR="00227A0D" w:rsidRPr="00AC2DFC" w:rsidRDefault="00227A0D" w:rsidP="00227A0D">
      <w:pPr>
        <w:rPr>
          <w:b/>
          <w:lang w:val="en-US"/>
        </w:rPr>
      </w:pPr>
      <w:r w:rsidRPr="00AC2DFC">
        <w:rPr>
          <w:b/>
          <w:lang w:val="en-US"/>
        </w:rPr>
        <w:t xml:space="preserve">International development of a patient-centered core outcome set for assessing health-related quality of life in metastatic breast cancer patients </w:t>
      </w:r>
    </w:p>
    <w:p w:rsidR="00227A0D" w:rsidRPr="00AC2DFC" w:rsidRDefault="00227A0D" w:rsidP="00227A0D">
      <w:pPr>
        <w:rPr>
          <w:lang w:val="en-US"/>
        </w:rPr>
      </w:pPr>
      <w:r w:rsidRPr="00AC2DFC">
        <w:rPr>
          <w:lang w:val="en-US"/>
        </w:rPr>
        <w:t>K.M. de Ligt</w:t>
      </w:r>
      <w:r w:rsidRPr="00AC2DFC">
        <w:rPr>
          <w:vertAlign w:val="superscript"/>
          <w:lang w:val="en-US"/>
        </w:rPr>
        <w:t>1</w:t>
      </w:r>
      <w:r w:rsidRPr="00AC2DFC">
        <w:rPr>
          <w:lang w:val="en-US"/>
        </w:rPr>
        <w:t>, PhD, B.H. de Rooij</w:t>
      </w:r>
      <w:r w:rsidRPr="00AC2DFC">
        <w:rPr>
          <w:vertAlign w:val="superscript"/>
          <w:lang w:val="en-US"/>
        </w:rPr>
        <w:t>2,3</w:t>
      </w:r>
      <w:r w:rsidRPr="00AC2DFC">
        <w:rPr>
          <w:lang w:val="en-US"/>
        </w:rPr>
        <w:t>, PhD, E. Hedayati</w:t>
      </w:r>
      <w:r w:rsidRPr="00AC2DFC">
        <w:rPr>
          <w:vertAlign w:val="superscript"/>
          <w:lang w:val="en-US"/>
        </w:rPr>
        <w:t>4,5</w:t>
      </w:r>
      <w:r w:rsidRPr="00AC2DFC">
        <w:rPr>
          <w:lang w:val="en-US"/>
        </w:rPr>
        <w:t>, PhD, M.M. Karsten</w:t>
      </w:r>
      <w:r w:rsidRPr="00AC2DFC">
        <w:rPr>
          <w:vertAlign w:val="superscript"/>
          <w:lang w:val="en-US"/>
        </w:rPr>
        <w:t>6,7</w:t>
      </w:r>
      <w:r w:rsidRPr="00AC2DFC">
        <w:rPr>
          <w:lang w:val="en-US"/>
        </w:rPr>
        <w:t>, M.D., V.R. Smaardijk</w:t>
      </w:r>
      <w:r w:rsidRPr="00AC2DFC">
        <w:rPr>
          <w:vertAlign w:val="superscript"/>
          <w:lang w:val="en-US"/>
        </w:rPr>
        <w:t>2</w:t>
      </w:r>
      <w:r w:rsidRPr="00AC2DFC">
        <w:rPr>
          <w:lang w:val="en-US"/>
        </w:rPr>
        <w:t>, PhD, M. Velting</w:t>
      </w:r>
      <w:r w:rsidRPr="00AC2DFC">
        <w:rPr>
          <w:vertAlign w:val="superscript"/>
          <w:lang w:val="en-US"/>
        </w:rPr>
        <w:t>8</w:t>
      </w:r>
      <w:r w:rsidRPr="00AC2DFC">
        <w:rPr>
          <w:lang w:val="en-US"/>
        </w:rPr>
        <w:t>, MSc, C. Saunders</w:t>
      </w:r>
      <w:r w:rsidRPr="00AC2DFC">
        <w:rPr>
          <w:vertAlign w:val="superscript"/>
          <w:lang w:val="en-US"/>
        </w:rPr>
        <w:t>9</w:t>
      </w:r>
      <w:r w:rsidRPr="00AC2DFC">
        <w:rPr>
          <w:lang w:val="en-US"/>
        </w:rPr>
        <w:t>, PhD, L. Travado</w:t>
      </w:r>
      <w:r w:rsidRPr="00AC2DFC">
        <w:rPr>
          <w:vertAlign w:val="superscript"/>
          <w:lang w:val="en-US"/>
        </w:rPr>
        <w:t>10</w:t>
      </w:r>
      <w:r w:rsidRPr="00AC2DFC">
        <w:rPr>
          <w:lang w:val="en-US"/>
        </w:rPr>
        <w:t>, PhD, F. Cardoso</w:t>
      </w:r>
      <w:r w:rsidRPr="00AC2DFC">
        <w:rPr>
          <w:vertAlign w:val="superscript"/>
          <w:lang w:val="en-US"/>
        </w:rPr>
        <w:t>10</w:t>
      </w:r>
      <w:r w:rsidRPr="00AC2DFC">
        <w:rPr>
          <w:lang w:val="en-US"/>
        </w:rPr>
        <w:t>, MD, E. Lopez</w:t>
      </w:r>
      <w:r w:rsidRPr="00AC2DFC">
        <w:rPr>
          <w:vertAlign w:val="superscript"/>
          <w:lang w:val="en-US"/>
        </w:rPr>
        <w:t>11</w:t>
      </w:r>
      <w:r w:rsidRPr="00AC2DFC">
        <w:rPr>
          <w:lang w:val="en-US"/>
        </w:rPr>
        <w:t>, PhD, N. Carney</w:t>
      </w:r>
      <w:r w:rsidRPr="00AC2DFC">
        <w:rPr>
          <w:vertAlign w:val="superscript"/>
          <w:lang w:val="en-US"/>
        </w:rPr>
        <w:t>12</w:t>
      </w:r>
      <w:r w:rsidRPr="00AC2DFC">
        <w:rPr>
          <w:lang w:val="en-US"/>
        </w:rPr>
        <w:t>, PhD, Y. Wengström</w:t>
      </w:r>
      <w:r w:rsidRPr="00AC2DFC">
        <w:rPr>
          <w:vertAlign w:val="superscript"/>
          <w:lang w:val="en-US"/>
        </w:rPr>
        <w:t>4,13</w:t>
      </w:r>
      <w:r w:rsidRPr="00AC2DFC">
        <w:rPr>
          <w:lang w:val="en-US"/>
        </w:rPr>
        <w:t>, PhD, A. Ives</w:t>
      </w:r>
      <w:r w:rsidRPr="00AC2DFC">
        <w:rPr>
          <w:vertAlign w:val="superscript"/>
          <w:lang w:val="en-US"/>
        </w:rPr>
        <w:t>14</w:t>
      </w:r>
      <w:r w:rsidRPr="00AC2DFC">
        <w:rPr>
          <w:lang w:val="en-US"/>
        </w:rPr>
        <w:t>, PhD, G. Velikova</w:t>
      </w:r>
      <w:r w:rsidRPr="00AC2DFC">
        <w:rPr>
          <w:vertAlign w:val="superscript"/>
          <w:lang w:val="en-US"/>
        </w:rPr>
        <w:t>15,16</w:t>
      </w:r>
      <w:r w:rsidRPr="00AC2DFC">
        <w:rPr>
          <w:lang w:val="en-US"/>
        </w:rPr>
        <w:t>, PhD, M. D. L. Sousa Fialho</w:t>
      </w:r>
      <w:r w:rsidRPr="00AC2DFC">
        <w:rPr>
          <w:vertAlign w:val="superscript"/>
          <w:lang w:val="en-US"/>
        </w:rPr>
        <w:t>17</w:t>
      </w:r>
      <w:r w:rsidRPr="00AC2DFC">
        <w:rPr>
          <w:lang w:val="en-US"/>
        </w:rPr>
        <w:t>, MSc, Y. Seidler</w:t>
      </w:r>
      <w:r w:rsidRPr="00AC2DFC">
        <w:rPr>
          <w:vertAlign w:val="superscript"/>
          <w:lang w:val="en-US"/>
        </w:rPr>
        <w:t>18</w:t>
      </w:r>
      <w:r w:rsidRPr="00AC2DFC">
        <w:rPr>
          <w:lang w:val="en-US"/>
        </w:rPr>
        <w:t>, Dr., T.A. Stamm</w:t>
      </w:r>
      <w:r w:rsidRPr="00AC2DFC">
        <w:rPr>
          <w:vertAlign w:val="superscript"/>
          <w:lang w:val="en-US"/>
        </w:rPr>
        <w:t>18,19</w:t>
      </w:r>
      <w:r w:rsidRPr="00AC2DFC">
        <w:rPr>
          <w:lang w:val="en-US"/>
        </w:rPr>
        <w:t>, PhD, L.B. Koppert</w:t>
      </w:r>
      <w:r w:rsidRPr="00AC2DFC">
        <w:rPr>
          <w:vertAlign w:val="superscript"/>
          <w:lang w:val="en-US"/>
        </w:rPr>
        <w:t>20</w:t>
      </w:r>
      <w:r w:rsidRPr="00AC2DFC">
        <w:rPr>
          <w:lang w:val="en-US"/>
        </w:rPr>
        <w:t>, PhD, L.V. van de Poll-Franse</w:t>
      </w:r>
      <w:r w:rsidRPr="00AC2DFC">
        <w:rPr>
          <w:vertAlign w:val="superscript"/>
          <w:lang w:val="en-US"/>
        </w:rPr>
        <w:t>1,2,3</w:t>
      </w:r>
      <w:r w:rsidRPr="00AC2DFC">
        <w:rPr>
          <w:lang w:val="en-US"/>
        </w:rPr>
        <w:t>, PhD.</w:t>
      </w:r>
    </w:p>
    <w:p w:rsidR="00227A0D" w:rsidRPr="00AC2DFC" w:rsidRDefault="00227A0D" w:rsidP="00227A0D">
      <w:pPr>
        <w:spacing w:line="360" w:lineRule="auto"/>
        <w:rPr>
          <w:b/>
          <w:lang w:val="en-US"/>
        </w:rPr>
      </w:pPr>
    </w:p>
    <w:p w:rsidR="00227A0D" w:rsidRPr="00AC2DFC" w:rsidRDefault="00227A0D" w:rsidP="00227A0D">
      <w:pPr>
        <w:spacing w:line="360" w:lineRule="auto"/>
        <w:rPr>
          <w:lang w:val="en-US"/>
        </w:rPr>
      </w:pPr>
      <w:r w:rsidRPr="00AC2DFC">
        <w:rPr>
          <w:b/>
          <w:lang w:val="en-US"/>
        </w:rPr>
        <w:t>Corresponding Author:</w:t>
      </w:r>
      <w:r w:rsidRPr="00AC2DFC">
        <w:rPr>
          <w:lang w:val="en-US"/>
        </w:rPr>
        <w:t xml:space="preserve"> Kelly de Ligt, PhD. </w:t>
      </w:r>
      <w:r w:rsidRPr="00AC2DFC">
        <w:rPr>
          <w:lang w:val="en-US"/>
        </w:rPr>
        <w:br/>
        <w:t xml:space="preserve">Netherlands Cancer Institute, Division of Psychosocial Research and Epidemiology </w:t>
      </w:r>
      <w:r w:rsidRPr="00AC2DFC">
        <w:rPr>
          <w:lang w:val="en-US"/>
        </w:rPr>
        <w:br/>
        <w:t xml:space="preserve">PO Box 90203, 1006 BE Amsterdam </w:t>
      </w:r>
      <w:r w:rsidRPr="00AC2DFC">
        <w:rPr>
          <w:lang w:val="en-US"/>
        </w:rPr>
        <w:br/>
        <w:t xml:space="preserve">e-mail: k.d.ligt@nki.nl | telephone: +31 20 512 9111 </w:t>
      </w:r>
    </w:p>
    <w:p w:rsidR="00227A0D" w:rsidRPr="00AC2DFC" w:rsidRDefault="00227A0D" w:rsidP="00227A0D">
      <w:pPr>
        <w:spacing w:line="360" w:lineRule="auto"/>
        <w:rPr>
          <w:b/>
          <w:u w:val="single"/>
          <w:lang w:val="en-US"/>
        </w:rPr>
      </w:pPr>
    </w:p>
    <w:p w:rsidR="00227A0D" w:rsidRPr="00AC2DFC" w:rsidRDefault="00227A0D" w:rsidP="00227A0D">
      <w:pPr>
        <w:spacing w:line="360" w:lineRule="auto"/>
        <w:rPr>
          <w:b/>
          <w:u w:val="single"/>
          <w:lang w:val="en-US"/>
        </w:rPr>
      </w:pPr>
      <w:r w:rsidRPr="00AC2DFC">
        <w:rPr>
          <w:b/>
          <w:u w:val="single"/>
          <w:lang w:val="en-US"/>
        </w:rPr>
        <w:t>Submitted to:</w:t>
      </w:r>
      <w:r w:rsidRPr="00AC2DFC">
        <w:rPr>
          <w:lang w:val="en-US"/>
        </w:rPr>
        <w:t xml:space="preserve"> Breast Cancer Research and Treatment</w:t>
      </w:r>
    </w:p>
    <w:p w:rsidR="00227A0D" w:rsidRPr="00AC2DFC" w:rsidRDefault="00227A0D">
      <w:pPr>
        <w:rPr>
          <w:rFonts w:ascii="Arial" w:hAnsi="Arial" w:cs="Arial"/>
          <w:b/>
          <w:lang w:val="en-US"/>
        </w:rPr>
      </w:pPr>
      <w:r w:rsidRPr="00AC2DFC">
        <w:rPr>
          <w:rFonts w:ascii="Arial" w:hAnsi="Arial" w:cs="Arial"/>
          <w:b/>
          <w:lang w:val="en-US"/>
        </w:rPr>
        <w:br w:type="page"/>
      </w:r>
    </w:p>
    <w:p w:rsidR="00DC5E05" w:rsidRPr="00AC2DFC" w:rsidRDefault="00DC5E05" w:rsidP="00DC5E05">
      <w:pPr>
        <w:rPr>
          <w:rFonts w:ascii="Arial" w:hAnsi="Arial" w:cs="Arial"/>
          <w:b/>
          <w:sz w:val="20"/>
          <w:szCs w:val="20"/>
          <w:lang w:val="en-US"/>
        </w:rPr>
      </w:pPr>
      <w:r w:rsidRPr="00AC2DFC">
        <w:rPr>
          <w:rFonts w:ascii="Arial" w:hAnsi="Arial" w:cs="Arial"/>
          <w:b/>
          <w:sz w:val="20"/>
          <w:szCs w:val="20"/>
          <w:lang w:val="en-US"/>
        </w:rPr>
        <w:lastRenderedPageBreak/>
        <w:t>Supplementary table 1: Final core outcome set</w:t>
      </w:r>
    </w:p>
    <w:tbl>
      <w:tblPr>
        <w:tblW w:w="9067" w:type="dxa"/>
        <w:tblCellMar>
          <w:left w:w="70" w:type="dxa"/>
          <w:right w:w="70" w:type="dxa"/>
        </w:tblCellMar>
        <w:tblLook w:val="04A0" w:firstRow="1" w:lastRow="0" w:firstColumn="1" w:lastColumn="0" w:noHBand="0" w:noVBand="1"/>
      </w:tblPr>
      <w:tblGrid>
        <w:gridCol w:w="2820"/>
        <w:gridCol w:w="6247"/>
      </w:tblGrid>
      <w:tr w:rsidR="00DC5E05" w:rsidRPr="00AC2DFC" w:rsidTr="003412EA">
        <w:trPr>
          <w:trHeight w:val="576"/>
        </w:trPr>
        <w:tc>
          <w:tcPr>
            <w:tcW w:w="2820" w:type="dxa"/>
            <w:tcBorders>
              <w:top w:val="single" w:sz="4" w:space="0" w:color="auto"/>
              <w:left w:val="single" w:sz="4" w:space="0" w:color="auto"/>
              <w:bottom w:val="single" w:sz="4" w:space="0" w:color="auto"/>
              <w:right w:val="single" w:sz="4" w:space="0" w:color="auto"/>
            </w:tcBorders>
            <w:shd w:val="clear" w:color="000000" w:fill="8EA9DB"/>
            <w:hideMark/>
          </w:tcPr>
          <w:p w:rsidR="00DC5E05" w:rsidRPr="00AC2DFC" w:rsidRDefault="00DC5E05" w:rsidP="003412EA">
            <w:pPr>
              <w:spacing w:after="0" w:line="240" w:lineRule="auto"/>
              <w:rPr>
                <w:rFonts w:ascii="Calibri" w:eastAsia="Times New Roman" w:hAnsi="Calibri" w:cs="Calibri"/>
                <w:b/>
                <w:bCs/>
                <w:color w:val="000000"/>
                <w:lang w:val="en-GB" w:eastAsia="nl-NL"/>
              </w:rPr>
            </w:pPr>
            <w:r w:rsidRPr="00AC2DFC">
              <w:rPr>
                <w:rFonts w:ascii="Calibri" w:eastAsia="Times New Roman" w:hAnsi="Calibri" w:cs="Calibri"/>
                <w:b/>
                <w:bCs/>
                <w:color w:val="000000"/>
                <w:lang w:val="en-GB" w:eastAsia="nl-NL"/>
              </w:rPr>
              <w:t>Outcome</w:t>
            </w:r>
          </w:p>
        </w:tc>
        <w:tc>
          <w:tcPr>
            <w:tcW w:w="6247" w:type="dxa"/>
            <w:tcBorders>
              <w:top w:val="single" w:sz="4" w:space="0" w:color="auto"/>
              <w:left w:val="nil"/>
              <w:bottom w:val="single" w:sz="4" w:space="0" w:color="auto"/>
              <w:right w:val="single" w:sz="4" w:space="0" w:color="auto"/>
            </w:tcBorders>
            <w:shd w:val="clear" w:color="000000" w:fill="8EA9DB"/>
            <w:hideMark/>
          </w:tcPr>
          <w:p w:rsidR="00DC5E05" w:rsidRPr="00AC2DFC" w:rsidRDefault="00DC5E05" w:rsidP="003412EA">
            <w:pPr>
              <w:spacing w:after="0" w:line="240" w:lineRule="auto"/>
              <w:rPr>
                <w:rFonts w:ascii="Calibri" w:eastAsia="Times New Roman" w:hAnsi="Calibri" w:cs="Calibri"/>
                <w:b/>
                <w:bCs/>
                <w:lang w:val="en-GB" w:eastAsia="nl-NL"/>
              </w:rPr>
            </w:pPr>
            <w:r w:rsidRPr="00AC2DFC">
              <w:rPr>
                <w:rFonts w:ascii="Calibri" w:eastAsia="Times New Roman" w:hAnsi="Calibri" w:cs="Calibri"/>
                <w:b/>
                <w:bCs/>
                <w:lang w:val="en-GB" w:eastAsia="nl-NL"/>
              </w:rPr>
              <w:t>Description</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color w:val="000000"/>
                <w:lang w:val="en-GB" w:eastAsia="nl-NL"/>
              </w:rPr>
            </w:pPr>
            <w:r w:rsidRPr="00AC2DFC">
              <w:rPr>
                <w:rFonts w:ascii="Calibri" w:eastAsia="Times New Roman" w:hAnsi="Calibri" w:cs="Calibri"/>
                <w:b/>
                <w:bCs/>
                <w:color w:val="000000"/>
                <w:lang w:val="en-GB" w:eastAsia="nl-NL"/>
              </w:rPr>
              <w:t>Patient characteristics</w:t>
            </w:r>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lang w:val="en-GB" w:eastAsia="nl-NL"/>
              </w:rPr>
            </w:pPr>
            <w:r w:rsidRPr="00AC2DFC">
              <w:rPr>
                <w:rFonts w:ascii="Calibri" w:eastAsia="Times New Roman" w:hAnsi="Calibri" w:cs="Calibri"/>
                <w:b/>
                <w:bCs/>
                <w:lang w:val="en-GB" w:eastAsia="nl-NL"/>
              </w:rPr>
              <w:t> </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Age</w:t>
            </w:r>
            <w:r w:rsidR="00AF3A36" w:rsidRPr="00AC2DFC">
              <w:rPr>
                <w:rFonts w:ascii="Calibri" w:eastAsia="Times New Roman" w:hAnsi="Calibri" w:cs="Calibri"/>
                <w:color w:val="000000"/>
                <w:lang w:val="en-GB" w:eastAsia="nl-NL"/>
              </w:rPr>
              <w:t xml:space="preserve"> (year of birth)</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Age (at time of diagnosis)</w:t>
            </w:r>
          </w:p>
        </w:tc>
      </w:tr>
      <w:tr w:rsidR="00DC5E05" w:rsidRPr="00AC2DFC" w:rsidTr="003412EA">
        <w:trPr>
          <w:trHeight w:val="1440"/>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Menopausal status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Whether a woman still has monthly cycles. 'Premenopausal' describes women who experience menstrual bleeding; 'postmenopausal' describes women who have not experienced menstrual bleeding &gt;12 months, in the absence of any surgery or medical condition that may cause bleeding to artificially stop (use of hormonal birth control, overactive thyroid, etc.)).</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Comorbidities</w:t>
            </w:r>
            <w:r w:rsidR="00AF3A36" w:rsidRPr="00AC2DFC">
              <w:rPr>
                <w:rFonts w:ascii="Calibri" w:eastAsia="Times New Roman" w:hAnsi="Calibri" w:cs="Calibri"/>
                <w:color w:val="000000"/>
                <w:lang w:val="en-GB" w:eastAsia="nl-NL"/>
              </w:rPr>
              <w:t xml:space="preserve"> (</w:t>
            </w:r>
            <w:r w:rsidR="00AF3A36" w:rsidRPr="00AC2DFC">
              <w:rPr>
                <w:rFonts w:ascii="Calibri" w:eastAsia="Times New Roman" w:hAnsi="Calibri" w:cs="Calibri"/>
                <w:i/>
                <w:color w:val="000000"/>
                <w:lang w:val="en-GB" w:eastAsia="nl-NL"/>
              </w:rPr>
              <w:t xml:space="preserve">including </w:t>
            </w:r>
            <w:r w:rsidR="00AF3A36" w:rsidRPr="00AC2DFC">
              <w:rPr>
                <w:rFonts w:ascii="Calibri" w:eastAsia="Times New Roman" w:hAnsi="Calibri" w:cs="Calibri"/>
                <w:color w:val="000000"/>
                <w:lang w:val="en-GB" w:eastAsia="nl-NL"/>
              </w:rPr>
              <w:t>Other cancer types)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Living with more than one chronic disease or health condition</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AF3A36"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Activities of daily living / performance status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Ability to perform certain activities of daily living (ADL) (e.g. eating, dressing, washing, toilet use, household activities, managing money) without the help of others</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Frailty</w:t>
            </w:r>
            <w:r w:rsidR="00AF3A36" w:rsidRPr="00AC2DFC">
              <w:rPr>
                <w:rFonts w:ascii="Calibri" w:eastAsia="Times New Roman" w:hAnsi="Calibri" w:cs="Calibri"/>
                <w:color w:val="000000"/>
                <w:lang w:val="en-GB" w:eastAsia="nl-NL"/>
              </w:rPr>
              <w:t xml:space="preserve"> stage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 weakened health state related to ageing (e.g. reduced physical condition and cognitive decline). Frail patients may have an increased burden of symptoms and a reduced tolerance to treatment.</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Healthcare access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Able to access main care giving team any time and day of the week</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Family history of breast cancer</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Immediate family member who has or had breast cancer</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Risk reducing surgery before diagnosis of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Received surgical removal of organs at high risk of developing cancer (e.g. removal of the breasts) prior to metastases</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lang w:val="en-GB" w:eastAsia="nl-NL"/>
              </w:rPr>
            </w:pPr>
            <w:r w:rsidRPr="00AC2DFC">
              <w:rPr>
                <w:rFonts w:ascii="Calibri" w:eastAsia="Times New Roman" w:hAnsi="Calibri" w:cs="Calibri"/>
                <w:b/>
                <w:bCs/>
                <w:lang w:val="en-GB" w:eastAsia="nl-NL"/>
              </w:rPr>
              <w:t>Tumour characteristics*</w:t>
            </w:r>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 xml:space="preserve">Date of </w:t>
            </w:r>
            <w:r w:rsidR="00AF3A36" w:rsidRPr="00AC2DFC">
              <w:rPr>
                <w:rFonts w:ascii="Calibri" w:eastAsia="Times New Roman" w:hAnsi="Calibri" w:cs="Calibri"/>
                <w:color w:val="000000"/>
                <w:lang w:val="en-GB" w:eastAsia="nl-NL"/>
              </w:rPr>
              <w:t xml:space="preserve">histological </w:t>
            </w:r>
            <w:r w:rsidRPr="00AC2DFC">
              <w:rPr>
                <w:rFonts w:ascii="Calibri" w:eastAsia="Times New Roman" w:hAnsi="Calibri" w:cs="Calibri"/>
                <w:color w:val="000000"/>
                <w:lang w:val="en-GB" w:eastAsia="nl-NL"/>
              </w:rPr>
              <w:t>diagnosis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Date on which the breast cancer diagnosis is confirmed through </w:t>
            </w:r>
            <w:proofErr w:type="spellStart"/>
            <w:r w:rsidRPr="00AC2DFC">
              <w:rPr>
                <w:rFonts w:ascii="Calibri" w:eastAsia="Times New Roman" w:hAnsi="Calibri" w:cs="Calibri"/>
                <w:lang w:val="en-GB" w:eastAsia="nl-NL"/>
              </w:rPr>
              <w:t>punction</w:t>
            </w:r>
            <w:proofErr w:type="spellEnd"/>
            <w:r w:rsidRPr="00AC2DFC">
              <w:rPr>
                <w:rFonts w:ascii="Calibri" w:eastAsia="Times New Roman" w:hAnsi="Calibri" w:cs="Calibri"/>
                <w:lang w:val="en-GB" w:eastAsia="nl-NL"/>
              </w:rPr>
              <w:t xml:space="preserve"> of the breast.</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Type of breast cancer</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Breast cancer sub-classification based on tissue examination (histology) (applicable for the primary tumour in case of </w:t>
            </w:r>
            <w:proofErr w:type="spellStart"/>
            <w:r w:rsidRPr="00AC2DFC">
              <w:rPr>
                <w:rFonts w:ascii="Calibri" w:eastAsia="Times New Roman" w:hAnsi="Calibri" w:cs="Calibri"/>
                <w:lang w:val="en-GB" w:eastAsia="nl-NL"/>
              </w:rPr>
              <w:t>metachronous</w:t>
            </w:r>
            <w:proofErr w:type="spellEnd"/>
            <w:r w:rsidRPr="00AC2DFC">
              <w:rPr>
                <w:rFonts w:ascii="Calibri" w:eastAsia="Times New Roman" w:hAnsi="Calibri" w:cs="Calibri"/>
                <w:lang w:val="en-GB" w:eastAsia="nl-NL"/>
              </w:rPr>
              <w:t xml:space="preserve"> metastases)</w:t>
            </w:r>
          </w:p>
        </w:tc>
      </w:tr>
      <w:tr w:rsidR="00DC5E05" w:rsidRPr="00AC2DFC" w:rsidTr="003412EA">
        <w:trPr>
          <w:trHeight w:val="1152"/>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Tumour grade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Classification of the appearance of tumour cells under the microscope. Low-grade tumours (with cells very similar to healthy cells) are often referred to as well-differentiated, while high-grade tumours (with strictly abnormal cells) are called poorly differentiated or undifferentiated.</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Clinical cancer stage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Cancer stage (i.e. the extent to which a cancer has developed by growing and spreading) based on results of tests done before surgery, such as physical examinations and imaging scans. Per UICC / IASLC / AJCC 8th edition.</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Pathological cancer stage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Cancer stage (i.e. the extent to which a cancer has developed by growing and spreading) based on what is found during surgery. Per UICC / IASLC / AJCC 8th edition.</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Size of tumour</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Size of the tumour.</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Number of lymph nodes involved</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Number of lymph nodes with positive findings for breast cancer.</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552EEE"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Oestrogen</w:t>
            </w:r>
            <w:r w:rsidR="00DC5E05" w:rsidRPr="00AC2DFC">
              <w:rPr>
                <w:rFonts w:ascii="Calibri" w:eastAsia="Times New Roman" w:hAnsi="Calibri" w:cs="Calibri"/>
                <w:color w:val="000000"/>
                <w:lang w:val="en-GB" w:eastAsia="nl-NL"/>
              </w:rPr>
              <w:t xml:space="preserve"> receptor status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Whether the cancer may receive signals from the hormone </w:t>
            </w:r>
            <w:r w:rsidR="00552EEE" w:rsidRPr="00AC2DFC">
              <w:rPr>
                <w:rFonts w:ascii="Calibri" w:eastAsia="Times New Roman" w:hAnsi="Calibri" w:cs="Calibri"/>
                <w:lang w:val="en-GB" w:eastAsia="nl-NL"/>
              </w:rPr>
              <w:t>oestrogen</w:t>
            </w:r>
            <w:r w:rsidRPr="00AC2DFC">
              <w:rPr>
                <w:rFonts w:ascii="Calibri" w:eastAsia="Times New Roman" w:hAnsi="Calibri" w:cs="Calibri"/>
                <w:lang w:val="en-GB" w:eastAsia="nl-NL"/>
              </w:rPr>
              <w:t xml:space="preserve"> that could promote the growth of cancer cells.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552EEE"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lastRenderedPageBreak/>
              <w:t>Progesterone</w:t>
            </w:r>
            <w:r w:rsidR="00DC5E05" w:rsidRPr="00AC2DFC">
              <w:rPr>
                <w:rFonts w:ascii="Calibri" w:eastAsia="Times New Roman" w:hAnsi="Calibri" w:cs="Calibri"/>
                <w:color w:val="000000"/>
                <w:lang w:val="en-GB" w:eastAsia="nl-NL"/>
              </w:rPr>
              <w:t xml:space="preserve"> receptor status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Whether the cancer may receive signals from the hormone </w:t>
            </w:r>
            <w:r w:rsidR="00552EEE" w:rsidRPr="00AC2DFC">
              <w:rPr>
                <w:rFonts w:ascii="Calibri" w:eastAsia="Times New Roman" w:hAnsi="Calibri" w:cs="Calibri"/>
                <w:lang w:val="en-GB" w:eastAsia="nl-NL"/>
              </w:rPr>
              <w:t>progesterone</w:t>
            </w:r>
            <w:r w:rsidRPr="00AC2DFC">
              <w:rPr>
                <w:rFonts w:ascii="Calibri" w:eastAsia="Times New Roman" w:hAnsi="Calibri" w:cs="Calibri"/>
                <w:lang w:val="en-GB" w:eastAsia="nl-NL"/>
              </w:rPr>
              <w:t xml:space="preserve"> that could promote the growth of cancer cells.</w:t>
            </w:r>
          </w:p>
        </w:tc>
      </w:tr>
      <w:tr w:rsidR="00DC5E05" w:rsidRPr="00AC2DFC" w:rsidTr="003412EA">
        <w:trPr>
          <w:trHeight w:val="1152"/>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HER-2-status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Whether the cancer has certain characteristics that could promote the growth of cancer cells, in this case a protein called Human epidermal growth factor receptor 2 (HER-2). Tumours with HER-2 are usually treated with therapy that specifically identifies and targets this protein (i.e. targeted therapy).</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color w:val="000000"/>
                <w:lang w:val="en-GB" w:eastAsia="nl-NL"/>
              </w:rPr>
            </w:pPr>
            <w:r w:rsidRPr="00AC2DFC">
              <w:rPr>
                <w:rFonts w:ascii="Calibri" w:eastAsia="Times New Roman" w:hAnsi="Calibri" w:cs="Calibri"/>
                <w:b/>
                <w:bCs/>
                <w:color w:val="000000"/>
                <w:lang w:val="en-GB" w:eastAsia="nl-NL"/>
              </w:rPr>
              <w:t>Treatment characteristics*</w:t>
            </w:r>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(Reconstructive) surgery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Received type of cancer treatment in which the tumour and nearby tissue are removed, sometimes with removal of all breast tissue (mastectomy). With or without breast reconstruction (one or both breasts are restored).</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AF3A36">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 xml:space="preserve">Number of lymph nodes </w:t>
            </w:r>
            <w:r w:rsidR="00AF3A36" w:rsidRPr="00AC2DFC">
              <w:rPr>
                <w:rFonts w:ascii="Calibri" w:eastAsia="Times New Roman" w:hAnsi="Calibri" w:cs="Calibri"/>
                <w:color w:val="000000"/>
                <w:lang w:val="en-GB" w:eastAsia="nl-NL"/>
              </w:rPr>
              <w:t>resected</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Number of lymph nodes surgically removed.</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Chemotherapy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Received type of cancer treatment that uses drugs to kill cancer cells.</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Radiotherapy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Received type of cancer treatment that uses high doses of radiation to kill cancer cells and shrink tumours (applicable for the primary tumour in case of </w:t>
            </w:r>
            <w:proofErr w:type="spellStart"/>
            <w:r w:rsidRPr="00AC2DFC">
              <w:rPr>
                <w:rFonts w:ascii="Calibri" w:eastAsia="Times New Roman" w:hAnsi="Calibri" w:cs="Calibri"/>
                <w:lang w:val="en-GB" w:eastAsia="nl-NL"/>
              </w:rPr>
              <w:t>metachronous</w:t>
            </w:r>
            <w:proofErr w:type="spellEnd"/>
            <w:r w:rsidRPr="00AC2DFC">
              <w:rPr>
                <w:rFonts w:ascii="Calibri" w:eastAsia="Times New Roman" w:hAnsi="Calibri" w:cs="Calibri"/>
                <w:lang w:val="en-GB" w:eastAsia="nl-NL"/>
              </w:rPr>
              <w:t xml:space="preserve"> metastases)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Hormonal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Received type of cancer treatment that uses drugs to slow or stop the growth of cancer that grows under the influence of hormones.</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Targeted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Received type of cancer treatment that identifies biomarkers in genetic or other kinds of tests to precisely identify and kill certain types of cancer cells (i.e. “personalized medicine” or “precision medicine”).</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No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Received no cancer therapy that is part of medical care.</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lang w:val="en-GB" w:eastAsia="nl-NL"/>
              </w:rPr>
            </w:pPr>
            <w:r w:rsidRPr="00AC2DFC">
              <w:rPr>
                <w:rFonts w:ascii="Calibri" w:eastAsia="Times New Roman" w:hAnsi="Calibri" w:cs="Calibri"/>
                <w:b/>
                <w:bCs/>
                <w:lang w:val="en-GB" w:eastAsia="nl-NL"/>
              </w:rPr>
              <w:t>Characteristics of metastases*</w:t>
            </w:r>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 xml:space="preserve">Date of </w:t>
            </w:r>
            <w:r w:rsidR="00AF3A36" w:rsidRPr="00AC2DFC">
              <w:rPr>
                <w:rFonts w:ascii="Calibri" w:eastAsia="Times New Roman" w:hAnsi="Calibri" w:cs="Calibri"/>
                <w:color w:val="000000"/>
                <w:lang w:val="en-GB" w:eastAsia="nl-NL"/>
              </w:rPr>
              <w:t xml:space="preserve">histological </w:t>
            </w:r>
            <w:r w:rsidRPr="00AC2DFC">
              <w:rPr>
                <w:rFonts w:ascii="Calibri" w:eastAsia="Times New Roman" w:hAnsi="Calibri" w:cs="Calibri"/>
                <w:color w:val="000000"/>
                <w:lang w:val="en-GB" w:eastAsia="nl-NL"/>
              </w:rPr>
              <w:t>diagnosis of the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Date on which the diagnosis of metastasized breast cancer is confirmed (If there is a biopsy, than date of biopsy is leading. If there is only a date of imaging, then this date is leading. If both, date of biopsy is leading).</w:t>
            </w:r>
          </w:p>
        </w:tc>
      </w:tr>
      <w:tr w:rsidR="00DC5E05" w:rsidRPr="00AC2DFC" w:rsidTr="003412EA">
        <w:trPr>
          <w:trHeight w:val="2592"/>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Oligo metastases/Metastases potentially amenable for local treatment</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When only a limited number of metastases is found in the body (up to 5 and not necessarily in the same organ), that have a limited size, metastatic breast cancer can potentially be treated with surgery. By this, surgeons aim to remove all metastatic sites in the body. The goal is to completely remove the breast cancer from the body. </w:t>
            </w:r>
            <w:r w:rsidRPr="00AC2DFC">
              <w:rPr>
                <w:rFonts w:ascii="Calibri" w:eastAsia="Times New Roman" w:hAnsi="Calibri" w:cs="Calibri"/>
                <w:i/>
                <w:iCs/>
                <w:lang w:val="en-GB" w:eastAsia="nl-NL"/>
              </w:rPr>
              <w:t>(Official 5th ESO-ESMO international consensus guidelines for advanced breast cancer definition: Oligo metastatic disease is defined as low volume metastatic disease with limited number and size of metastatic lesions (up to 5 and not necessarily in the same organ), potentially amenable for local treatment, aimed at achieving a complete remission status.)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552EEE">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Locali</w:t>
            </w:r>
            <w:r w:rsidR="00552EEE" w:rsidRPr="00AC2DFC">
              <w:rPr>
                <w:rFonts w:ascii="Calibri" w:eastAsia="Times New Roman" w:hAnsi="Calibri" w:cs="Calibri"/>
                <w:color w:val="000000"/>
                <w:lang w:val="en-GB" w:eastAsia="nl-NL"/>
              </w:rPr>
              <w:t>s</w:t>
            </w:r>
            <w:r w:rsidRPr="00AC2DFC">
              <w:rPr>
                <w:rFonts w:ascii="Calibri" w:eastAsia="Times New Roman" w:hAnsi="Calibri" w:cs="Calibri"/>
                <w:color w:val="000000"/>
                <w:lang w:val="en-GB" w:eastAsia="nl-NL"/>
              </w:rPr>
              <w:t>ation of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Localization of the metastases in the body (e.g. bone, visceral [= in the intestines, independent of how many organs] or brain)</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Type of the metastases based on breast tissue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Type of the metastases determined based on tissue examination (histology): in lining of the milk ducts (ductal) or milk-producing glands (lobular)</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552EEE"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Oestrogen</w:t>
            </w:r>
            <w:r w:rsidR="00DC5E05" w:rsidRPr="00AC2DFC">
              <w:rPr>
                <w:rFonts w:ascii="Calibri" w:eastAsia="Times New Roman" w:hAnsi="Calibri" w:cs="Calibri"/>
                <w:color w:val="000000"/>
                <w:lang w:val="en-GB" w:eastAsia="nl-NL"/>
              </w:rPr>
              <w:t xml:space="preserve"> receptor status of the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Whether the metastasis has receptors for </w:t>
            </w:r>
            <w:r w:rsidR="00552EEE" w:rsidRPr="00AC2DFC">
              <w:rPr>
                <w:rFonts w:ascii="Calibri" w:eastAsia="Times New Roman" w:hAnsi="Calibri" w:cs="Calibri"/>
                <w:lang w:val="en-GB" w:eastAsia="nl-NL"/>
              </w:rPr>
              <w:t>oestrogen</w:t>
            </w:r>
            <w:r w:rsidRPr="00AC2DFC">
              <w:rPr>
                <w:rFonts w:ascii="Calibri" w:eastAsia="Times New Roman" w:hAnsi="Calibri" w:cs="Calibri"/>
                <w:lang w:val="en-GB" w:eastAsia="nl-NL"/>
              </w:rPr>
              <w:t xml:space="preserve"> which could promote the growth of cancer cells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552EEE"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lastRenderedPageBreak/>
              <w:t>Progesterone</w:t>
            </w:r>
            <w:r w:rsidR="00DC5E05" w:rsidRPr="00AC2DFC">
              <w:rPr>
                <w:rFonts w:ascii="Calibri" w:eastAsia="Times New Roman" w:hAnsi="Calibri" w:cs="Calibri"/>
                <w:color w:val="000000"/>
                <w:lang w:val="en-GB" w:eastAsia="nl-NL"/>
              </w:rPr>
              <w:t xml:space="preserve"> receptor status of the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Whether the metastasis has receptors for </w:t>
            </w:r>
            <w:r w:rsidR="00552EEE" w:rsidRPr="00AC2DFC">
              <w:rPr>
                <w:rFonts w:ascii="Calibri" w:eastAsia="Times New Roman" w:hAnsi="Calibri" w:cs="Calibri"/>
                <w:lang w:val="en-GB" w:eastAsia="nl-NL"/>
              </w:rPr>
              <w:t>progesterone</w:t>
            </w:r>
            <w:r w:rsidRPr="00AC2DFC">
              <w:rPr>
                <w:rFonts w:ascii="Calibri" w:eastAsia="Times New Roman" w:hAnsi="Calibri" w:cs="Calibri"/>
                <w:lang w:val="en-GB" w:eastAsia="nl-NL"/>
              </w:rPr>
              <w:t xml:space="preserve"> which could promote the growth of cancer cells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HER-2-status of the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Whether the metastasis has a protein called Human epidermal growth factor receptor 2 (HER-2) which could promote the growth of cancer cells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Result of clinical genetic tests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Result of clinical genetic tests (BRCA1/2, CHEK2 1100delC, ATM, PALB2, PTEN, NF1, or 'not applicable')</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lang w:val="en-GB" w:eastAsia="nl-NL"/>
              </w:rPr>
            </w:pPr>
            <w:r w:rsidRPr="00AC2DFC">
              <w:rPr>
                <w:rFonts w:ascii="Calibri" w:eastAsia="Times New Roman" w:hAnsi="Calibri" w:cs="Calibri"/>
                <w:b/>
                <w:bCs/>
                <w:lang w:val="en-GB" w:eastAsia="nl-NL"/>
              </w:rPr>
              <w:t>Treatment of metastases*</w:t>
            </w:r>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Start date of new treatment of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Date when new treatment line (in case of chemotherapy or hormonal therapy) or treatment modality (in case of radiotherapy and surgery) was started.</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Treatment status (treatment of metastases)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Status of treatment of the metastases (i.e. treatment continued as planned, stopped for adverse events, stopped for progression, stopped for refusal patient, patient deceased)</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Standard therapy versus experimental/clinical trial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Treatment received according to the guidelines, standard therapy other than guideline or as part of a clinical trial</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Time from diagnosis to treatment</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Time between date of diagnosis and start date of first treatment</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Treatment of metastases: Chemotherapy (with or without targeted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Type of cancer treatment that uses drugs to kill cancer cells (with or without targeted therapy, i.e. drugs to precisely identify and kill certain types of cancer cells)</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Lines of Chemotherapy (with or without targeted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Which line of chemotherapy (in terms of number) the patient currently receives: 1, 2-3, 4 and more. Only applicable for systemic therapy. We consider lines of treatment separately for chemotherapy and hormonal therapy.</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Treatment of metastases: Hormonal therapy (with or without targeted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Type of cancer treatment that uses drugs to slow or stop the growth of cancer that grows under the influence of hormones (with or without targeted therapy, i.e. drugs to precisely identify and kill certain types of cancer cells)</w:t>
            </w:r>
          </w:p>
        </w:tc>
      </w:tr>
      <w:tr w:rsidR="00DC5E05" w:rsidRPr="00AC2DFC" w:rsidTr="003412EA">
        <w:trPr>
          <w:trHeight w:val="1440"/>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Lines of hormonal therapy (with or without targeted 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Which line of hormone therapy (in terms of number) the patient currently receives: 1, 2-3, 4 and more. Only applicable for systemic therapy. We consider lines of treatment separately for chemotherapy and hormonal therapy. (with or without targeted therapy, i.e. drugs to precisely identify and kill certain types of cancer cells)</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Treatment of metastases: Radiotherapy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Type of cancer treatment that uses high doses of radiation to kill cancer cells and shrink tumours. Stereotactic (precisely-targeted radiation in fewer high-dose treatments) and/or palliative (aims to shrink but not cure the cancer)</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Localisation of (stereotactic) radiotherapy (Optional)</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Localisation of (stereotactic) radiotherapy</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Surgery on primary site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Type of cancer treatment that resects the tumour and nearby tissue on the site of primary tumour (part of the body where the cancer started)</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 xml:space="preserve">Surgery on metastatic </w:t>
            </w:r>
            <w:r w:rsidR="00552EEE" w:rsidRPr="00AC2DFC">
              <w:rPr>
                <w:rFonts w:ascii="Calibri" w:eastAsia="Times New Roman" w:hAnsi="Calibri" w:cs="Calibri"/>
                <w:color w:val="000000"/>
                <w:lang w:val="en-GB" w:eastAsia="nl-NL"/>
              </w:rPr>
              <w:t>lesions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Type of cancer treatment that resects the metastases and nearby tissue on metastatic </w:t>
            </w:r>
            <w:r w:rsidR="00552EEE" w:rsidRPr="00AC2DFC">
              <w:rPr>
                <w:rFonts w:ascii="Calibri" w:eastAsia="Times New Roman" w:hAnsi="Calibri" w:cs="Calibri"/>
                <w:lang w:val="en-GB" w:eastAsia="nl-NL"/>
              </w:rPr>
              <w:t>lesions</w:t>
            </w:r>
            <w:r w:rsidRPr="00AC2DFC">
              <w:rPr>
                <w:rFonts w:ascii="Calibri" w:eastAsia="Times New Roman" w:hAnsi="Calibri" w:cs="Calibri"/>
                <w:lang w:val="en-GB" w:eastAsia="nl-NL"/>
              </w:rPr>
              <w:t xml:space="preserve"> (parts of the body to where the cancer has spread)</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color w:val="000000"/>
                <w:lang w:val="en-GB" w:eastAsia="nl-NL"/>
              </w:rPr>
            </w:pPr>
            <w:r w:rsidRPr="00AC2DFC">
              <w:rPr>
                <w:rFonts w:ascii="Calibri" w:eastAsia="Times New Roman" w:hAnsi="Calibri" w:cs="Calibri"/>
                <w:b/>
                <w:bCs/>
                <w:color w:val="000000"/>
                <w:lang w:val="en-GB" w:eastAsia="nl-NL"/>
              </w:rPr>
              <w:t>Survival and progression</w:t>
            </w:r>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lastRenderedPageBreak/>
              <w:t>Overall survival</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Length of time (in days) that a patient remains alive from the date of diagnosis of metastasized breast cancer</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Death attributed to breast cancer</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Whether death was attributed to breast cancer</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Progression Free Survival</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The length of time during and after the treatment of breast cancer, that a patient lives with the breast cancer but it does not get worse</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Objective response rate (ORR)</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 xml:space="preserve">The assessment of the </w:t>
            </w:r>
            <w:r w:rsidR="00552EEE" w:rsidRPr="00AC2DFC">
              <w:rPr>
                <w:rFonts w:ascii="Calibri" w:eastAsia="Times New Roman" w:hAnsi="Calibri" w:cs="Calibri"/>
                <w:color w:val="000000"/>
                <w:lang w:val="en-GB" w:eastAsia="nl-NL"/>
              </w:rPr>
              <w:t>tumour</w:t>
            </w:r>
            <w:r w:rsidRPr="00AC2DFC">
              <w:rPr>
                <w:rFonts w:ascii="Calibri" w:eastAsia="Times New Roman" w:hAnsi="Calibri" w:cs="Calibri"/>
                <w:color w:val="000000"/>
                <w:lang w:val="en-GB" w:eastAsia="nl-NL"/>
              </w:rPr>
              <w:t xml:space="preserve"> burden after a given treatment. It demonstrates the efficacy of a treatment.</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Duration of Response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 xml:space="preserve">The length of time that a </w:t>
            </w:r>
            <w:r w:rsidR="00552EEE" w:rsidRPr="00AC2DFC">
              <w:rPr>
                <w:rFonts w:ascii="Calibri" w:eastAsia="Times New Roman" w:hAnsi="Calibri" w:cs="Calibri"/>
                <w:color w:val="000000"/>
                <w:lang w:val="en-GB" w:eastAsia="nl-NL"/>
              </w:rPr>
              <w:t>tumour</w:t>
            </w:r>
            <w:r w:rsidRPr="00AC2DFC">
              <w:rPr>
                <w:rFonts w:ascii="Calibri" w:eastAsia="Times New Roman" w:hAnsi="Calibri" w:cs="Calibri"/>
                <w:color w:val="000000"/>
                <w:lang w:val="en-GB" w:eastAsia="nl-NL"/>
              </w:rPr>
              <w:t xml:space="preserve"> continues to respond to treatment without the cancer growing or spreading</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lang w:val="en-GB" w:eastAsia="nl-NL"/>
              </w:rPr>
            </w:pPr>
            <w:r w:rsidRPr="00AC2DFC">
              <w:rPr>
                <w:rFonts w:ascii="Calibri" w:eastAsia="Times New Roman" w:hAnsi="Calibri" w:cs="Calibri"/>
                <w:b/>
                <w:bCs/>
                <w:lang w:val="en-GB" w:eastAsia="nl-NL"/>
              </w:rPr>
              <w:t>Acute complications</w:t>
            </w:r>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 </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Fatigue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Feeling weak, lacking in energy, tired, drained, or exhausted</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Insomnia</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E.g. problems falling asleep, waking up frequently at night, trouble sleeping, waking up too early</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Cough</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Problems with coughing (e.g. dry cough, wet cough, coughing up blood)</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Shortness of breath/chest tightness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Shortness of breath or respiratory problems, which may happen at rest, and may require treatment</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Pain</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Unpleasant physical sensation that limits activities of daily life, limits </w:t>
            </w:r>
            <w:r w:rsidR="00552EEE" w:rsidRPr="00AC2DFC">
              <w:rPr>
                <w:rFonts w:ascii="Calibri" w:eastAsia="Times New Roman" w:hAnsi="Calibri" w:cs="Calibri"/>
                <w:lang w:val="en-GB" w:eastAsia="nl-NL"/>
              </w:rPr>
              <w:t>self-care</w:t>
            </w:r>
            <w:r w:rsidRPr="00AC2DFC">
              <w:rPr>
                <w:rFonts w:ascii="Calibri" w:eastAsia="Times New Roman" w:hAnsi="Calibri" w:cs="Calibri"/>
                <w:lang w:val="en-GB" w:eastAsia="nl-NL"/>
              </w:rPr>
              <w:t xml:space="preserve"> and/or requires medication or hospitalisation (e.g. arching joints)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Nausea</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Feeling of being sick, which may lead to impact on intake of food and/or fluids and/or normal activities</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Vomiting</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Vomiting</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552EEE"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Diarrhoea</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Passing looser stools or passing stools more often than usual</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Constipation</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Having difficulty passing stools, which may be large and hard</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Joint pain</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Joint pain (e.g. hip and back)</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Headaches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Pain localized in and around the head</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Rash</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Discolorations and skin changes (vesicles, nodules, pustules) of various sizes and groupings on the skin and mucous membranes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Hand-foot syndrome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Rash consisting of painful, swollen, dry, red-</w:t>
            </w:r>
            <w:r w:rsidR="00552EEE" w:rsidRPr="00AC2DFC">
              <w:rPr>
                <w:rFonts w:ascii="Calibri" w:eastAsia="Times New Roman" w:hAnsi="Calibri" w:cs="Calibri"/>
                <w:lang w:val="en-GB" w:eastAsia="nl-NL"/>
              </w:rPr>
              <w:t>coloured</w:t>
            </w:r>
            <w:r w:rsidRPr="00AC2DFC">
              <w:rPr>
                <w:rFonts w:ascii="Calibri" w:eastAsia="Times New Roman" w:hAnsi="Calibri" w:cs="Calibri"/>
                <w:lang w:val="en-GB" w:eastAsia="nl-NL"/>
              </w:rPr>
              <w:t>, itchy hands and feet (often with tight, shiny skin) that may have blisters</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Inflamed and sore mouth</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Inflammation of the entire oral mucosa and often also of the lips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Damage or dysfunction of nerve(s)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Damage or dysfunction of one or more nerves that typically results in numbness, tingling, muscle weakness and pain in hands and/or feet.</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Fever</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An increase in body temperature above 38 degrees Celsius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High blood sugar (</w:t>
            </w:r>
            <w:r w:rsidR="00552EEE" w:rsidRPr="00AC2DFC">
              <w:rPr>
                <w:rFonts w:ascii="Calibri" w:eastAsia="Times New Roman" w:hAnsi="Calibri" w:cs="Calibri"/>
                <w:color w:val="000000"/>
                <w:lang w:val="en-GB" w:eastAsia="nl-NL"/>
              </w:rPr>
              <w:t>hyperglycaemia</w:t>
            </w:r>
            <w:r w:rsidRPr="00AC2DFC">
              <w:rPr>
                <w:rFonts w:ascii="Calibri" w:eastAsia="Times New Roman" w:hAnsi="Calibri" w:cs="Calibri"/>
                <w:color w:val="000000"/>
                <w:lang w:val="en-GB" w:eastAsia="nl-NL"/>
              </w:rPr>
              <w:t>)</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The blood glucose level is too high</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High blood pressure (hypertension)</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High blood pressure</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Thrombosis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Blood clots block veins or arteries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Malnutrition</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Deficiencies, excesses, or imbalances in a person's intake of energy and/or nutrients</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b/>
                <w:bCs/>
                <w:color w:val="000000"/>
                <w:lang w:val="en-GB" w:eastAsia="nl-NL"/>
              </w:rPr>
            </w:pPr>
            <w:proofErr w:type="spellStart"/>
            <w:r w:rsidRPr="00AC2DFC">
              <w:rPr>
                <w:rFonts w:ascii="Calibri" w:eastAsia="Times New Roman" w:hAnsi="Calibri" w:cs="Calibri"/>
                <w:b/>
                <w:bCs/>
                <w:color w:val="000000"/>
                <w:lang w:val="en-GB" w:eastAsia="nl-NL"/>
              </w:rPr>
              <w:t>HRQoL</w:t>
            </w:r>
            <w:proofErr w:type="spellEnd"/>
          </w:p>
        </w:tc>
        <w:tc>
          <w:tcPr>
            <w:tcW w:w="6247" w:type="dxa"/>
            <w:tcBorders>
              <w:top w:val="nil"/>
              <w:left w:val="nil"/>
              <w:bottom w:val="single" w:sz="4" w:space="0" w:color="auto"/>
              <w:right w:val="single" w:sz="4" w:space="0" w:color="auto"/>
            </w:tcBorders>
            <w:shd w:val="clear" w:color="000000" w:fill="D9E1F2"/>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w:t>
            </w:r>
          </w:p>
        </w:tc>
      </w:tr>
      <w:tr w:rsidR="00DC5E05" w:rsidRPr="00AC2DFC" w:rsidTr="003412EA">
        <w:trPr>
          <w:trHeight w:val="172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lastRenderedPageBreak/>
              <w:t>General well-being</w:t>
            </w:r>
          </w:p>
        </w:tc>
        <w:tc>
          <w:tcPr>
            <w:tcW w:w="6247"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 general indicator of overall health and quality of life</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General quality of life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 general indicator of life satisfaction and physical, emotional, and social well-being</w:t>
            </w:r>
          </w:p>
        </w:tc>
      </w:tr>
      <w:tr w:rsidR="00DC5E05" w:rsidRPr="00AC2DFC" w:rsidTr="00AF3A36">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AF3A36" w:rsidP="003412EA">
            <w:pPr>
              <w:spacing w:after="0" w:line="240" w:lineRule="auto"/>
              <w:rPr>
                <w:rFonts w:ascii="Calibri" w:eastAsia="Times New Roman" w:hAnsi="Calibri" w:cs="Calibri"/>
                <w:color w:val="9C6500"/>
                <w:lang w:val="en-GB" w:eastAsia="nl-NL"/>
              </w:rPr>
            </w:pPr>
            <w:r w:rsidRPr="00AC2DFC">
              <w:rPr>
                <w:rFonts w:ascii="Calibri" w:eastAsia="Times New Roman" w:hAnsi="Calibri" w:cs="Calibri"/>
                <w:lang w:val="en-GB" w:eastAsia="nl-NL"/>
              </w:rPr>
              <w:t>Daily functioning /role functioning</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The ability to perform and participate in daily activities, i.e. care for oneself, physical ability, working ability, including functioning in usual social and occupational roles</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Physical functioning</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Ability to perform physical activities (e.g. trouble doing strenuous activities, long walk/short walk; stay in bed/chair during the day; need help with eating, dressing, washing yourself or using the toilet)</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Physical activity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E.g. walking, cycling, swimming</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Social functioning</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 xml:space="preserve">The extent to which the patient's physical condition or medical treatment has affected family life and social activities (e.g. </w:t>
            </w:r>
            <w:proofErr w:type="spellStart"/>
            <w:r w:rsidRPr="00AC2DFC">
              <w:rPr>
                <w:rFonts w:ascii="Calibri" w:eastAsia="Times New Roman" w:hAnsi="Calibri" w:cs="Calibri"/>
                <w:lang w:val="en-GB" w:eastAsia="nl-NL"/>
              </w:rPr>
              <w:t>theater</w:t>
            </w:r>
            <w:proofErr w:type="spellEnd"/>
            <w:r w:rsidRPr="00AC2DFC">
              <w:rPr>
                <w:rFonts w:ascii="Calibri" w:eastAsia="Times New Roman" w:hAnsi="Calibri" w:cs="Calibri"/>
                <w:lang w:val="en-GB" w:eastAsia="nl-NL"/>
              </w:rPr>
              <w:t>, hobbies, sports)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Emotional functioning</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Degree of emotional functioning (e.g. feeling tense, worrying, feeling irritable, feeling depressed, feeling sad, showing empathy to other people)</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Cognitive functioning</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Loss of cognitive abilities such as remembering things, concentrating, thinking, keeping focus on tasks, or performing multiple tasks simultaneously</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Autonomy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Ability of a person to make his or her own decisions</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Social support</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The degree in which a person feels supported by his/her network, including through emotional support, tangible support, affectionate support, and positive social interactions</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Relationship/marital problems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Feeling that partner relation improved or deteriorated, being able to talk about your illness with your partner or the person closest to you</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Sexuality and intimacy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Sexual desire, sexual activity, pleasure during sex</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Worries and fears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Worries and fears related to breast cancer, dying from breast cancer or health in the future</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Fear of cancer progression</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Fear that cancer could progress or spread to another part of the body</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Worry impact of cancer on children</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Concerns about the impact of cancer on the children of the cancer patient</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Worry impact of patient's death on children and family</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Concerns about the impact of the cancer patient's death on the cancer patient's children and family</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Overall Symptom Experience/overall bother from side effects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The extent to which someone is bothered by side effects from cancer and the associated disruption to normal activities</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Swelling of arms and legs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Swelling of arms and legs</w:t>
            </w:r>
          </w:p>
        </w:tc>
      </w:tr>
      <w:tr w:rsidR="00AF3A36"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tcPr>
          <w:p w:rsidR="00AF3A36" w:rsidRPr="00AC2DFC" w:rsidRDefault="00AF3A36"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lastRenderedPageBreak/>
              <w:t>Weight loss or increase</w:t>
            </w:r>
          </w:p>
        </w:tc>
        <w:tc>
          <w:tcPr>
            <w:tcW w:w="6247" w:type="dxa"/>
            <w:tcBorders>
              <w:top w:val="nil"/>
              <w:left w:val="nil"/>
              <w:bottom w:val="single" w:sz="4" w:space="0" w:color="auto"/>
              <w:right w:val="single" w:sz="4" w:space="0" w:color="auto"/>
            </w:tcBorders>
            <w:shd w:val="clear" w:color="auto" w:fill="auto"/>
          </w:tcPr>
          <w:p w:rsidR="00AF3A36" w:rsidRPr="00AC2DFC" w:rsidRDefault="00AF3A36" w:rsidP="003412EA">
            <w:pPr>
              <w:spacing w:after="0" w:line="240" w:lineRule="auto"/>
              <w:rPr>
                <w:rFonts w:ascii="Calibri" w:eastAsia="Times New Roman" w:hAnsi="Calibri" w:cs="Calibri"/>
                <w:lang w:val="en-GB" w:eastAsia="nl-NL"/>
              </w:rPr>
            </w:pPr>
            <w:r w:rsidRPr="00AC2DFC">
              <w:rPr>
                <w:rFonts w:ascii="Calibri" w:eastAsia="Times New Roman" w:hAnsi="Calibri" w:cs="Calibri"/>
                <w:color w:val="000000"/>
                <w:lang w:val="en-GB" w:eastAsia="nl-NL"/>
              </w:rPr>
              <w:t>Weight loss or increase</w:t>
            </w:r>
          </w:p>
        </w:tc>
      </w:tr>
      <w:tr w:rsidR="00DC5E05" w:rsidRPr="00AC2DFC" w:rsidTr="003412EA">
        <w:trPr>
          <w:trHeight w:val="576"/>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Uncertainty/unknown future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Concerns about the impact of cancer on the future, making the (nearby) future uncertain</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Symptom awareness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Being alert for symptoms/side effects and contacting doctor for this</w:t>
            </w:r>
          </w:p>
        </w:tc>
      </w:tr>
      <w:tr w:rsidR="00DC5E05" w:rsidRPr="00AC2DFC" w:rsidTr="003412EA">
        <w:trPr>
          <w:trHeight w:val="28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Financial impact</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The impact of cancer on financial aspects of life</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Loss of income</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Loss of income due to cancer</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Ability to work</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The experienced degree of limitation in doing work</w:t>
            </w:r>
          </w:p>
        </w:tc>
      </w:tr>
      <w:tr w:rsidR="00DC5E05" w:rsidRPr="00AC2DFC" w:rsidTr="003412EA">
        <w:trPr>
          <w:trHeight w:val="864"/>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Problems insurances; loans; mortgages</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lang w:val="en-GB" w:eastAsia="nl-NL"/>
              </w:rPr>
            </w:pPr>
            <w:r w:rsidRPr="00AC2DFC">
              <w:rPr>
                <w:rFonts w:ascii="Calibri" w:eastAsia="Times New Roman" w:hAnsi="Calibri" w:cs="Calibri"/>
                <w:lang w:val="en-GB" w:eastAsia="nl-NL"/>
              </w:rPr>
              <w:t>Problems with taking out insurances, loans, and/or mortgages due to cancer and coverage of the daily medical needs such as treatment and medication due to cancer.</w:t>
            </w:r>
          </w:p>
        </w:tc>
      </w:tr>
      <w:tr w:rsidR="00DC5E05" w:rsidRPr="00AC2DFC" w:rsidTr="003412EA">
        <w:trPr>
          <w:trHeight w:val="1008"/>
        </w:trPr>
        <w:tc>
          <w:tcPr>
            <w:tcW w:w="2820" w:type="dxa"/>
            <w:tcBorders>
              <w:top w:val="nil"/>
              <w:left w:val="single" w:sz="4" w:space="0" w:color="auto"/>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Relationship between patient and medical team</w:t>
            </w:r>
          </w:p>
        </w:tc>
        <w:tc>
          <w:tcPr>
            <w:tcW w:w="6247" w:type="dxa"/>
            <w:tcBorders>
              <w:top w:val="nil"/>
              <w:left w:val="nil"/>
              <w:bottom w:val="single" w:sz="4" w:space="0" w:color="auto"/>
              <w:right w:val="single" w:sz="4" w:space="0" w:color="auto"/>
            </w:tcBorders>
            <w:shd w:val="clear" w:color="auto" w:fill="auto"/>
            <w:hideMark/>
          </w:tcPr>
          <w:p w:rsidR="00DC5E05" w:rsidRPr="00AC2DFC" w:rsidRDefault="00DC5E05" w:rsidP="003412EA">
            <w:pPr>
              <w:spacing w:after="0" w:line="240" w:lineRule="auto"/>
              <w:rPr>
                <w:rFonts w:ascii="Calibri" w:eastAsia="Times New Roman" w:hAnsi="Calibri" w:cs="Calibri"/>
                <w:color w:val="000000"/>
                <w:lang w:val="en-GB" w:eastAsia="nl-NL"/>
              </w:rPr>
            </w:pPr>
            <w:r w:rsidRPr="00AC2DFC">
              <w:rPr>
                <w:rFonts w:ascii="Calibri" w:eastAsia="Times New Roman" w:hAnsi="Calibri" w:cs="Calibri"/>
                <w:color w:val="000000"/>
                <w:lang w:val="en-GB" w:eastAsia="nl-NL"/>
              </w:rPr>
              <w:t>Relationship between patient and medical team, built on trust, respect, communication, and a common understanding of both the medical team' and patients' sides.</w:t>
            </w:r>
          </w:p>
        </w:tc>
      </w:tr>
    </w:tbl>
    <w:p w:rsidR="00DC5E05" w:rsidRPr="00AC2DFC" w:rsidRDefault="00DC5E05" w:rsidP="00DC5E05">
      <w:pPr>
        <w:rPr>
          <w:rFonts w:ascii="Arial" w:hAnsi="Arial" w:cs="Arial"/>
          <w:b/>
          <w:sz w:val="20"/>
          <w:szCs w:val="20"/>
          <w:lang w:val="en-US"/>
        </w:rPr>
      </w:pPr>
    </w:p>
    <w:p w:rsidR="00DC5E05" w:rsidRPr="00AC2DFC" w:rsidRDefault="00DC5E05" w:rsidP="00DC5E05">
      <w:pPr>
        <w:rPr>
          <w:rFonts w:ascii="Arial" w:hAnsi="Arial" w:cs="Arial"/>
          <w:b/>
          <w:sz w:val="20"/>
          <w:szCs w:val="20"/>
          <w:lang w:val="en-US"/>
        </w:rPr>
      </w:pPr>
      <w:r w:rsidRPr="00AC2DFC">
        <w:rPr>
          <w:rFonts w:ascii="Arial" w:hAnsi="Arial" w:cs="Arial"/>
          <w:b/>
          <w:sz w:val="20"/>
          <w:szCs w:val="20"/>
          <w:lang w:val="en-US"/>
        </w:rPr>
        <w:t>Abbreviations</w:t>
      </w:r>
      <w:proofErr w:type="gramStart"/>
      <w:r w:rsidRPr="00AC2DFC">
        <w:rPr>
          <w:rFonts w:ascii="Arial" w:hAnsi="Arial" w:cs="Arial"/>
          <w:b/>
          <w:sz w:val="20"/>
          <w:szCs w:val="20"/>
          <w:lang w:val="en-US"/>
        </w:rPr>
        <w:t>:</w:t>
      </w:r>
      <w:proofErr w:type="gramEnd"/>
      <w:r w:rsidRPr="00AC2DFC">
        <w:rPr>
          <w:rFonts w:ascii="Arial" w:hAnsi="Arial" w:cs="Arial"/>
          <w:b/>
          <w:sz w:val="20"/>
          <w:szCs w:val="20"/>
          <w:lang w:val="en-US"/>
        </w:rPr>
        <w:br/>
      </w:r>
      <w:proofErr w:type="spellStart"/>
      <w:r w:rsidRPr="00AC2DFC">
        <w:rPr>
          <w:rFonts w:ascii="Arial" w:hAnsi="Arial" w:cs="Arial"/>
          <w:b/>
          <w:sz w:val="20"/>
          <w:szCs w:val="20"/>
          <w:lang w:val="en-US"/>
        </w:rPr>
        <w:t>HRQoL</w:t>
      </w:r>
      <w:proofErr w:type="spellEnd"/>
      <w:r w:rsidRPr="00AC2DFC">
        <w:rPr>
          <w:rFonts w:ascii="Arial" w:hAnsi="Arial" w:cs="Arial"/>
          <w:b/>
          <w:sz w:val="20"/>
          <w:szCs w:val="20"/>
          <w:lang w:val="en-US"/>
        </w:rPr>
        <w:t xml:space="preserve">: </w:t>
      </w:r>
      <w:r w:rsidRPr="00AC2DFC">
        <w:rPr>
          <w:rFonts w:ascii="Arial" w:hAnsi="Arial" w:cs="Arial"/>
          <w:sz w:val="20"/>
          <w:szCs w:val="20"/>
          <w:lang w:val="en-US"/>
        </w:rPr>
        <w:t>Health-related quality of life</w:t>
      </w:r>
      <w:r w:rsidRPr="00AC2DFC">
        <w:rPr>
          <w:rFonts w:ascii="Arial" w:hAnsi="Arial" w:cs="Arial"/>
          <w:b/>
          <w:sz w:val="20"/>
          <w:szCs w:val="20"/>
          <w:lang w:val="en-US"/>
        </w:rPr>
        <w:t xml:space="preserve"> </w:t>
      </w:r>
      <w:r w:rsidRPr="00AC2DFC">
        <w:rPr>
          <w:rFonts w:ascii="Arial" w:hAnsi="Arial" w:cs="Arial"/>
          <w:b/>
          <w:sz w:val="20"/>
          <w:szCs w:val="20"/>
          <w:lang w:val="en-US"/>
        </w:rPr>
        <w:br w:type="page"/>
      </w:r>
    </w:p>
    <w:p w:rsidR="00DC5E05" w:rsidRPr="00AC2DFC" w:rsidRDefault="00DC5E05" w:rsidP="00DC5E05">
      <w:pPr>
        <w:pStyle w:val="BasistekstIKNL"/>
        <w:rPr>
          <w:rFonts w:cs="Arial"/>
          <w:b/>
          <w:sz w:val="20"/>
          <w:szCs w:val="20"/>
          <w:lang w:val="en-US"/>
        </w:rPr>
        <w:sectPr w:rsidR="00DC5E05" w:rsidRPr="00AC2DFC" w:rsidSect="00551B24">
          <w:pgSz w:w="11906" w:h="16838"/>
          <w:pgMar w:top="1418" w:right="1418" w:bottom="1418" w:left="1418" w:header="709" w:footer="709" w:gutter="0"/>
          <w:cols w:space="708"/>
          <w:docGrid w:linePitch="360"/>
        </w:sectPr>
      </w:pPr>
    </w:p>
    <w:p w:rsidR="00DC5E05" w:rsidRPr="00AC2DFC" w:rsidRDefault="00DC5E05" w:rsidP="00DC5E05">
      <w:pPr>
        <w:pStyle w:val="BasistekstIKNL"/>
        <w:rPr>
          <w:rFonts w:cs="Arial"/>
          <w:sz w:val="22"/>
          <w:szCs w:val="22"/>
          <w:lang w:val="en-US"/>
        </w:rPr>
      </w:pPr>
      <w:r w:rsidRPr="00AC2DFC">
        <w:rPr>
          <w:rFonts w:cs="Arial"/>
          <w:b/>
          <w:sz w:val="20"/>
          <w:szCs w:val="20"/>
          <w:lang w:val="en-US"/>
        </w:rPr>
        <w:lastRenderedPageBreak/>
        <w:t xml:space="preserve">Supplementary Table 2: </w:t>
      </w:r>
      <w:r w:rsidRPr="00AC2DFC">
        <w:rPr>
          <w:rFonts w:cs="Arial"/>
          <w:b/>
          <w:sz w:val="22"/>
          <w:szCs w:val="22"/>
          <w:lang w:val="en-US"/>
        </w:rPr>
        <w:t>characteristics of participants in the Modified Delphi procedure</w:t>
      </w:r>
    </w:p>
    <w:tbl>
      <w:tblPr>
        <w:tblStyle w:val="TabelIKNL"/>
        <w:tblpPr w:leftFromText="141" w:rightFromText="141" w:vertAnchor="page" w:horzAnchor="page" w:tblpX="1459" w:tblpY="2835"/>
        <w:tblW w:w="9214" w:type="dxa"/>
        <w:tblLayout w:type="fixed"/>
        <w:tblCellMar>
          <w:left w:w="57" w:type="dxa"/>
          <w:right w:w="57" w:type="dxa"/>
        </w:tblCellMar>
        <w:tblLook w:val="04A0" w:firstRow="1" w:lastRow="0" w:firstColumn="1" w:lastColumn="0" w:noHBand="0" w:noVBand="1"/>
      </w:tblPr>
      <w:tblGrid>
        <w:gridCol w:w="227"/>
        <w:gridCol w:w="2558"/>
        <w:gridCol w:w="1326"/>
        <w:gridCol w:w="1418"/>
        <w:gridCol w:w="1417"/>
        <w:gridCol w:w="1276"/>
        <w:gridCol w:w="992"/>
      </w:tblGrid>
      <w:tr w:rsidR="00DC5E05" w:rsidRPr="00AC2DFC" w:rsidTr="003412EA">
        <w:trPr>
          <w:cnfStyle w:val="100000000000" w:firstRow="1" w:lastRow="0" w:firstColumn="0" w:lastColumn="0" w:oddVBand="0" w:evenVBand="0" w:oddHBand="0" w:evenHBand="0" w:firstRowFirstColumn="0" w:firstRowLastColumn="0" w:lastRowFirstColumn="0" w:lastRowLastColumn="0"/>
          <w:trHeight w:val="554"/>
        </w:trPr>
        <w:tc>
          <w:tcPr>
            <w:tcW w:w="2785" w:type="dxa"/>
            <w:gridSpan w:val="2"/>
            <w:tcBorders>
              <w:left w:val="single" w:sz="4" w:space="0" w:color="auto"/>
              <w:right w:val="single" w:sz="4" w:space="0" w:color="auto"/>
            </w:tcBorders>
          </w:tcPr>
          <w:p w:rsidR="00DC5E05" w:rsidRPr="00AC2DFC" w:rsidRDefault="00DC5E05" w:rsidP="003412EA">
            <w:pPr>
              <w:pStyle w:val="BasistekstIKNL"/>
              <w:rPr>
                <w:rFonts w:cs="Arial"/>
                <w:sz w:val="22"/>
                <w:szCs w:val="22"/>
                <w:lang w:val="en-US"/>
              </w:rPr>
            </w:pPr>
          </w:p>
        </w:tc>
        <w:tc>
          <w:tcPr>
            <w:tcW w:w="1326" w:type="dxa"/>
            <w:tcBorders>
              <w:left w:val="single" w:sz="4" w:space="0" w:color="auto"/>
            </w:tcBorders>
          </w:tcPr>
          <w:p w:rsidR="00DC5E05" w:rsidRPr="00AC2DFC" w:rsidRDefault="00DC5E05" w:rsidP="003412EA">
            <w:pPr>
              <w:pStyle w:val="BasistekstIKNL"/>
              <w:rPr>
                <w:rFonts w:cs="Arial"/>
                <w:b/>
                <w:bCs/>
                <w:sz w:val="22"/>
                <w:szCs w:val="22"/>
              </w:rPr>
            </w:pPr>
            <w:r w:rsidRPr="00AC2DFC">
              <w:rPr>
                <w:rFonts w:cs="Arial"/>
                <w:b/>
                <w:bCs/>
                <w:sz w:val="22"/>
                <w:szCs w:val="22"/>
              </w:rPr>
              <w:t>Patients/</w:t>
            </w:r>
          </w:p>
          <w:p w:rsidR="00DC5E05" w:rsidRPr="00AC2DFC" w:rsidRDefault="00DC5E05" w:rsidP="003412EA">
            <w:pPr>
              <w:pStyle w:val="BasistekstIKNL"/>
              <w:rPr>
                <w:rFonts w:cs="Arial"/>
                <w:b/>
                <w:bCs/>
                <w:sz w:val="22"/>
                <w:szCs w:val="22"/>
              </w:rPr>
            </w:pPr>
            <w:r w:rsidRPr="00AC2DFC">
              <w:rPr>
                <w:rFonts w:cs="Arial"/>
                <w:b/>
                <w:bCs/>
                <w:sz w:val="22"/>
                <w:szCs w:val="22"/>
              </w:rPr>
              <w:t>patient advocates</w:t>
            </w:r>
          </w:p>
        </w:tc>
        <w:tc>
          <w:tcPr>
            <w:tcW w:w="1418" w:type="dxa"/>
          </w:tcPr>
          <w:p w:rsidR="00DC5E05" w:rsidRPr="00AC2DFC" w:rsidRDefault="00DC5E05" w:rsidP="003412EA">
            <w:pPr>
              <w:pStyle w:val="BasistekstIKNL"/>
              <w:rPr>
                <w:rFonts w:cs="Arial"/>
                <w:b/>
                <w:bCs/>
                <w:sz w:val="22"/>
                <w:szCs w:val="22"/>
                <w:lang w:val="en-US"/>
              </w:rPr>
            </w:pPr>
            <w:r w:rsidRPr="00AC2DFC">
              <w:rPr>
                <w:rFonts w:cs="Arial"/>
                <w:b/>
                <w:bCs/>
                <w:sz w:val="22"/>
                <w:szCs w:val="22"/>
                <w:lang w:val="en-US"/>
              </w:rPr>
              <w:t>HCP/</w:t>
            </w:r>
          </w:p>
          <w:p w:rsidR="00DC5E05" w:rsidRPr="00AC2DFC" w:rsidRDefault="00DC5E05" w:rsidP="003412EA">
            <w:pPr>
              <w:pStyle w:val="BasistekstIKNL"/>
              <w:rPr>
                <w:rFonts w:cs="Arial"/>
                <w:i/>
                <w:iCs/>
                <w:sz w:val="22"/>
                <w:szCs w:val="22"/>
                <w:lang w:val="en-US"/>
              </w:rPr>
            </w:pPr>
            <w:r w:rsidRPr="00AC2DFC">
              <w:rPr>
                <w:rFonts w:cs="Arial"/>
                <w:b/>
                <w:bCs/>
                <w:sz w:val="22"/>
                <w:szCs w:val="22"/>
                <w:lang w:val="en-US"/>
              </w:rPr>
              <w:t>academic researchers</w:t>
            </w:r>
          </w:p>
        </w:tc>
        <w:tc>
          <w:tcPr>
            <w:tcW w:w="1417" w:type="dxa"/>
          </w:tcPr>
          <w:p w:rsidR="00DC5E05" w:rsidRPr="00AC2DFC" w:rsidRDefault="00DC5E05" w:rsidP="003412EA">
            <w:pPr>
              <w:pStyle w:val="BasistekstIKNL"/>
              <w:rPr>
                <w:rFonts w:cs="Arial"/>
                <w:b/>
                <w:bCs/>
                <w:sz w:val="22"/>
                <w:szCs w:val="22"/>
                <w:lang w:val="en-US"/>
              </w:rPr>
            </w:pPr>
            <w:r w:rsidRPr="00AC2DFC">
              <w:rPr>
                <w:rFonts w:cs="Arial"/>
                <w:b/>
                <w:bCs/>
                <w:sz w:val="22"/>
                <w:szCs w:val="22"/>
                <w:lang w:val="en-US"/>
              </w:rPr>
              <w:t xml:space="preserve">Industry </w:t>
            </w:r>
          </w:p>
        </w:tc>
        <w:tc>
          <w:tcPr>
            <w:tcW w:w="1276" w:type="dxa"/>
          </w:tcPr>
          <w:p w:rsidR="00DC5E05" w:rsidRPr="00AC2DFC" w:rsidRDefault="00DC5E05" w:rsidP="003412EA">
            <w:pPr>
              <w:pStyle w:val="BasistekstIKNL"/>
              <w:rPr>
                <w:rFonts w:cs="Arial"/>
                <w:b/>
                <w:bCs/>
                <w:sz w:val="22"/>
                <w:szCs w:val="22"/>
                <w:lang w:val="en-US"/>
              </w:rPr>
            </w:pPr>
            <w:r w:rsidRPr="00AC2DFC">
              <w:rPr>
                <w:rFonts w:cs="Arial"/>
                <w:b/>
                <w:bCs/>
                <w:sz w:val="22"/>
                <w:szCs w:val="22"/>
                <w:lang w:val="en-US"/>
              </w:rPr>
              <w:t>HA/HR</w:t>
            </w:r>
          </w:p>
        </w:tc>
        <w:tc>
          <w:tcPr>
            <w:tcW w:w="992" w:type="dxa"/>
            <w:tcBorders>
              <w:right w:val="single" w:sz="4" w:space="0" w:color="auto"/>
            </w:tcBorders>
          </w:tcPr>
          <w:p w:rsidR="00DC5E05" w:rsidRPr="00AC2DFC" w:rsidRDefault="00DC5E05" w:rsidP="003412EA">
            <w:pPr>
              <w:pStyle w:val="BasistekstIKNL"/>
              <w:rPr>
                <w:rFonts w:cs="Arial"/>
                <w:b/>
                <w:bCs/>
                <w:sz w:val="22"/>
                <w:szCs w:val="22"/>
                <w:lang w:val="en-US"/>
              </w:rPr>
            </w:pPr>
            <w:r w:rsidRPr="00AC2DFC">
              <w:rPr>
                <w:rFonts w:cs="Arial"/>
                <w:b/>
                <w:bCs/>
                <w:sz w:val="22"/>
                <w:szCs w:val="22"/>
                <w:lang w:val="en-US"/>
              </w:rPr>
              <w:t>Total</w:t>
            </w:r>
          </w:p>
        </w:tc>
      </w:tr>
      <w:tr w:rsidR="00DC5E05" w:rsidRPr="00AC2DFC" w:rsidTr="003412EA">
        <w:tc>
          <w:tcPr>
            <w:tcW w:w="2785" w:type="dxa"/>
            <w:gridSpan w:val="2"/>
            <w:tcBorders>
              <w:left w:val="single" w:sz="4" w:space="0" w:color="auto"/>
              <w:bottom w:val="single" w:sz="4" w:space="0" w:color="auto"/>
              <w:right w:val="single" w:sz="4" w:space="0" w:color="auto"/>
            </w:tcBorders>
          </w:tcPr>
          <w:p w:rsidR="00DC5E05" w:rsidRPr="00AC2DFC" w:rsidRDefault="00DC5E05" w:rsidP="003412EA">
            <w:pPr>
              <w:pStyle w:val="BasistekstIKNL"/>
              <w:rPr>
                <w:rFonts w:cs="Arial"/>
                <w:sz w:val="22"/>
                <w:szCs w:val="22"/>
                <w:lang w:val="en-US"/>
              </w:rPr>
            </w:pPr>
            <w:r w:rsidRPr="00AC2DFC">
              <w:rPr>
                <w:rFonts w:cs="Arial"/>
                <w:sz w:val="22"/>
                <w:szCs w:val="22"/>
                <w:lang w:val="en-US"/>
              </w:rPr>
              <w:t>Participants (N)</w:t>
            </w:r>
          </w:p>
        </w:tc>
        <w:tc>
          <w:tcPr>
            <w:tcW w:w="1326" w:type="dxa"/>
            <w:tcBorders>
              <w:left w:val="single" w:sz="4" w:space="0" w:color="auto"/>
              <w:bottom w:val="single" w:sz="4" w:space="0" w:color="auto"/>
            </w:tcBorders>
          </w:tcPr>
          <w:p w:rsidR="00DC5E05" w:rsidRPr="00AC2DFC" w:rsidRDefault="00DC5E05" w:rsidP="003412EA">
            <w:pPr>
              <w:pStyle w:val="BasistekstIKNL"/>
              <w:jc w:val="right"/>
              <w:rPr>
                <w:rFonts w:cs="Arial"/>
                <w:b/>
                <w:bCs/>
                <w:sz w:val="22"/>
                <w:szCs w:val="22"/>
              </w:rPr>
            </w:pPr>
            <w:r w:rsidRPr="00AC2DFC">
              <w:rPr>
                <w:rFonts w:cs="Arial"/>
                <w:b/>
                <w:bCs/>
                <w:sz w:val="22"/>
                <w:szCs w:val="22"/>
              </w:rPr>
              <w:t>45</w:t>
            </w:r>
          </w:p>
        </w:tc>
        <w:tc>
          <w:tcPr>
            <w:tcW w:w="1418" w:type="dxa"/>
            <w:tcBorders>
              <w:bottom w:val="single" w:sz="4" w:space="0" w:color="auto"/>
            </w:tcBorders>
          </w:tcPr>
          <w:p w:rsidR="00DC5E05" w:rsidRPr="00AC2DFC" w:rsidRDefault="00DC5E05" w:rsidP="003412EA">
            <w:pPr>
              <w:pStyle w:val="BasistekstIKNL"/>
              <w:jc w:val="right"/>
              <w:rPr>
                <w:rFonts w:cs="Arial"/>
                <w:b/>
                <w:bCs/>
                <w:sz w:val="22"/>
                <w:szCs w:val="22"/>
                <w:lang w:val="en-US"/>
              </w:rPr>
            </w:pPr>
            <w:r w:rsidRPr="00AC2DFC">
              <w:rPr>
                <w:rFonts w:cs="Arial"/>
                <w:b/>
                <w:bCs/>
                <w:sz w:val="22"/>
                <w:szCs w:val="22"/>
                <w:lang w:val="en-US"/>
              </w:rPr>
              <w:t xml:space="preserve">64 </w:t>
            </w:r>
            <w:r w:rsidRPr="00AC2DFC">
              <w:rPr>
                <w:rFonts w:cs="Arial"/>
                <w:b/>
                <w:bCs/>
                <w:sz w:val="22"/>
                <w:szCs w:val="22"/>
                <w:lang w:val="en-US"/>
              </w:rPr>
              <w:br/>
            </w:r>
            <w:r w:rsidRPr="00AC2DFC">
              <w:rPr>
                <w:rFonts w:cs="Arial"/>
                <w:i/>
                <w:iCs/>
                <w:sz w:val="22"/>
                <w:szCs w:val="22"/>
                <w:lang w:val="en-US"/>
              </w:rPr>
              <w:t>(38 HCP, 26 researchers)</w:t>
            </w:r>
          </w:p>
        </w:tc>
        <w:tc>
          <w:tcPr>
            <w:tcW w:w="1417" w:type="dxa"/>
            <w:tcBorders>
              <w:bottom w:val="single" w:sz="4" w:space="0" w:color="auto"/>
            </w:tcBorders>
          </w:tcPr>
          <w:p w:rsidR="00DC5E05" w:rsidRPr="00AC2DFC" w:rsidRDefault="00DC5E05" w:rsidP="003412EA">
            <w:pPr>
              <w:pStyle w:val="BasistekstIKNL"/>
              <w:jc w:val="right"/>
              <w:rPr>
                <w:rFonts w:cs="Arial"/>
                <w:b/>
                <w:bCs/>
                <w:sz w:val="22"/>
                <w:szCs w:val="22"/>
                <w:lang w:val="en-US"/>
              </w:rPr>
            </w:pPr>
            <w:r w:rsidRPr="00AC2DFC">
              <w:rPr>
                <w:rFonts w:cs="Arial"/>
                <w:b/>
                <w:bCs/>
                <w:sz w:val="22"/>
                <w:szCs w:val="22"/>
                <w:lang w:val="en-US"/>
              </w:rPr>
              <w:t>28</w:t>
            </w:r>
          </w:p>
        </w:tc>
        <w:tc>
          <w:tcPr>
            <w:tcW w:w="1276" w:type="dxa"/>
            <w:tcBorders>
              <w:bottom w:val="single" w:sz="4" w:space="0" w:color="auto"/>
            </w:tcBorders>
          </w:tcPr>
          <w:p w:rsidR="00DC5E05" w:rsidRPr="00AC2DFC" w:rsidRDefault="00DC5E05" w:rsidP="003412EA">
            <w:pPr>
              <w:pStyle w:val="BasistekstIKNL"/>
              <w:tabs>
                <w:tab w:val="center" w:pos="930"/>
              </w:tabs>
              <w:jc w:val="right"/>
              <w:rPr>
                <w:rFonts w:cs="Arial"/>
                <w:b/>
                <w:bCs/>
                <w:sz w:val="22"/>
                <w:szCs w:val="22"/>
                <w:lang w:val="en-US"/>
              </w:rPr>
            </w:pPr>
            <w:r w:rsidRPr="00AC2DFC">
              <w:rPr>
                <w:rFonts w:cs="Arial"/>
                <w:b/>
                <w:bCs/>
                <w:sz w:val="22"/>
                <w:szCs w:val="22"/>
                <w:lang w:val="en-US"/>
              </w:rPr>
              <w:t>4</w:t>
            </w:r>
          </w:p>
        </w:tc>
        <w:tc>
          <w:tcPr>
            <w:tcW w:w="992" w:type="dxa"/>
            <w:tcBorders>
              <w:bottom w:val="single" w:sz="4" w:space="0" w:color="auto"/>
              <w:right w:val="single" w:sz="4" w:space="0" w:color="auto"/>
            </w:tcBorders>
          </w:tcPr>
          <w:p w:rsidR="00DC5E05" w:rsidRPr="00AC2DFC" w:rsidRDefault="00DC5E05" w:rsidP="003412EA">
            <w:pPr>
              <w:pStyle w:val="BasistekstIKNL"/>
              <w:jc w:val="right"/>
              <w:rPr>
                <w:rFonts w:cs="Arial"/>
                <w:b/>
                <w:bCs/>
                <w:sz w:val="22"/>
                <w:szCs w:val="22"/>
                <w:lang w:val="en-US"/>
              </w:rPr>
            </w:pPr>
            <w:r w:rsidRPr="00AC2DFC">
              <w:rPr>
                <w:rFonts w:cs="Arial"/>
                <w:b/>
                <w:bCs/>
                <w:sz w:val="22"/>
                <w:szCs w:val="22"/>
                <w:lang w:val="en-US"/>
              </w:rPr>
              <w:t>141</w:t>
            </w:r>
          </w:p>
        </w:tc>
      </w:tr>
      <w:tr w:rsidR="00DC5E05" w:rsidRPr="00AC2DFC" w:rsidTr="003412EA">
        <w:tc>
          <w:tcPr>
            <w:tcW w:w="2785" w:type="dxa"/>
            <w:gridSpan w:val="2"/>
            <w:tcBorders>
              <w:top w:val="single" w:sz="4" w:space="0" w:color="auto"/>
              <w:left w:val="single" w:sz="4" w:space="0" w:color="auto"/>
              <w:bottom w:val="single" w:sz="4" w:space="0" w:color="auto"/>
              <w:right w:val="single" w:sz="4" w:space="0" w:color="auto"/>
            </w:tcBorders>
          </w:tcPr>
          <w:p w:rsidR="00DC5E05" w:rsidRPr="00AC2DFC" w:rsidRDefault="00DC5E05" w:rsidP="003412EA">
            <w:pPr>
              <w:pStyle w:val="BasistekstIKNL"/>
              <w:rPr>
                <w:rFonts w:cs="Arial"/>
                <w:sz w:val="22"/>
                <w:szCs w:val="22"/>
                <w:lang w:val="en-US"/>
              </w:rPr>
            </w:pPr>
            <w:r w:rsidRPr="00AC2DFC">
              <w:rPr>
                <w:rFonts w:cs="Arial"/>
                <w:color w:val="000000"/>
                <w:sz w:val="22"/>
                <w:szCs w:val="22"/>
              </w:rPr>
              <w:t>Mean age (in years)</w:t>
            </w:r>
          </w:p>
        </w:tc>
        <w:tc>
          <w:tcPr>
            <w:tcW w:w="1326" w:type="dxa"/>
            <w:tcBorders>
              <w:top w:val="single" w:sz="4" w:space="0" w:color="auto"/>
              <w:left w:val="single" w:sz="4" w:space="0" w:color="auto"/>
              <w:bottom w:val="single" w:sz="4" w:space="0" w:color="auto"/>
            </w:tcBorders>
          </w:tcPr>
          <w:p w:rsidR="00DC5E05" w:rsidRPr="00AC2DFC" w:rsidRDefault="00DC5E05" w:rsidP="003412EA">
            <w:pPr>
              <w:pStyle w:val="BasistekstIKNL"/>
              <w:jc w:val="right"/>
              <w:rPr>
                <w:rFonts w:cs="Arial"/>
                <w:b/>
                <w:bCs/>
                <w:sz w:val="22"/>
                <w:szCs w:val="22"/>
              </w:rPr>
            </w:pPr>
            <w:r w:rsidRPr="00AC2DFC">
              <w:rPr>
                <w:rFonts w:cs="Arial"/>
                <w:sz w:val="22"/>
                <w:szCs w:val="22"/>
                <w:lang w:val="en-US"/>
              </w:rPr>
              <w:t>56.4</w:t>
            </w:r>
          </w:p>
        </w:tc>
        <w:tc>
          <w:tcPr>
            <w:tcW w:w="1418" w:type="dxa"/>
            <w:tcBorders>
              <w:top w:val="single" w:sz="4" w:space="0" w:color="auto"/>
              <w:bottom w:val="single" w:sz="4" w:space="0" w:color="auto"/>
            </w:tcBorders>
          </w:tcPr>
          <w:p w:rsidR="00DC5E05" w:rsidRPr="00AC2DFC" w:rsidRDefault="00DC5E05" w:rsidP="003412EA">
            <w:pPr>
              <w:pStyle w:val="BasistekstIKNL"/>
              <w:jc w:val="right"/>
              <w:rPr>
                <w:rFonts w:cs="Arial"/>
                <w:b/>
                <w:bCs/>
                <w:sz w:val="22"/>
                <w:szCs w:val="22"/>
                <w:lang w:val="en-US"/>
              </w:rPr>
            </w:pPr>
            <w:r w:rsidRPr="00AC2DFC">
              <w:rPr>
                <w:rFonts w:cs="Arial"/>
                <w:sz w:val="22"/>
                <w:szCs w:val="22"/>
                <w:lang w:val="en-US"/>
              </w:rPr>
              <w:t>43.2</w:t>
            </w:r>
          </w:p>
        </w:tc>
        <w:tc>
          <w:tcPr>
            <w:tcW w:w="1417" w:type="dxa"/>
            <w:tcBorders>
              <w:top w:val="single" w:sz="4" w:space="0" w:color="auto"/>
              <w:bottom w:val="single" w:sz="4" w:space="0" w:color="auto"/>
            </w:tcBorders>
          </w:tcPr>
          <w:p w:rsidR="00DC5E05" w:rsidRPr="00AC2DFC" w:rsidRDefault="00DC5E05" w:rsidP="003412EA">
            <w:pPr>
              <w:pStyle w:val="BasistekstIKNL"/>
              <w:jc w:val="right"/>
              <w:rPr>
                <w:rFonts w:cs="Arial"/>
                <w:b/>
                <w:bCs/>
                <w:sz w:val="22"/>
                <w:szCs w:val="22"/>
                <w:lang w:val="en-US"/>
              </w:rPr>
            </w:pPr>
            <w:r w:rsidRPr="00AC2DFC">
              <w:rPr>
                <w:rFonts w:cs="Arial"/>
                <w:sz w:val="22"/>
                <w:szCs w:val="22"/>
                <w:lang w:val="en-US"/>
              </w:rPr>
              <w:t>45.1</w:t>
            </w:r>
          </w:p>
        </w:tc>
        <w:tc>
          <w:tcPr>
            <w:tcW w:w="1276" w:type="dxa"/>
            <w:tcBorders>
              <w:top w:val="single" w:sz="4" w:space="0" w:color="auto"/>
              <w:bottom w:val="single" w:sz="4" w:space="0" w:color="auto"/>
            </w:tcBorders>
          </w:tcPr>
          <w:p w:rsidR="00DC5E05" w:rsidRPr="00AC2DFC" w:rsidRDefault="00DC5E05" w:rsidP="003412EA">
            <w:pPr>
              <w:pStyle w:val="BasistekstIKNL"/>
              <w:tabs>
                <w:tab w:val="center" w:pos="930"/>
              </w:tabs>
              <w:jc w:val="right"/>
              <w:rPr>
                <w:rFonts w:cs="Arial"/>
                <w:b/>
                <w:bCs/>
                <w:sz w:val="22"/>
                <w:szCs w:val="22"/>
                <w:lang w:val="en-US"/>
              </w:rPr>
            </w:pPr>
            <w:r w:rsidRPr="00AC2DFC">
              <w:rPr>
                <w:rFonts w:cs="Arial"/>
                <w:sz w:val="22"/>
                <w:szCs w:val="22"/>
                <w:lang w:val="en-US"/>
              </w:rPr>
              <w:t>43.3</w:t>
            </w:r>
          </w:p>
        </w:tc>
        <w:tc>
          <w:tcPr>
            <w:tcW w:w="992" w:type="dxa"/>
            <w:tcBorders>
              <w:top w:val="single" w:sz="4" w:space="0" w:color="auto"/>
              <w:bottom w:val="single" w:sz="4" w:space="0" w:color="auto"/>
              <w:right w:val="single" w:sz="4" w:space="0" w:color="auto"/>
            </w:tcBorders>
          </w:tcPr>
          <w:p w:rsidR="00DC5E05" w:rsidRPr="00AC2DFC" w:rsidRDefault="00DC5E05" w:rsidP="003412EA">
            <w:pPr>
              <w:pStyle w:val="BasistekstIKNL"/>
              <w:jc w:val="right"/>
              <w:rPr>
                <w:rFonts w:cs="Arial"/>
                <w:b/>
                <w:bCs/>
                <w:sz w:val="22"/>
                <w:szCs w:val="22"/>
                <w:lang w:val="en-US"/>
              </w:rPr>
            </w:pPr>
            <w:r w:rsidRPr="00AC2DFC">
              <w:rPr>
                <w:rFonts w:cs="Arial"/>
                <w:sz w:val="22"/>
                <w:szCs w:val="22"/>
                <w:lang w:val="en-US"/>
              </w:rPr>
              <w:t>47.5</w:t>
            </w:r>
          </w:p>
        </w:tc>
      </w:tr>
      <w:tr w:rsidR="00DC5E05" w:rsidRPr="00AC2DFC" w:rsidTr="003412EA">
        <w:tc>
          <w:tcPr>
            <w:tcW w:w="2785" w:type="dxa"/>
            <w:gridSpan w:val="2"/>
            <w:tcBorders>
              <w:top w:val="single" w:sz="4" w:space="0" w:color="auto"/>
              <w:left w:val="single" w:sz="4" w:space="0" w:color="auto"/>
              <w:right w:val="single" w:sz="4" w:space="0" w:color="auto"/>
            </w:tcBorders>
          </w:tcPr>
          <w:p w:rsidR="00DC5E05" w:rsidRPr="00AC2DFC" w:rsidRDefault="00DC5E05" w:rsidP="003412EA">
            <w:pPr>
              <w:rPr>
                <w:rFonts w:cs="Arial"/>
                <w:color w:val="000000"/>
                <w:sz w:val="22"/>
                <w:szCs w:val="22"/>
                <w:lang w:val="en-US"/>
              </w:rPr>
            </w:pPr>
            <w:r w:rsidRPr="00AC2DFC">
              <w:rPr>
                <w:rFonts w:cs="Arial"/>
                <w:color w:val="000000"/>
                <w:sz w:val="22"/>
                <w:szCs w:val="22"/>
                <w:lang w:val="en-US"/>
              </w:rPr>
              <w:t>Country of residence</w:t>
            </w:r>
          </w:p>
        </w:tc>
        <w:tc>
          <w:tcPr>
            <w:tcW w:w="1326" w:type="dxa"/>
            <w:tcBorders>
              <w:top w:val="single" w:sz="4" w:space="0" w:color="auto"/>
              <w:left w:val="single" w:sz="4" w:space="0" w:color="auto"/>
            </w:tcBorders>
            <w:vAlign w:val="bottom"/>
          </w:tcPr>
          <w:p w:rsidR="00DC5E05" w:rsidRPr="00AC2DFC" w:rsidRDefault="00DC5E05" w:rsidP="003412EA">
            <w:pPr>
              <w:jc w:val="right"/>
              <w:rPr>
                <w:rFonts w:cs="Arial"/>
                <w:sz w:val="22"/>
                <w:szCs w:val="22"/>
                <w:lang w:val="en-US"/>
              </w:rPr>
            </w:pPr>
          </w:p>
        </w:tc>
        <w:tc>
          <w:tcPr>
            <w:tcW w:w="1418" w:type="dxa"/>
            <w:tcBorders>
              <w:top w:val="single" w:sz="4" w:space="0" w:color="auto"/>
            </w:tcBorders>
            <w:vAlign w:val="bottom"/>
          </w:tcPr>
          <w:p w:rsidR="00DC5E05" w:rsidRPr="00AC2DFC" w:rsidRDefault="00DC5E05" w:rsidP="003412EA">
            <w:pPr>
              <w:jc w:val="right"/>
              <w:rPr>
                <w:rFonts w:cs="Arial"/>
                <w:color w:val="000000"/>
                <w:sz w:val="22"/>
                <w:szCs w:val="22"/>
                <w:lang w:val="en-US"/>
              </w:rPr>
            </w:pPr>
          </w:p>
        </w:tc>
        <w:tc>
          <w:tcPr>
            <w:tcW w:w="1417" w:type="dxa"/>
            <w:tcBorders>
              <w:top w:val="single" w:sz="4" w:space="0" w:color="auto"/>
            </w:tcBorders>
            <w:vAlign w:val="bottom"/>
          </w:tcPr>
          <w:p w:rsidR="00DC5E05" w:rsidRPr="00AC2DFC" w:rsidRDefault="00DC5E05" w:rsidP="003412EA">
            <w:pPr>
              <w:jc w:val="right"/>
              <w:rPr>
                <w:rFonts w:cs="Arial"/>
                <w:color w:val="000000"/>
                <w:sz w:val="22"/>
                <w:szCs w:val="22"/>
                <w:lang w:val="en-US"/>
              </w:rPr>
            </w:pPr>
          </w:p>
        </w:tc>
        <w:tc>
          <w:tcPr>
            <w:tcW w:w="1276" w:type="dxa"/>
            <w:tcBorders>
              <w:top w:val="single" w:sz="4" w:space="0" w:color="auto"/>
            </w:tcBorders>
            <w:vAlign w:val="bottom"/>
          </w:tcPr>
          <w:p w:rsidR="00DC5E05" w:rsidRPr="00AC2DFC" w:rsidRDefault="00DC5E05" w:rsidP="003412EA">
            <w:pPr>
              <w:jc w:val="right"/>
              <w:rPr>
                <w:rFonts w:cs="Arial"/>
                <w:sz w:val="22"/>
                <w:szCs w:val="22"/>
                <w:lang w:val="en-US"/>
              </w:rPr>
            </w:pPr>
          </w:p>
        </w:tc>
        <w:tc>
          <w:tcPr>
            <w:tcW w:w="992" w:type="dxa"/>
            <w:tcBorders>
              <w:top w:val="single" w:sz="4" w:space="0" w:color="auto"/>
              <w:right w:val="single" w:sz="4" w:space="0" w:color="auto"/>
            </w:tcBorders>
          </w:tcPr>
          <w:p w:rsidR="00DC5E05" w:rsidRPr="00AC2DFC" w:rsidRDefault="00DC5E05" w:rsidP="003412EA">
            <w:pPr>
              <w:jc w:val="right"/>
              <w:rPr>
                <w:rFonts w:cs="Arial"/>
                <w:sz w:val="22"/>
                <w:szCs w:val="22"/>
                <w:lang w:val="en-US"/>
              </w:rPr>
            </w:pP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lang w:val="en-US"/>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lang w:val="en-US"/>
              </w:rPr>
            </w:pPr>
            <w:r w:rsidRPr="00AC2DFC">
              <w:rPr>
                <w:rFonts w:cs="Arial"/>
                <w:color w:val="000000"/>
                <w:sz w:val="22"/>
                <w:szCs w:val="22"/>
                <w:lang w:val="en-US"/>
              </w:rPr>
              <w:t>Argentina</w:t>
            </w:r>
          </w:p>
        </w:tc>
        <w:tc>
          <w:tcPr>
            <w:tcW w:w="1326" w:type="dxa"/>
            <w:tcBorders>
              <w:left w:val="single" w:sz="4" w:space="0" w:color="auto"/>
            </w:tcBorders>
            <w:vAlign w:val="bottom"/>
          </w:tcPr>
          <w:p w:rsidR="00DC5E05" w:rsidRPr="00AC2DFC" w:rsidRDefault="00DC5E05" w:rsidP="003412EA">
            <w:pPr>
              <w:jc w:val="right"/>
              <w:rPr>
                <w:rFonts w:cs="Arial"/>
                <w:sz w:val="22"/>
                <w:szCs w:val="22"/>
                <w:lang w:val="en-US"/>
              </w:rPr>
            </w:pPr>
            <w:r w:rsidRPr="00AC2DFC">
              <w:rPr>
                <w:rFonts w:cs="Arial"/>
                <w:sz w:val="22"/>
                <w:szCs w:val="22"/>
                <w:lang w:val="en-US"/>
              </w:rPr>
              <w:t>0</w:t>
            </w:r>
          </w:p>
        </w:tc>
        <w:tc>
          <w:tcPr>
            <w:tcW w:w="1418"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1</w:t>
            </w:r>
          </w:p>
        </w:tc>
        <w:tc>
          <w:tcPr>
            <w:tcW w:w="1417"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2</w:t>
            </w:r>
          </w:p>
        </w:tc>
        <w:tc>
          <w:tcPr>
            <w:tcW w:w="1276" w:type="dxa"/>
            <w:vAlign w:val="bottom"/>
          </w:tcPr>
          <w:p w:rsidR="00DC5E05" w:rsidRPr="00AC2DFC" w:rsidRDefault="00DC5E05" w:rsidP="003412EA">
            <w:pPr>
              <w:jc w:val="right"/>
              <w:rPr>
                <w:rFonts w:cs="Arial"/>
                <w:sz w:val="22"/>
                <w:szCs w:val="22"/>
                <w:lang w:val="en-US"/>
              </w:rPr>
            </w:pPr>
            <w:r w:rsidRPr="00AC2DFC">
              <w:rPr>
                <w:rFonts w:cs="Arial"/>
                <w:sz w:val="22"/>
                <w:szCs w:val="22"/>
                <w:lang w:val="en-US"/>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3</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lang w:val="en-US"/>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lang w:val="en-US"/>
              </w:rPr>
            </w:pPr>
            <w:r w:rsidRPr="00AC2DFC">
              <w:rPr>
                <w:rFonts w:cs="Arial"/>
                <w:color w:val="000000"/>
                <w:sz w:val="22"/>
                <w:szCs w:val="22"/>
                <w:lang w:val="en-US"/>
              </w:rPr>
              <w:t>Australia</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13</w:t>
            </w:r>
          </w:p>
        </w:tc>
        <w:tc>
          <w:tcPr>
            <w:tcW w:w="1418"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2</w:t>
            </w:r>
          </w:p>
        </w:tc>
        <w:tc>
          <w:tcPr>
            <w:tcW w:w="1417"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0</w:t>
            </w:r>
          </w:p>
        </w:tc>
        <w:tc>
          <w:tcPr>
            <w:tcW w:w="1276" w:type="dxa"/>
            <w:vAlign w:val="bottom"/>
          </w:tcPr>
          <w:p w:rsidR="00DC5E05" w:rsidRPr="00AC2DFC" w:rsidRDefault="00DC5E05" w:rsidP="003412EA">
            <w:pPr>
              <w:jc w:val="right"/>
              <w:rPr>
                <w:rFonts w:cs="Arial"/>
                <w:sz w:val="22"/>
                <w:szCs w:val="22"/>
                <w:lang w:val="en-US"/>
              </w:rPr>
            </w:pPr>
            <w:r w:rsidRPr="00AC2DFC">
              <w:rPr>
                <w:rFonts w:cs="Arial"/>
                <w:sz w:val="22"/>
                <w:szCs w:val="22"/>
                <w:lang w:val="en-US"/>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15</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lang w:val="en-US"/>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lang w:val="en-US"/>
              </w:rPr>
            </w:pPr>
            <w:r w:rsidRPr="00AC2DFC">
              <w:rPr>
                <w:rFonts w:cs="Arial"/>
                <w:color w:val="000000"/>
                <w:sz w:val="22"/>
                <w:szCs w:val="22"/>
                <w:lang w:val="en-US"/>
              </w:rPr>
              <w:t>Austria</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1</w:t>
            </w:r>
          </w:p>
        </w:tc>
        <w:tc>
          <w:tcPr>
            <w:tcW w:w="1418"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2</w:t>
            </w:r>
          </w:p>
        </w:tc>
        <w:tc>
          <w:tcPr>
            <w:tcW w:w="1417"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1</w:t>
            </w:r>
          </w:p>
        </w:tc>
        <w:tc>
          <w:tcPr>
            <w:tcW w:w="1276"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2</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6</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lang w:val="en-US"/>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lang w:val="en-US"/>
              </w:rPr>
            </w:pPr>
            <w:r w:rsidRPr="00AC2DFC">
              <w:rPr>
                <w:rFonts w:cs="Arial"/>
                <w:color w:val="000000"/>
                <w:sz w:val="22"/>
                <w:szCs w:val="22"/>
                <w:lang w:val="en-US"/>
              </w:rPr>
              <w:t>Belgium</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0</w:t>
            </w:r>
          </w:p>
        </w:tc>
        <w:tc>
          <w:tcPr>
            <w:tcW w:w="1418"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1</w:t>
            </w:r>
          </w:p>
        </w:tc>
        <w:tc>
          <w:tcPr>
            <w:tcW w:w="1417"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0</w:t>
            </w:r>
          </w:p>
        </w:tc>
        <w:tc>
          <w:tcPr>
            <w:tcW w:w="1276" w:type="dxa"/>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lang w:val="en-US"/>
              </w:rPr>
            </w:pPr>
            <w:r w:rsidRPr="00AC2DFC">
              <w:rPr>
                <w:rFonts w:cs="Arial"/>
                <w:color w:val="000000"/>
                <w:sz w:val="22"/>
                <w:szCs w:val="22"/>
                <w:lang w:val="en-US"/>
              </w:rPr>
              <w:t>1</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lang w:val="en-US"/>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lang w:val="en-US"/>
              </w:rPr>
              <w:t>Ca</w:t>
            </w:r>
            <w:r w:rsidRPr="00AC2DFC">
              <w:rPr>
                <w:rFonts w:cs="Arial"/>
                <w:color w:val="000000"/>
                <w:sz w:val="22"/>
                <w:szCs w:val="22"/>
              </w:rPr>
              <w:t>nada</w:t>
            </w:r>
          </w:p>
        </w:tc>
        <w:tc>
          <w:tcPr>
            <w:tcW w:w="1326" w:type="dxa"/>
            <w:tcBorders>
              <w:left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0</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c>
          <w:tcPr>
            <w:tcW w:w="1276"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Germany</w:t>
            </w:r>
          </w:p>
        </w:tc>
        <w:tc>
          <w:tcPr>
            <w:tcW w:w="1326" w:type="dxa"/>
            <w:tcBorders>
              <w:left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12</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w:t>
            </w:r>
          </w:p>
        </w:tc>
        <w:tc>
          <w:tcPr>
            <w:tcW w:w="1276"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14</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Italy</w:t>
            </w:r>
          </w:p>
        </w:tc>
        <w:tc>
          <w:tcPr>
            <w:tcW w:w="1326" w:type="dxa"/>
            <w:tcBorders>
              <w:left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3</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3</w:t>
            </w:r>
          </w:p>
        </w:tc>
        <w:tc>
          <w:tcPr>
            <w:tcW w:w="1276"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6</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Netherlands</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9</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15</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4</w:t>
            </w:r>
          </w:p>
        </w:tc>
        <w:tc>
          <w:tcPr>
            <w:tcW w:w="1276"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29</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Portugal</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7</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w:t>
            </w:r>
          </w:p>
        </w:tc>
        <w:tc>
          <w:tcPr>
            <w:tcW w:w="1276"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11</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Spain</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7</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6</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c>
          <w:tcPr>
            <w:tcW w:w="1276"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15</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Sweden</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13</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9</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4</w:t>
            </w:r>
          </w:p>
        </w:tc>
        <w:tc>
          <w:tcPr>
            <w:tcW w:w="1276"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26</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Switzerland</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0</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0</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3</w:t>
            </w:r>
          </w:p>
        </w:tc>
        <w:tc>
          <w:tcPr>
            <w:tcW w:w="1276"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3</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Turkey</w:t>
            </w:r>
          </w:p>
        </w:tc>
        <w:tc>
          <w:tcPr>
            <w:tcW w:w="1326" w:type="dxa"/>
            <w:tcBorders>
              <w:left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8"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c>
          <w:tcPr>
            <w:tcW w:w="1276"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United Kingdom</w:t>
            </w:r>
          </w:p>
        </w:tc>
        <w:tc>
          <w:tcPr>
            <w:tcW w:w="1326" w:type="dxa"/>
            <w:tcBorders>
              <w:left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6</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w:t>
            </w:r>
          </w:p>
        </w:tc>
        <w:tc>
          <w:tcPr>
            <w:tcW w:w="1276"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7</w:t>
            </w:r>
          </w:p>
        </w:tc>
      </w:tr>
      <w:tr w:rsidR="00DC5E05" w:rsidRPr="00AC2DFC" w:rsidTr="003412EA">
        <w:tc>
          <w:tcPr>
            <w:tcW w:w="227" w:type="dxa"/>
            <w:tcBorders>
              <w:left w:val="single" w:sz="4" w:space="0" w:color="auto"/>
              <w:bottom w:val="single" w:sz="4" w:space="0" w:color="auto"/>
            </w:tcBorders>
          </w:tcPr>
          <w:p w:rsidR="00DC5E05" w:rsidRPr="00AC2DFC" w:rsidRDefault="00DC5E05" w:rsidP="003412EA">
            <w:pPr>
              <w:rPr>
                <w:rFonts w:cs="Arial"/>
                <w:color w:val="000000"/>
              </w:rPr>
            </w:pPr>
          </w:p>
        </w:tc>
        <w:tc>
          <w:tcPr>
            <w:tcW w:w="2558" w:type="dxa"/>
            <w:tcBorders>
              <w:bottom w:val="single" w:sz="4" w:space="0" w:color="auto"/>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United States of America</w:t>
            </w:r>
          </w:p>
        </w:tc>
        <w:tc>
          <w:tcPr>
            <w:tcW w:w="1326" w:type="dxa"/>
            <w:tcBorders>
              <w:left w:val="single" w:sz="4" w:space="0" w:color="auto"/>
              <w:bottom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8" w:type="dxa"/>
            <w:tcBorders>
              <w:bottom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0</w:t>
            </w:r>
          </w:p>
        </w:tc>
        <w:tc>
          <w:tcPr>
            <w:tcW w:w="1417" w:type="dxa"/>
            <w:tcBorders>
              <w:bottom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3</w:t>
            </w:r>
          </w:p>
        </w:tc>
        <w:tc>
          <w:tcPr>
            <w:tcW w:w="1276" w:type="dxa"/>
            <w:tcBorders>
              <w:bottom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bottom w:val="single" w:sz="4" w:space="0" w:color="auto"/>
              <w:righ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3</w:t>
            </w:r>
          </w:p>
        </w:tc>
      </w:tr>
      <w:tr w:rsidR="00DC5E05" w:rsidRPr="00AC2DFC" w:rsidTr="003412EA">
        <w:tc>
          <w:tcPr>
            <w:tcW w:w="2785" w:type="dxa"/>
            <w:gridSpan w:val="2"/>
            <w:tcBorders>
              <w:top w:val="single" w:sz="4" w:space="0" w:color="auto"/>
              <w:left w:val="single" w:sz="4" w:space="0" w:color="auto"/>
              <w:right w:val="single" w:sz="4" w:space="0" w:color="auto"/>
            </w:tcBorders>
          </w:tcPr>
          <w:p w:rsidR="00DC5E05" w:rsidRPr="00AC2DFC" w:rsidRDefault="00DC5E05" w:rsidP="003412EA">
            <w:pPr>
              <w:rPr>
                <w:rFonts w:cs="Arial"/>
                <w:sz w:val="22"/>
                <w:szCs w:val="22"/>
              </w:rPr>
            </w:pPr>
            <w:r w:rsidRPr="00AC2DFC">
              <w:rPr>
                <w:rFonts w:cs="Arial"/>
                <w:sz w:val="22"/>
                <w:szCs w:val="22"/>
              </w:rPr>
              <w:t>Gender</w:t>
            </w:r>
          </w:p>
        </w:tc>
        <w:tc>
          <w:tcPr>
            <w:tcW w:w="1326" w:type="dxa"/>
            <w:tcBorders>
              <w:top w:val="single" w:sz="4" w:space="0" w:color="auto"/>
              <w:left w:val="single" w:sz="4" w:space="0" w:color="auto"/>
            </w:tcBorders>
            <w:vAlign w:val="bottom"/>
          </w:tcPr>
          <w:p w:rsidR="00DC5E05" w:rsidRPr="00AC2DFC" w:rsidRDefault="00DC5E05" w:rsidP="003412EA">
            <w:pPr>
              <w:jc w:val="right"/>
              <w:rPr>
                <w:rFonts w:cs="Arial"/>
                <w:sz w:val="22"/>
                <w:szCs w:val="22"/>
              </w:rPr>
            </w:pPr>
          </w:p>
        </w:tc>
        <w:tc>
          <w:tcPr>
            <w:tcW w:w="1418" w:type="dxa"/>
            <w:tcBorders>
              <w:top w:val="single" w:sz="4" w:space="0" w:color="auto"/>
            </w:tcBorders>
            <w:vAlign w:val="bottom"/>
          </w:tcPr>
          <w:p w:rsidR="00DC5E05" w:rsidRPr="00AC2DFC" w:rsidRDefault="00DC5E05" w:rsidP="003412EA">
            <w:pPr>
              <w:jc w:val="right"/>
              <w:rPr>
                <w:rFonts w:cs="Arial"/>
                <w:color w:val="000000"/>
                <w:sz w:val="22"/>
                <w:szCs w:val="22"/>
              </w:rPr>
            </w:pPr>
          </w:p>
        </w:tc>
        <w:tc>
          <w:tcPr>
            <w:tcW w:w="1417" w:type="dxa"/>
            <w:tcBorders>
              <w:top w:val="single" w:sz="4" w:space="0" w:color="auto"/>
            </w:tcBorders>
            <w:vAlign w:val="bottom"/>
          </w:tcPr>
          <w:p w:rsidR="00DC5E05" w:rsidRPr="00AC2DFC" w:rsidRDefault="00DC5E05" w:rsidP="003412EA">
            <w:pPr>
              <w:jc w:val="right"/>
              <w:rPr>
                <w:rFonts w:cs="Arial"/>
                <w:color w:val="000000"/>
                <w:sz w:val="22"/>
                <w:szCs w:val="22"/>
              </w:rPr>
            </w:pPr>
          </w:p>
        </w:tc>
        <w:tc>
          <w:tcPr>
            <w:tcW w:w="1276" w:type="dxa"/>
            <w:tcBorders>
              <w:top w:val="single" w:sz="4" w:space="0" w:color="auto"/>
            </w:tcBorders>
            <w:vAlign w:val="bottom"/>
          </w:tcPr>
          <w:p w:rsidR="00DC5E05" w:rsidRPr="00AC2DFC" w:rsidRDefault="00DC5E05" w:rsidP="003412EA">
            <w:pPr>
              <w:jc w:val="right"/>
              <w:rPr>
                <w:rFonts w:cs="Arial"/>
                <w:sz w:val="22"/>
                <w:szCs w:val="22"/>
              </w:rPr>
            </w:pPr>
          </w:p>
        </w:tc>
        <w:tc>
          <w:tcPr>
            <w:tcW w:w="992" w:type="dxa"/>
            <w:tcBorders>
              <w:top w:val="single" w:sz="4" w:space="0" w:color="auto"/>
              <w:right w:val="single" w:sz="4" w:space="0" w:color="auto"/>
            </w:tcBorders>
          </w:tcPr>
          <w:p w:rsidR="00DC5E05" w:rsidRPr="00AC2DFC" w:rsidRDefault="00DC5E05" w:rsidP="003412EA">
            <w:pPr>
              <w:jc w:val="right"/>
              <w:rPr>
                <w:rFonts w:cs="Arial"/>
                <w:sz w:val="22"/>
                <w:szCs w:val="22"/>
              </w:rPr>
            </w:pP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Male</w:t>
            </w:r>
          </w:p>
        </w:tc>
        <w:tc>
          <w:tcPr>
            <w:tcW w:w="1326" w:type="dxa"/>
            <w:tcBorders>
              <w:left w:val="single" w:sz="4" w:space="0" w:color="auto"/>
            </w:tcBorders>
            <w:vAlign w:val="bottom"/>
          </w:tcPr>
          <w:p w:rsidR="00DC5E05" w:rsidRPr="00AC2DFC" w:rsidRDefault="00DC5E05" w:rsidP="003412EA">
            <w:pPr>
              <w:jc w:val="right"/>
              <w:rPr>
                <w:rFonts w:cs="Arial"/>
                <w:sz w:val="22"/>
                <w:szCs w:val="22"/>
              </w:rPr>
            </w:pPr>
            <w:r w:rsidRPr="00AC2DFC">
              <w:rPr>
                <w:rFonts w:cs="Arial"/>
                <w:sz w:val="22"/>
                <w:szCs w:val="22"/>
              </w:rPr>
              <w:t>0</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10</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10</w:t>
            </w:r>
          </w:p>
        </w:tc>
        <w:tc>
          <w:tcPr>
            <w:tcW w:w="1276"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w:t>
            </w:r>
          </w:p>
        </w:tc>
        <w:tc>
          <w:tcPr>
            <w:tcW w:w="992" w:type="dxa"/>
            <w:tcBorders>
              <w:right w:val="single" w:sz="4" w:space="0" w:color="auto"/>
            </w:tcBorders>
          </w:tcPr>
          <w:p w:rsidR="00DC5E05" w:rsidRPr="00AC2DFC" w:rsidRDefault="00DC5E05" w:rsidP="003412EA">
            <w:pPr>
              <w:jc w:val="right"/>
              <w:rPr>
                <w:rFonts w:cs="Arial"/>
                <w:color w:val="000000"/>
                <w:sz w:val="22"/>
                <w:szCs w:val="22"/>
              </w:rPr>
            </w:pPr>
            <w:r w:rsidRPr="00AC2DFC">
              <w:rPr>
                <w:rFonts w:cs="Arial"/>
                <w:color w:val="000000"/>
                <w:sz w:val="22"/>
                <w:szCs w:val="22"/>
              </w:rPr>
              <w:t>22</w:t>
            </w: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rPr>
            </w:pPr>
            <w:r w:rsidRPr="00AC2DFC">
              <w:rPr>
                <w:rFonts w:cs="Arial"/>
                <w:color w:val="000000"/>
                <w:sz w:val="22"/>
                <w:szCs w:val="22"/>
              </w:rPr>
              <w:t>Female</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44</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54</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18</w:t>
            </w:r>
          </w:p>
        </w:tc>
        <w:tc>
          <w:tcPr>
            <w:tcW w:w="1276"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w:t>
            </w:r>
          </w:p>
        </w:tc>
        <w:tc>
          <w:tcPr>
            <w:tcW w:w="992" w:type="dxa"/>
            <w:tcBorders>
              <w:right w:val="single" w:sz="4" w:space="0" w:color="auto"/>
            </w:tcBorders>
          </w:tcPr>
          <w:p w:rsidR="00DC5E05" w:rsidRPr="00AC2DFC" w:rsidRDefault="00DC5E05" w:rsidP="003412EA">
            <w:pPr>
              <w:jc w:val="right"/>
              <w:rPr>
                <w:rFonts w:cs="Arial"/>
                <w:color w:val="000000"/>
                <w:sz w:val="22"/>
                <w:szCs w:val="22"/>
              </w:rPr>
            </w:pPr>
            <w:r w:rsidRPr="00AC2DFC">
              <w:rPr>
                <w:rFonts w:cs="Arial"/>
                <w:color w:val="000000"/>
                <w:sz w:val="22"/>
                <w:szCs w:val="22"/>
              </w:rPr>
              <w:t>118</w:t>
            </w:r>
          </w:p>
        </w:tc>
      </w:tr>
      <w:tr w:rsidR="00DC5E05" w:rsidRPr="00AC2DFC" w:rsidTr="003412EA">
        <w:tc>
          <w:tcPr>
            <w:tcW w:w="227" w:type="dxa"/>
            <w:tcBorders>
              <w:left w:val="single" w:sz="4" w:space="0" w:color="auto"/>
              <w:bottom w:val="single" w:sz="4" w:space="0" w:color="auto"/>
            </w:tcBorders>
          </w:tcPr>
          <w:p w:rsidR="00DC5E05" w:rsidRPr="00AC2DFC" w:rsidRDefault="00DC5E05" w:rsidP="003412EA">
            <w:pPr>
              <w:rPr>
                <w:rFonts w:cs="Arial"/>
                <w:color w:val="000000"/>
                <w:lang w:val="en-US"/>
              </w:rPr>
            </w:pPr>
          </w:p>
        </w:tc>
        <w:tc>
          <w:tcPr>
            <w:tcW w:w="2558" w:type="dxa"/>
            <w:tcBorders>
              <w:bottom w:val="single" w:sz="4" w:space="0" w:color="auto"/>
              <w:right w:val="single" w:sz="4" w:space="0" w:color="auto"/>
            </w:tcBorders>
            <w:vAlign w:val="bottom"/>
          </w:tcPr>
          <w:p w:rsidR="00DC5E05" w:rsidRPr="00AC2DFC" w:rsidRDefault="00DC5E05" w:rsidP="003412EA">
            <w:pPr>
              <w:rPr>
                <w:rFonts w:cs="Arial"/>
                <w:color w:val="000000"/>
                <w:sz w:val="22"/>
                <w:szCs w:val="22"/>
                <w:lang w:val="en-US"/>
              </w:rPr>
            </w:pPr>
            <w:r w:rsidRPr="00AC2DFC">
              <w:rPr>
                <w:rFonts w:cs="Arial"/>
                <w:color w:val="000000"/>
                <w:sz w:val="22"/>
                <w:szCs w:val="22"/>
                <w:lang w:val="en-US"/>
              </w:rPr>
              <w:t>I would rather not say</w:t>
            </w:r>
          </w:p>
        </w:tc>
        <w:tc>
          <w:tcPr>
            <w:tcW w:w="1326" w:type="dxa"/>
            <w:tcBorders>
              <w:left w:val="single" w:sz="4" w:space="0" w:color="auto"/>
              <w:bottom w:val="single" w:sz="4" w:space="0" w:color="auto"/>
            </w:tcBorders>
          </w:tcPr>
          <w:p w:rsidR="00DC5E05" w:rsidRPr="00AC2DFC" w:rsidRDefault="00DC5E05" w:rsidP="003412EA">
            <w:pPr>
              <w:pStyle w:val="BasistekstIKNL"/>
              <w:jc w:val="right"/>
              <w:rPr>
                <w:rFonts w:cs="Arial"/>
                <w:sz w:val="22"/>
                <w:szCs w:val="22"/>
                <w:lang w:val="en-US"/>
              </w:rPr>
            </w:pPr>
            <w:r w:rsidRPr="00AC2DFC">
              <w:rPr>
                <w:rFonts w:cs="Arial"/>
                <w:sz w:val="22"/>
                <w:szCs w:val="22"/>
                <w:lang w:val="en-US"/>
              </w:rPr>
              <w:t>1</w:t>
            </w:r>
          </w:p>
        </w:tc>
        <w:tc>
          <w:tcPr>
            <w:tcW w:w="1418" w:type="dxa"/>
            <w:tcBorders>
              <w:bottom w:val="single" w:sz="4" w:space="0" w:color="auto"/>
            </w:tcBorders>
          </w:tcPr>
          <w:p w:rsidR="00DC5E05" w:rsidRPr="00AC2DFC" w:rsidRDefault="00DC5E05" w:rsidP="003412EA">
            <w:pPr>
              <w:pStyle w:val="BasistekstIKNL"/>
              <w:jc w:val="right"/>
              <w:rPr>
                <w:rFonts w:cs="Arial"/>
                <w:sz w:val="22"/>
                <w:szCs w:val="22"/>
                <w:lang w:val="en-US"/>
              </w:rPr>
            </w:pPr>
            <w:r w:rsidRPr="00AC2DFC">
              <w:rPr>
                <w:rFonts w:cs="Arial"/>
                <w:sz w:val="22"/>
                <w:szCs w:val="22"/>
                <w:lang w:val="en-US"/>
              </w:rPr>
              <w:t>0</w:t>
            </w:r>
          </w:p>
        </w:tc>
        <w:tc>
          <w:tcPr>
            <w:tcW w:w="1417" w:type="dxa"/>
            <w:tcBorders>
              <w:bottom w:val="single" w:sz="4" w:space="0" w:color="auto"/>
            </w:tcBorders>
          </w:tcPr>
          <w:p w:rsidR="00DC5E05" w:rsidRPr="00AC2DFC" w:rsidRDefault="00DC5E05" w:rsidP="003412EA">
            <w:pPr>
              <w:pStyle w:val="BasistekstIKNL"/>
              <w:jc w:val="right"/>
              <w:rPr>
                <w:rFonts w:cs="Arial"/>
                <w:sz w:val="22"/>
                <w:szCs w:val="22"/>
                <w:lang w:val="en-US"/>
              </w:rPr>
            </w:pPr>
            <w:r w:rsidRPr="00AC2DFC">
              <w:rPr>
                <w:rFonts w:cs="Arial"/>
                <w:sz w:val="22"/>
                <w:szCs w:val="22"/>
                <w:lang w:val="en-US"/>
              </w:rPr>
              <w:t>0</w:t>
            </w:r>
          </w:p>
        </w:tc>
        <w:tc>
          <w:tcPr>
            <w:tcW w:w="1276" w:type="dxa"/>
            <w:tcBorders>
              <w:bottom w:val="single" w:sz="4" w:space="0" w:color="auto"/>
            </w:tcBorders>
          </w:tcPr>
          <w:p w:rsidR="00DC5E05" w:rsidRPr="00AC2DFC" w:rsidRDefault="00DC5E05" w:rsidP="003412EA">
            <w:pPr>
              <w:pStyle w:val="BasistekstIKNL"/>
              <w:jc w:val="right"/>
              <w:rPr>
                <w:rFonts w:cs="Arial"/>
                <w:sz w:val="22"/>
                <w:szCs w:val="22"/>
                <w:lang w:val="en-US"/>
              </w:rPr>
            </w:pPr>
            <w:r w:rsidRPr="00AC2DFC">
              <w:rPr>
                <w:rFonts w:cs="Arial"/>
                <w:sz w:val="22"/>
                <w:szCs w:val="22"/>
                <w:lang w:val="en-US"/>
              </w:rPr>
              <w:t>0</w:t>
            </w:r>
          </w:p>
        </w:tc>
        <w:tc>
          <w:tcPr>
            <w:tcW w:w="992" w:type="dxa"/>
            <w:tcBorders>
              <w:bottom w:val="single" w:sz="4" w:space="0" w:color="auto"/>
              <w:right w:val="single" w:sz="4" w:space="0" w:color="auto"/>
            </w:tcBorders>
          </w:tcPr>
          <w:p w:rsidR="00DC5E05" w:rsidRPr="00AC2DFC" w:rsidRDefault="00DC5E05" w:rsidP="003412EA">
            <w:pPr>
              <w:pStyle w:val="BasistekstIKNL"/>
              <w:jc w:val="right"/>
              <w:rPr>
                <w:rFonts w:cs="Arial"/>
                <w:sz w:val="22"/>
                <w:szCs w:val="22"/>
                <w:lang w:val="en-US"/>
              </w:rPr>
            </w:pPr>
            <w:r w:rsidRPr="00AC2DFC">
              <w:rPr>
                <w:rFonts w:cs="Arial"/>
                <w:sz w:val="22"/>
                <w:szCs w:val="22"/>
                <w:lang w:val="en-US"/>
              </w:rPr>
              <w:t>1</w:t>
            </w:r>
          </w:p>
        </w:tc>
      </w:tr>
      <w:tr w:rsidR="00DC5E05" w:rsidRPr="00AC2DFC" w:rsidTr="003412EA">
        <w:tc>
          <w:tcPr>
            <w:tcW w:w="2785" w:type="dxa"/>
            <w:gridSpan w:val="2"/>
            <w:tcBorders>
              <w:top w:val="single" w:sz="4" w:space="0" w:color="auto"/>
              <w:left w:val="single" w:sz="4" w:space="0" w:color="auto"/>
              <w:right w:val="single" w:sz="4" w:space="0" w:color="auto"/>
            </w:tcBorders>
          </w:tcPr>
          <w:p w:rsidR="00DC5E05" w:rsidRPr="00AC2DFC" w:rsidRDefault="00DC5E05" w:rsidP="003412EA">
            <w:pPr>
              <w:rPr>
                <w:rFonts w:cs="Arial"/>
                <w:color w:val="000000"/>
                <w:sz w:val="22"/>
                <w:szCs w:val="22"/>
                <w:lang w:val="en-US"/>
              </w:rPr>
            </w:pPr>
            <w:r w:rsidRPr="00AC2DFC">
              <w:rPr>
                <w:rFonts w:cs="Arial"/>
                <w:color w:val="000000"/>
                <w:sz w:val="22"/>
                <w:szCs w:val="22"/>
                <w:lang w:val="en-US"/>
              </w:rPr>
              <w:t>Involvement in H2O project</w:t>
            </w:r>
          </w:p>
        </w:tc>
        <w:tc>
          <w:tcPr>
            <w:tcW w:w="1326" w:type="dxa"/>
            <w:tcBorders>
              <w:top w:val="single" w:sz="4" w:space="0" w:color="auto"/>
              <w:left w:val="single" w:sz="4" w:space="0" w:color="auto"/>
            </w:tcBorders>
          </w:tcPr>
          <w:p w:rsidR="00DC5E05" w:rsidRPr="00AC2DFC" w:rsidRDefault="00DC5E05" w:rsidP="003412EA">
            <w:pPr>
              <w:pStyle w:val="BasistekstIKNL"/>
              <w:jc w:val="right"/>
              <w:rPr>
                <w:rFonts w:cs="Arial"/>
                <w:sz w:val="22"/>
                <w:szCs w:val="22"/>
                <w:lang w:val="en-US"/>
              </w:rPr>
            </w:pPr>
          </w:p>
        </w:tc>
        <w:tc>
          <w:tcPr>
            <w:tcW w:w="1418" w:type="dxa"/>
            <w:tcBorders>
              <w:top w:val="single" w:sz="4" w:space="0" w:color="auto"/>
            </w:tcBorders>
          </w:tcPr>
          <w:p w:rsidR="00DC5E05" w:rsidRPr="00AC2DFC" w:rsidRDefault="00DC5E05" w:rsidP="003412EA">
            <w:pPr>
              <w:pStyle w:val="BasistekstIKNL"/>
              <w:jc w:val="right"/>
              <w:rPr>
                <w:rFonts w:cs="Arial"/>
                <w:sz w:val="22"/>
                <w:szCs w:val="22"/>
                <w:lang w:val="en-US"/>
              </w:rPr>
            </w:pPr>
          </w:p>
        </w:tc>
        <w:tc>
          <w:tcPr>
            <w:tcW w:w="1417" w:type="dxa"/>
            <w:tcBorders>
              <w:top w:val="single" w:sz="4" w:space="0" w:color="auto"/>
            </w:tcBorders>
          </w:tcPr>
          <w:p w:rsidR="00DC5E05" w:rsidRPr="00AC2DFC" w:rsidRDefault="00DC5E05" w:rsidP="003412EA">
            <w:pPr>
              <w:pStyle w:val="BasistekstIKNL"/>
              <w:jc w:val="right"/>
              <w:rPr>
                <w:rFonts w:cs="Arial"/>
                <w:sz w:val="22"/>
                <w:szCs w:val="22"/>
                <w:lang w:val="en-US"/>
              </w:rPr>
            </w:pPr>
          </w:p>
        </w:tc>
        <w:tc>
          <w:tcPr>
            <w:tcW w:w="1276" w:type="dxa"/>
            <w:tcBorders>
              <w:top w:val="single" w:sz="4" w:space="0" w:color="auto"/>
            </w:tcBorders>
          </w:tcPr>
          <w:p w:rsidR="00DC5E05" w:rsidRPr="00AC2DFC" w:rsidRDefault="00DC5E05" w:rsidP="003412EA">
            <w:pPr>
              <w:pStyle w:val="BasistekstIKNL"/>
              <w:jc w:val="right"/>
              <w:rPr>
                <w:rFonts w:cs="Arial"/>
                <w:sz w:val="22"/>
                <w:szCs w:val="22"/>
                <w:lang w:val="en-US"/>
              </w:rPr>
            </w:pPr>
          </w:p>
        </w:tc>
        <w:tc>
          <w:tcPr>
            <w:tcW w:w="992" w:type="dxa"/>
            <w:tcBorders>
              <w:top w:val="single" w:sz="4" w:space="0" w:color="auto"/>
              <w:right w:val="single" w:sz="4" w:space="0" w:color="auto"/>
            </w:tcBorders>
          </w:tcPr>
          <w:p w:rsidR="00DC5E05" w:rsidRPr="00AC2DFC" w:rsidRDefault="00DC5E05" w:rsidP="003412EA">
            <w:pPr>
              <w:pStyle w:val="BasistekstIKNL"/>
              <w:jc w:val="right"/>
              <w:rPr>
                <w:rFonts w:cs="Arial"/>
                <w:sz w:val="22"/>
                <w:szCs w:val="22"/>
                <w:lang w:val="en-US"/>
              </w:rPr>
            </w:pPr>
          </w:p>
        </w:tc>
      </w:tr>
      <w:tr w:rsidR="00DC5E05" w:rsidRPr="00AC2DFC" w:rsidTr="003412EA">
        <w:tc>
          <w:tcPr>
            <w:tcW w:w="227" w:type="dxa"/>
            <w:tcBorders>
              <w:left w:val="single" w:sz="4" w:space="0" w:color="auto"/>
            </w:tcBorders>
          </w:tcPr>
          <w:p w:rsidR="00DC5E05" w:rsidRPr="00AC2DFC" w:rsidRDefault="00DC5E05" w:rsidP="003412EA">
            <w:pPr>
              <w:rPr>
                <w:rFonts w:cs="Arial"/>
                <w:color w:val="000000"/>
                <w:lang w:val="en-US"/>
              </w:rPr>
            </w:pPr>
          </w:p>
        </w:tc>
        <w:tc>
          <w:tcPr>
            <w:tcW w:w="2558" w:type="dxa"/>
            <w:tcBorders>
              <w:right w:val="single" w:sz="4" w:space="0" w:color="auto"/>
            </w:tcBorders>
            <w:vAlign w:val="bottom"/>
          </w:tcPr>
          <w:p w:rsidR="00DC5E05" w:rsidRPr="00AC2DFC" w:rsidRDefault="00DC5E05" w:rsidP="003412EA">
            <w:pPr>
              <w:rPr>
                <w:rFonts w:cs="Arial"/>
                <w:color w:val="000000"/>
                <w:sz w:val="22"/>
                <w:szCs w:val="22"/>
                <w:lang w:val="en-US"/>
              </w:rPr>
            </w:pPr>
            <w:r w:rsidRPr="00AC2DFC">
              <w:rPr>
                <w:rFonts w:cs="Arial"/>
                <w:color w:val="000000"/>
                <w:sz w:val="22"/>
                <w:szCs w:val="22"/>
                <w:lang w:val="en-US"/>
              </w:rPr>
              <w:t>Yes</w:t>
            </w:r>
          </w:p>
        </w:tc>
        <w:tc>
          <w:tcPr>
            <w:tcW w:w="1326" w:type="dxa"/>
            <w:tcBorders>
              <w:left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8</w:t>
            </w:r>
          </w:p>
        </w:tc>
        <w:tc>
          <w:tcPr>
            <w:tcW w:w="1418"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23</w:t>
            </w:r>
          </w:p>
        </w:tc>
        <w:tc>
          <w:tcPr>
            <w:tcW w:w="1417" w:type="dxa"/>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10</w:t>
            </w:r>
          </w:p>
        </w:tc>
        <w:tc>
          <w:tcPr>
            <w:tcW w:w="1276" w:type="dxa"/>
            <w:vAlign w:val="bottom"/>
          </w:tcPr>
          <w:p w:rsidR="00DC5E05" w:rsidRPr="00AC2DFC" w:rsidRDefault="00DC5E05" w:rsidP="003412EA">
            <w:pPr>
              <w:jc w:val="right"/>
              <w:rPr>
                <w:rFonts w:cs="Arial"/>
                <w:sz w:val="22"/>
                <w:szCs w:val="22"/>
              </w:rPr>
            </w:pPr>
            <w:r w:rsidRPr="00AC2DFC">
              <w:rPr>
                <w:rFonts w:cs="Arial"/>
                <w:sz w:val="22"/>
                <w:szCs w:val="22"/>
              </w:rPr>
              <w:t>0</w:t>
            </w:r>
          </w:p>
        </w:tc>
        <w:tc>
          <w:tcPr>
            <w:tcW w:w="992" w:type="dxa"/>
            <w:tcBorders>
              <w:right w:val="single" w:sz="4" w:space="0" w:color="auto"/>
            </w:tcBorders>
          </w:tcPr>
          <w:p w:rsidR="00DC5E05" w:rsidRPr="00AC2DFC" w:rsidRDefault="00DC5E05" w:rsidP="003412EA">
            <w:pPr>
              <w:jc w:val="right"/>
              <w:rPr>
                <w:rFonts w:cs="Arial"/>
                <w:sz w:val="22"/>
                <w:szCs w:val="22"/>
              </w:rPr>
            </w:pPr>
            <w:r w:rsidRPr="00AC2DFC">
              <w:rPr>
                <w:rFonts w:cs="Arial"/>
                <w:sz w:val="22"/>
                <w:szCs w:val="22"/>
              </w:rPr>
              <w:t>41</w:t>
            </w:r>
          </w:p>
        </w:tc>
      </w:tr>
      <w:tr w:rsidR="00DC5E05" w:rsidRPr="00AC2DFC" w:rsidTr="003412EA">
        <w:tc>
          <w:tcPr>
            <w:tcW w:w="227" w:type="dxa"/>
            <w:tcBorders>
              <w:left w:val="single" w:sz="4" w:space="0" w:color="auto"/>
              <w:bottom w:val="single" w:sz="4" w:space="0" w:color="auto"/>
            </w:tcBorders>
          </w:tcPr>
          <w:p w:rsidR="00DC5E05" w:rsidRPr="00AC2DFC" w:rsidRDefault="00DC5E05" w:rsidP="003412EA">
            <w:pPr>
              <w:rPr>
                <w:rFonts w:cs="Arial"/>
                <w:color w:val="000000"/>
                <w:lang w:val="en-US"/>
              </w:rPr>
            </w:pPr>
          </w:p>
        </w:tc>
        <w:tc>
          <w:tcPr>
            <w:tcW w:w="2558" w:type="dxa"/>
            <w:tcBorders>
              <w:bottom w:val="single" w:sz="4" w:space="0" w:color="auto"/>
              <w:right w:val="single" w:sz="4" w:space="0" w:color="auto"/>
            </w:tcBorders>
            <w:vAlign w:val="bottom"/>
          </w:tcPr>
          <w:p w:rsidR="00DC5E05" w:rsidRPr="00AC2DFC" w:rsidRDefault="00DC5E05" w:rsidP="003412EA">
            <w:pPr>
              <w:rPr>
                <w:rFonts w:cs="Arial"/>
                <w:color w:val="000000"/>
                <w:sz w:val="22"/>
                <w:szCs w:val="22"/>
                <w:lang w:val="en-US"/>
              </w:rPr>
            </w:pPr>
            <w:r w:rsidRPr="00AC2DFC">
              <w:rPr>
                <w:rFonts w:cs="Arial"/>
                <w:color w:val="000000"/>
                <w:sz w:val="22"/>
                <w:szCs w:val="22"/>
                <w:lang w:val="en-US"/>
              </w:rPr>
              <w:t>No</w:t>
            </w:r>
          </w:p>
        </w:tc>
        <w:tc>
          <w:tcPr>
            <w:tcW w:w="1326" w:type="dxa"/>
            <w:tcBorders>
              <w:left w:val="single" w:sz="4" w:space="0" w:color="auto"/>
              <w:bottom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37</w:t>
            </w:r>
          </w:p>
        </w:tc>
        <w:tc>
          <w:tcPr>
            <w:tcW w:w="1418" w:type="dxa"/>
            <w:tcBorders>
              <w:bottom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41</w:t>
            </w:r>
          </w:p>
        </w:tc>
        <w:tc>
          <w:tcPr>
            <w:tcW w:w="1417" w:type="dxa"/>
            <w:tcBorders>
              <w:bottom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18</w:t>
            </w:r>
          </w:p>
        </w:tc>
        <w:tc>
          <w:tcPr>
            <w:tcW w:w="1276" w:type="dxa"/>
            <w:tcBorders>
              <w:bottom w:val="single" w:sz="4" w:space="0" w:color="auto"/>
            </w:tcBorders>
            <w:vAlign w:val="bottom"/>
          </w:tcPr>
          <w:p w:rsidR="00DC5E05" w:rsidRPr="00AC2DFC" w:rsidRDefault="00DC5E05" w:rsidP="003412EA">
            <w:pPr>
              <w:jc w:val="right"/>
              <w:rPr>
                <w:rFonts w:cs="Arial"/>
                <w:color w:val="000000"/>
                <w:sz w:val="22"/>
                <w:szCs w:val="22"/>
              </w:rPr>
            </w:pPr>
            <w:r w:rsidRPr="00AC2DFC">
              <w:rPr>
                <w:rFonts w:cs="Arial"/>
                <w:color w:val="000000"/>
                <w:sz w:val="22"/>
                <w:szCs w:val="22"/>
              </w:rPr>
              <w:t>4</w:t>
            </w:r>
          </w:p>
        </w:tc>
        <w:tc>
          <w:tcPr>
            <w:tcW w:w="992" w:type="dxa"/>
            <w:tcBorders>
              <w:bottom w:val="single" w:sz="4" w:space="0" w:color="auto"/>
              <w:right w:val="single" w:sz="4" w:space="0" w:color="auto"/>
            </w:tcBorders>
          </w:tcPr>
          <w:p w:rsidR="00DC5E05" w:rsidRPr="00AC2DFC" w:rsidRDefault="00DC5E05" w:rsidP="003412EA">
            <w:pPr>
              <w:jc w:val="right"/>
              <w:rPr>
                <w:rFonts w:cs="Arial"/>
                <w:color w:val="000000"/>
                <w:sz w:val="22"/>
                <w:szCs w:val="22"/>
              </w:rPr>
            </w:pPr>
            <w:r w:rsidRPr="00AC2DFC">
              <w:rPr>
                <w:rFonts w:cs="Arial"/>
                <w:color w:val="000000"/>
                <w:sz w:val="22"/>
                <w:szCs w:val="22"/>
              </w:rPr>
              <w:t>100</w:t>
            </w:r>
          </w:p>
        </w:tc>
      </w:tr>
      <w:tr w:rsidR="00DC5E05" w:rsidRPr="00552EEE" w:rsidTr="003412EA">
        <w:tc>
          <w:tcPr>
            <w:tcW w:w="9214" w:type="dxa"/>
            <w:gridSpan w:val="7"/>
            <w:tcBorders>
              <w:top w:val="single" w:sz="4" w:space="0" w:color="auto"/>
              <w:left w:val="single" w:sz="4" w:space="0" w:color="auto"/>
              <w:bottom w:val="single" w:sz="4" w:space="0" w:color="auto"/>
              <w:right w:val="single" w:sz="4" w:space="0" w:color="auto"/>
            </w:tcBorders>
          </w:tcPr>
          <w:p w:rsidR="00DC5E05" w:rsidRPr="00AC2DFC" w:rsidRDefault="00DC5E05" w:rsidP="003412EA">
            <w:pPr>
              <w:rPr>
                <w:rFonts w:cs="Arial"/>
                <w:b/>
                <w:color w:val="000000"/>
                <w:sz w:val="22"/>
                <w:szCs w:val="22"/>
                <w:u w:val="single"/>
                <w:lang w:val="en-US"/>
              </w:rPr>
            </w:pPr>
            <w:r w:rsidRPr="00AC2DFC">
              <w:rPr>
                <w:rFonts w:cs="Arial"/>
                <w:b/>
                <w:color w:val="000000"/>
                <w:sz w:val="22"/>
                <w:szCs w:val="22"/>
                <w:u w:val="single"/>
                <w:lang w:val="en-US"/>
              </w:rPr>
              <w:t>Abbreviations:</w:t>
            </w:r>
          </w:p>
          <w:p w:rsidR="00DC5E05" w:rsidRPr="00AC2DFC" w:rsidRDefault="00DC5E05" w:rsidP="003412EA">
            <w:pPr>
              <w:rPr>
                <w:rFonts w:cs="Arial"/>
                <w:b/>
                <w:color w:val="000000"/>
                <w:sz w:val="22"/>
                <w:szCs w:val="22"/>
                <w:lang w:val="en-US"/>
              </w:rPr>
            </w:pPr>
            <w:r w:rsidRPr="00AC2DFC">
              <w:rPr>
                <w:rFonts w:cs="Arial"/>
                <w:b/>
                <w:color w:val="000000"/>
                <w:sz w:val="22"/>
                <w:szCs w:val="22"/>
                <w:lang w:val="en-US"/>
              </w:rPr>
              <w:t>HA/HR:</w:t>
            </w:r>
            <w:r w:rsidRPr="00AC2DFC">
              <w:rPr>
                <w:rFonts w:cs="Arial"/>
                <w:color w:val="000000"/>
                <w:sz w:val="22"/>
                <w:szCs w:val="22"/>
                <w:lang w:val="en-US"/>
              </w:rPr>
              <w:t xml:space="preserve"> Health authority/Health regulator</w:t>
            </w:r>
          </w:p>
          <w:p w:rsidR="00DC5E05" w:rsidRPr="00AC2DFC" w:rsidRDefault="00DC5E05" w:rsidP="003412EA">
            <w:pPr>
              <w:rPr>
                <w:rFonts w:cs="Arial"/>
                <w:color w:val="000000"/>
                <w:sz w:val="22"/>
                <w:szCs w:val="22"/>
                <w:lang w:val="en-US"/>
              </w:rPr>
            </w:pPr>
            <w:r w:rsidRPr="00AC2DFC">
              <w:rPr>
                <w:rFonts w:cs="Arial"/>
                <w:b/>
                <w:color w:val="000000"/>
                <w:sz w:val="22"/>
                <w:szCs w:val="22"/>
                <w:lang w:val="en-US"/>
              </w:rPr>
              <w:t>HCP:</w:t>
            </w:r>
            <w:r w:rsidRPr="00AC2DFC">
              <w:rPr>
                <w:rFonts w:cs="Arial"/>
                <w:color w:val="000000"/>
                <w:sz w:val="22"/>
                <w:szCs w:val="22"/>
                <w:lang w:val="en-US"/>
              </w:rPr>
              <w:t xml:space="preserve"> health care providers</w:t>
            </w:r>
          </w:p>
          <w:p w:rsidR="00DC5E05" w:rsidRPr="00F47923" w:rsidRDefault="00DC5E05" w:rsidP="003412EA">
            <w:pPr>
              <w:rPr>
                <w:rFonts w:cs="Arial"/>
                <w:color w:val="000000"/>
                <w:sz w:val="22"/>
                <w:szCs w:val="22"/>
                <w:lang w:val="en-US"/>
              </w:rPr>
            </w:pPr>
            <w:r w:rsidRPr="00AC2DFC">
              <w:rPr>
                <w:rFonts w:cs="Arial"/>
                <w:b/>
                <w:color w:val="000000"/>
                <w:sz w:val="22"/>
                <w:szCs w:val="22"/>
                <w:lang w:val="en-US"/>
              </w:rPr>
              <w:t>H2O:</w:t>
            </w:r>
            <w:r w:rsidRPr="00AC2DFC">
              <w:rPr>
                <w:rFonts w:cs="Arial"/>
                <w:color w:val="000000"/>
                <w:sz w:val="22"/>
                <w:szCs w:val="22"/>
                <w:lang w:val="en-US"/>
              </w:rPr>
              <w:t xml:space="preserve"> </w:t>
            </w:r>
            <w:r w:rsidRPr="00AC2DFC">
              <w:rPr>
                <w:lang w:val="en-US"/>
              </w:rPr>
              <w:t xml:space="preserve"> </w:t>
            </w:r>
            <w:r w:rsidRPr="00AC2DFC">
              <w:rPr>
                <w:rFonts w:cs="Arial"/>
                <w:color w:val="000000"/>
                <w:sz w:val="22"/>
                <w:szCs w:val="22"/>
                <w:lang w:val="en-US"/>
              </w:rPr>
              <w:t>Health Outcomes Observatory, project by the</w:t>
            </w:r>
            <w:r w:rsidRPr="00AC2DFC">
              <w:rPr>
                <w:lang w:val="en-US"/>
              </w:rPr>
              <w:t xml:space="preserve"> </w:t>
            </w:r>
            <w:r w:rsidRPr="00AC2DFC">
              <w:rPr>
                <w:rFonts w:cs="Arial"/>
                <w:color w:val="000000"/>
                <w:sz w:val="22"/>
                <w:szCs w:val="22"/>
                <w:lang w:val="en-US"/>
              </w:rPr>
              <w:t>Innovative Medicines Initiative.</w:t>
            </w:r>
          </w:p>
        </w:tc>
      </w:tr>
    </w:tbl>
    <w:p w:rsidR="00DC5E05" w:rsidRPr="00B4364D" w:rsidRDefault="00DC5E05" w:rsidP="00DC5E05">
      <w:pPr>
        <w:pStyle w:val="BasistekstIKNL"/>
        <w:rPr>
          <w:rFonts w:cs="Arial"/>
          <w:sz w:val="22"/>
          <w:szCs w:val="22"/>
          <w:lang w:val="en-US"/>
        </w:rPr>
      </w:pPr>
    </w:p>
    <w:p w:rsidR="00DC5E05" w:rsidRPr="00046237" w:rsidRDefault="00DC5E05" w:rsidP="00DC5E05">
      <w:pPr>
        <w:spacing w:line="360" w:lineRule="auto"/>
        <w:rPr>
          <w:lang w:val="en-US"/>
        </w:rPr>
      </w:pPr>
    </w:p>
    <w:p w:rsidR="00BC259B" w:rsidRPr="00DC5E05" w:rsidRDefault="00BC259B">
      <w:pPr>
        <w:rPr>
          <w:lang w:val="en-US"/>
        </w:rPr>
      </w:pPr>
    </w:p>
    <w:sectPr w:rsidR="00BC259B" w:rsidRPr="00DC5E05" w:rsidSect="00551B2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503"/>
    <w:rsid w:val="001319A7"/>
    <w:rsid w:val="00227A0D"/>
    <w:rsid w:val="00552EEE"/>
    <w:rsid w:val="008D3E87"/>
    <w:rsid w:val="00AC2DFC"/>
    <w:rsid w:val="00AF3A36"/>
    <w:rsid w:val="00BC259B"/>
    <w:rsid w:val="00DC5E05"/>
    <w:rsid w:val="00DC75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0BFD6-B969-4711-966B-3F8E84ED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E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stekstIKNL">
    <w:name w:val="Basistekst IKNL"/>
    <w:basedOn w:val="Normal"/>
    <w:rsid w:val="00DC5E05"/>
    <w:pPr>
      <w:spacing w:after="0" w:line="260" w:lineRule="atLeast"/>
    </w:pPr>
    <w:rPr>
      <w:rFonts w:ascii="Arial" w:eastAsia="Times New Roman" w:hAnsi="Arial" w:cs="Maiandra GD"/>
      <w:sz w:val="18"/>
      <w:szCs w:val="18"/>
      <w:lang w:eastAsia="nl-NL"/>
    </w:rPr>
  </w:style>
  <w:style w:type="table" w:customStyle="1" w:styleId="TabelIKNL">
    <w:name w:val="Tabel IKNL"/>
    <w:basedOn w:val="TableNormal"/>
    <w:rsid w:val="00DC5E05"/>
    <w:pPr>
      <w:spacing w:after="0" w:line="240" w:lineRule="auto"/>
    </w:pPr>
    <w:rPr>
      <w:rFonts w:ascii="Arial" w:eastAsia="Times New Roman" w:hAnsi="Arial" w:cs="Times New Roman"/>
      <w:sz w:val="14"/>
      <w:szCs w:val="20"/>
      <w:lang w:eastAsia="nl-NL"/>
    </w:rPr>
    <w:tblPr>
      <w:tblInd w:w="0" w:type="dxa"/>
      <w:tblCellMar>
        <w:top w:w="0" w:type="dxa"/>
        <w:left w:w="0" w:type="dxa"/>
        <w:bottom w:w="0" w:type="dxa"/>
        <w:right w:w="0" w:type="dxa"/>
      </w:tblCellMar>
    </w:tblPr>
    <w:tblStylePr w:type="firstRow">
      <w:tblPr/>
      <w:tcPr>
        <w:tcBorders>
          <w:top w:val="single" w:sz="4" w:space="0" w:color="auto"/>
          <w:bottom w:val="single" w:sz="4" w:space="0" w:color="auto"/>
        </w:tcBorders>
      </w:tcPr>
    </w:tblStylePr>
    <w:tblStylePr w:type="lastRow">
      <w:tblPr/>
      <w:tcPr>
        <w:tcBorders>
          <w:top w:val="single" w:sz="4" w:space="0" w:color="auto"/>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2474</Words>
  <Characters>14102</Characters>
  <Application>Microsoft Office Word</Application>
  <DocSecurity>0</DocSecurity>
  <Lines>117</Lines>
  <Paragraphs>33</Paragraphs>
  <ScaleCrop>false</ScaleCrop>
  <Company>Antoni van Leeuwenhoek</Company>
  <LinksUpToDate>false</LinksUpToDate>
  <CharactersWithSpaces>16543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de Ligt</dc:creator>
  <cp:keywords/>
  <dc:description/>
  <cp:lastModifiedBy>Kasthuri M.</cp:lastModifiedBy>
  <cp:revision>7</cp:revision>
  <dcterms:created xsi:type="dcterms:W3CDTF">2022-06-27T12:21:00Z</dcterms:created>
  <dcterms:modified xsi:type="dcterms:W3CDTF">2022-12-05T09:54:00Z</dcterms:modified>
</cp:coreProperties>
</file>