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74C" w:rsidRPr="00AE23D6" w:rsidRDefault="0057074C" w:rsidP="0057074C">
      <w:pPr>
        <w:spacing w:line="480" w:lineRule="auto"/>
        <w:rPr>
          <w:rFonts w:ascii="Times New Roman" w:hAnsi="Times New Roman"/>
          <w:b/>
          <w:sz w:val="20"/>
        </w:rPr>
      </w:pPr>
      <w:r w:rsidRPr="00AE23D6">
        <w:rPr>
          <w:rFonts w:ascii="Times New Roman" w:hAnsi="Times New Roman"/>
          <w:b/>
          <w:sz w:val="20"/>
        </w:rPr>
        <w:t>Supplementary file 2</w:t>
      </w:r>
    </w:p>
    <w:p w:rsidR="0057074C" w:rsidRPr="00AE23D6" w:rsidRDefault="0057074C" w:rsidP="0057074C">
      <w:pPr>
        <w:spacing w:line="480" w:lineRule="auto"/>
        <w:ind w:right="210"/>
        <w:rPr>
          <w:rFonts w:ascii="Times New Roman" w:hAnsi="Times New Roman"/>
          <w:sz w:val="20"/>
        </w:rPr>
      </w:pPr>
      <w:r w:rsidRPr="00AE23D6">
        <w:rPr>
          <w:rFonts w:ascii="Times New Roman" w:hAnsi="Times New Roman"/>
          <w:sz w:val="20"/>
        </w:rPr>
        <w:t>Supplementary Figure S1. Disease-free survival in (A) patients aged &lt;60 years, (B) patients with clinical stage T2, and (C) patients with Ki67 status ≥20%</w:t>
      </w:r>
    </w:p>
    <w:p w:rsidR="0057074C" w:rsidRPr="00AE23D6" w:rsidRDefault="0057074C" w:rsidP="0057074C">
      <w:pPr>
        <w:spacing w:line="480" w:lineRule="auto"/>
        <w:ind w:right="210"/>
        <w:rPr>
          <w:rFonts w:ascii="Times New Roman" w:hAnsi="Times New Roman"/>
          <w:sz w:val="20"/>
        </w:rPr>
      </w:pPr>
      <w:r w:rsidRPr="00AE23D6">
        <w:rPr>
          <w:rFonts w:ascii="Times New Roman" w:hAnsi="Times New Roman"/>
          <w:sz w:val="20"/>
        </w:rPr>
        <w:t>CI: confidence interval; CT: chemotherapy; DFS: disease-free survival; ET: endocrine therapy; HR: hazard ratio.</w:t>
      </w:r>
    </w:p>
    <w:p w:rsidR="0057074C" w:rsidRPr="00AE23D6" w:rsidRDefault="0057074C" w:rsidP="0057074C">
      <w:pPr>
        <w:spacing w:line="480" w:lineRule="auto"/>
        <w:ind w:right="210"/>
        <w:rPr>
          <w:rFonts w:ascii="Times New Roman" w:hAnsi="Times New Roman"/>
          <w:sz w:val="20"/>
        </w:rPr>
      </w:pPr>
    </w:p>
    <w:p w:rsidR="0057074C" w:rsidRPr="00AE23D6" w:rsidRDefault="0057074C" w:rsidP="0057074C">
      <w:pPr>
        <w:spacing w:line="480" w:lineRule="auto"/>
        <w:ind w:right="210"/>
        <w:rPr>
          <w:rFonts w:ascii="Times New Roman" w:hAnsi="Times New Roman"/>
          <w:sz w:val="20"/>
        </w:rPr>
      </w:pPr>
      <w:r w:rsidRPr="00AE23D6">
        <w:rPr>
          <w:rFonts w:ascii="Times New Roman" w:hAnsi="Times New Roman"/>
          <w:sz w:val="20"/>
        </w:rPr>
        <w:t>Supplementary Figure S2. Disease-free survival in (A) patients aged ≥60 years, (B) patients with clinical stage T1c, and (C) patients with Ki67 status &lt;20%</w:t>
      </w:r>
    </w:p>
    <w:p w:rsidR="0057074C" w:rsidRPr="00AE23D6" w:rsidRDefault="0057074C" w:rsidP="0057074C">
      <w:pPr>
        <w:spacing w:line="480" w:lineRule="auto"/>
        <w:ind w:right="210"/>
        <w:rPr>
          <w:rFonts w:ascii="Times New Roman" w:hAnsi="Times New Roman"/>
          <w:sz w:val="20"/>
        </w:rPr>
      </w:pPr>
      <w:r w:rsidRPr="00AE23D6">
        <w:rPr>
          <w:rFonts w:ascii="Times New Roman" w:hAnsi="Times New Roman"/>
          <w:sz w:val="20"/>
        </w:rPr>
        <w:t>CI: confidence interval; CT: chemotherapy; DFS: disease-free survival; ET: endocrine therapy; HR: hazard ratio.</w:t>
      </w:r>
    </w:p>
    <w:p w:rsidR="0057074C" w:rsidRPr="00AE23D6" w:rsidRDefault="0057074C" w:rsidP="0057074C">
      <w:pPr>
        <w:spacing w:line="480" w:lineRule="auto"/>
        <w:rPr>
          <w:rFonts w:ascii="Times New Roman" w:hAnsi="Times New Roman"/>
          <w:sz w:val="20"/>
        </w:rPr>
      </w:pPr>
    </w:p>
    <w:p w:rsidR="0057074C" w:rsidRPr="00AE23D6" w:rsidRDefault="0057074C" w:rsidP="0057074C">
      <w:pPr>
        <w:spacing w:line="480" w:lineRule="auto"/>
        <w:rPr>
          <w:rFonts w:ascii="Times New Roman" w:hAnsi="Times New Roman"/>
          <w:sz w:val="20"/>
        </w:rPr>
      </w:pPr>
      <w:r w:rsidRPr="00AE23D6">
        <w:rPr>
          <w:rFonts w:ascii="Times New Roman" w:hAnsi="Times New Roman"/>
          <w:sz w:val="20"/>
        </w:rPr>
        <w:t>Supplementary Figure S3. Disease-free survival in patients with clinical response. (A) CR plus PR and (B) SD.</w:t>
      </w:r>
    </w:p>
    <w:p w:rsidR="0057074C" w:rsidRPr="00AE23D6" w:rsidRDefault="0057074C" w:rsidP="0057074C">
      <w:pPr>
        <w:spacing w:line="480" w:lineRule="auto"/>
        <w:ind w:right="210"/>
        <w:rPr>
          <w:rFonts w:ascii="Times New Roman" w:hAnsi="Times New Roman"/>
          <w:sz w:val="20"/>
        </w:rPr>
      </w:pPr>
      <w:r w:rsidRPr="00AE23D6">
        <w:rPr>
          <w:rFonts w:ascii="Times New Roman" w:hAnsi="Times New Roman"/>
          <w:sz w:val="20"/>
        </w:rPr>
        <w:t>CI: confidence interval; CR: complete response; CT: chemotherapy; DFS: disease-free survival; ET: endocrine therapy; HR: hazard ratio; PR: partial response; SD: stable disease.</w:t>
      </w:r>
    </w:p>
    <w:p w:rsidR="0068493D" w:rsidRDefault="0068493D">
      <w:bookmarkStart w:id="0" w:name="_GoBack"/>
      <w:bookmarkEnd w:id="0"/>
    </w:p>
    <w:sectPr w:rsidR="00684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F8"/>
    <w:rsid w:val="00007B6B"/>
    <w:rsid w:val="00044C43"/>
    <w:rsid w:val="000907F8"/>
    <w:rsid w:val="000C7ABD"/>
    <w:rsid w:val="000D7C5A"/>
    <w:rsid w:val="000E646B"/>
    <w:rsid w:val="00134488"/>
    <w:rsid w:val="0013579B"/>
    <w:rsid w:val="00180E68"/>
    <w:rsid w:val="0024724B"/>
    <w:rsid w:val="002513C0"/>
    <w:rsid w:val="002F7D85"/>
    <w:rsid w:val="003847C3"/>
    <w:rsid w:val="00460ADE"/>
    <w:rsid w:val="004A2477"/>
    <w:rsid w:val="0057074C"/>
    <w:rsid w:val="006120A4"/>
    <w:rsid w:val="00632CB7"/>
    <w:rsid w:val="006678D9"/>
    <w:rsid w:val="0068493D"/>
    <w:rsid w:val="006A797F"/>
    <w:rsid w:val="007230DD"/>
    <w:rsid w:val="00760472"/>
    <w:rsid w:val="007D5EF7"/>
    <w:rsid w:val="007E4665"/>
    <w:rsid w:val="0081289F"/>
    <w:rsid w:val="00833EFC"/>
    <w:rsid w:val="00872A53"/>
    <w:rsid w:val="00894F18"/>
    <w:rsid w:val="009B69DB"/>
    <w:rsid w:val="00A53887"/>
    <w:rsid w:val="00B06823"/>
    <w:rsid w:val="00B537E0"/>
    <w:rsid w:val="00B60C11"/>
    <w:rsid w:val="00C50C4B"/>
    <w:rsid w:val="00CC0179"/>
    <w:rsid w:val="00DB1F54"/>
    <w:rsid w:val="00E42C3D"/>
    <w:rsid w:val="00EA2510"/>
    <w:rsid w:val="00EB11A3"/>
    <w:rsid w:val="00F62477"/>
    <w:rsid w:val="00F8748F"/>
    <w:rsid w:val="00F96790"/>
    <w:rsid w:val="00FD2AF1"/>
    <w:rsid w:val="00FE62B8"/>
    <w:rsid w:val="00FE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EEA1F1-E42F-4D4F-A52F-855F0AF6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 T.</dc:creator>
  <cp:keywords/>
  <dc:description/>
  <cp:lastModifiedBy>Mohana Priya T.</cp:lastModifiedBy>
  <cp:revision>2</cp:revision>
  <dcterms:created xsi:type="dcterms:W3CDTF">2023-02-08T10:11:00Z</dcterms:created>
  <dcterms:modified xsi:type="dcterms:W3CDTF">2023-02-08T10:11:00Z</dcterms:modified>
</cp:coreProperties>
</file>