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3A80B" w14:textId="1D5A25F8" w:rsidR="00BD2F7B" w:rsidRDefault="001C6459">
      <w:r>
        <w:rPr>
          <w:noProof/>
        </w:rPr>
        <w:drawing>
          <wp:inline distT="0" distB="0" distL="0" distR="0" wp14:anchorId="1A1DFA24" wp14:editId="6EAA8DA7">
            <wp:extent cx="7404100" cy="5731510"/>
            <wp:effectExtent l="0" t="0" r="635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3D306" w14:textId="77777777" w:rsidR="00D22729" w:rsidRPr="00B20481" w:rsidRDefault="00D22729" w:rsidP="00D22729">
      <w:pPr>
        <w:pStyle w:val="Title"/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20481">
        <w:rPr>
          <w:rFonts w:asciiTheme="minorHAnsi" w:hAnsiTheme="minorHAnsi" w:cstheme="minorHAnsi"/>
          <w:b/>
          <w:bCs/>
          <w:sz w:val="24"/>
          <w:szCs w:val="24"/>
        </w:rPr>
        <w:lastRenderedPageBreak/>
        <w:t>Discordance between PAM50 intrinsic subtyping and Immunohistochemistry in South African Women with Breast Cancer</w:t>
      </w:r>
    </w:p>
    <w:p w14:paraId="7AF3716E" w14:textId="77777777" w:rsidR="00D22729" w:rsidRPr="00786226" w:rsidRDefault="00D22729" w:rsidP="00D22729">
      <w:pPr>
        <w:spacing w:after="0" w:line="360" w:lineRule="auto"/>
        <w:rPr>
          <w:rFonts w:cstheme="minorHAnsi"/>
          <w:sz w:val="24"/>
          <w:szCs w:val="24"/>
        </w:rPr>
      </w:pPr>
    </w:p>
    <w:p w14:paraId="68538A83" w14:textId="77777777" w:rsidR="00D22729" w:rsidRPr="00786226" w:rsidRDefault="00D22729" w:rsidP="00D22729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86226">
        <w:rPr>
          <w:rFonts w:cstheme="minorHAnsi"/>
          <w:bCs/>
          <w:sz w:val="24"/>
          <w:szCs w:val="24"/>
        </w:rPr>
        <w:t>Authors:</w:t>
      </w:r>
    </w:p>
    <w:p w14:paraId="67F59FAD" w14:textId="77777777" w:rsidR="00D22729" w:rsidRPr="00786226" w:rsidRDefault="00D22729" w:rsidP="00D2272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86226">
        <w:rPr>
          <w:rFonts w:cstheme="minorHAnsi"/>
          <w:sz w:val="24"/>
          <w:szCs w:val="24"/>
        </w:rPr>
        <w:t>Thérèse Dix-Peek, Boitumelo P. Phakathi, Eunice J. van den Berg, Caroline Dickens, Tanya N. Augustine, Herbert Cubasch, Alfred I. Neugut, Judith S. Jacobson, Maureen Joffe, Paul Ruff, Raquel A.B. Duarte</w:t>
      </w:r>
    </w:p>
    <w:p w14:paraId="611A747D" w14:textId="4D814D1F" w:rsidR="00D22729" w:rsidRDefault="00D22729">
      <w:pPr>
        <w:rPr>
          <w:b/>
          <w:bCs/>
          <w:sz w:val="24"/>
          <w:szCs w:val="24"/>
        </w:rPr>
      </w:pPr>
    </w:p>
    <w:p w14:paraId="74788489" w14:textId="77777777" w:rsidR="00D22729" w:rsidRDefault="00D22729">
      <w:pPr>
        <w:rPr>
          <w:b/>
          <w:bCs/>
          <w:sz w:val="24"/>
          <w:szCs w:val="24"/>
        </w:rPr>
      </w:pPr>
    </w:p>
    <w:p w14:paraId="266F5B16" w14:textId="7A4FC3E0" w:rsidR="001C6459" w:rsidRPr="001C6459" w:rsidRDefault="001C6459">
      <w:pPr>
        <w:rPr>
          <w:b/>
          <w:bCs/>
          <w:sz w:val="24"/>
          <w:szCs w:val="24"/>
        </w:rPr>
      </w:pPr>
      <w:r w:rsidRPr="001C6459">
        <w:rPr>
          <w:b/>
          <w:bCs/>
          <w:sz w:val="24"/>
          <w:szCs w:val="24"/>
        </w:rPr>
        <w:t xml:space="preserve">Figure S1: Representative </w:t>
      </w:r>
      <w:r w:rsidR="005D29C2">
        <w:rPr>
          <w:b/>
          <w:bCs/>
          <w:sz w:val="24"/>
          <w:szCs w:val="24"/>
        </w:rPr>
        <w:t>h</w:t>
      </w:r>
      <w:r w:rsidRPr="001C6459">
        <w:rPr>
          <w:b/>
          <w:bCs/>
          <w:sz w:val="24"/>
          <w:szCs w:val="24"/>
        </w:rPr>
        <w:t xml:space="preserve">eatmap of </w:t>
      </w:r>
      <w:r w:rsidR="005D29C2">
        <w:rPr>
          <w:b/>
          <w:bCs/>
          <w:sz w:val="24"/>
          <w:szCs w:val="24"/>
        </w:rPr>
        <w:t>intrinsic subtypes</w:t>
      </w:r>
    </w:p>
    <w:p w14:paraId="5092FF91" w14:textId="46694032" w:rsidR="001C6459" w:rsidRPr="001C6459" w:rsidRDefault="001C6459">
      <w:pPr>
        <w:rPr>
          <w:sz w:val="24"/>
          <w:szCs w:val="24"/>
        </w:rPr>
      </w:pPr>
      <w:r w:rsidRPr="001C6459">
        <w:rPr>
          <w:sz w:val="24"/>
          <w:szCs w:val="24"/>
        </w:rPr>
        <w:t>Twenty randomly chosen luminal-A, luminal-B, HER2-enriched and basal-like tumors are represented.  The luminal-A, luminal-B, basal-like cluster with each other. The HER2-enriched subtypes have 2 clusters, one where they cluster with the luminal-subtypes (indicative of HR-positive/HER2 positive subtypes), and a second cluster indicative of HR-</w:t>
      </w:r>
      <w:r w:rsidR="00272E71" w:rsidRPr="001C6459">
        <w:rPr>
          <w:sz w:val="24"/>
          <w:szCs w:val="24"/>
        </w:rPr>
        <w:t>negative, HER</w:t>
      </w:r>
      <w:r w:rsidRPr="001C6459">
        <w:rPr>
          <w:sz w:val="24"/>
          <w:szCs w:val="24"/>
        </w:rPr>
        <w:t>2-positive subtypes.</w:t>
      </w:r>
      <w:r w:rsidR="00BC50AE">
        <w:rPr>
          <w:sz w:val="24"/>
          <w:szCs w:val="24"/>
        </w:rPr>
        <w:t xml:space="preserve"> Upregulation of genes is represented by green and downregulation represented by red.</w:t>
      </w:r>
    </w:p>
    <w:p w14:paraId="7825C388" w14:textId="5BCB36A9" w:rsidR="001C6459" w:rsidRDefault="001C6459"/>
    <w:p w14:paraId="1DFCCDC9" w14:textId="066F4A13" w:rsidR="001C6459" w:rsidRDefault="001C6459"/>
    <w:p w14:paraId="76797B43" w14:textId="77777777" w:rsidR="001C6459" w:rsidRDefault="001C6459"/>
    <w:sectPr w:rsidR="001C6459" w:rsidSect="001C64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459"/>
    <w:rsid w:val="001C6459"/>
    <w:rsid w:val="00272E71"/>
    <w:rsid w:val="005D29C2"/>
    <w:rsid w:val="009E6003"/>
    <w:rsid w:val="00BC50AE"/>
    <w:rsid w:val="00BD2F7B"/>
    <w:rsid w:val="00D2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8C1DF"/>
  <w15:chartTrackingRefBased/>
  <w15:docId w15:val="{2C2B3EE9-9B92-49BD-A633-CECA1E4B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27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2272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Dix-Peek</dc:creator>
  <cp:keywords/>
  <dc:description/>
  <cp:lastModifiedBy>Therese Dix-Peek</cp:lastModifiedBy>
  <cp:revision>5</cp:revision>
  <dcterms:created xsi:type="dcterms:W3CDTF">2023-01-18T09:07:00Z</dcterms:created>
  <dcterms:modified xsi:type="dcterms:W3CDTF">2023-01-19T14:00:00Z</dcterms:modified>
</cp:coreProperties>
</file>