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tblLook w:val="04A0" w:firstRow="1" w:lastRow="0" w:firstColumn="1" w:lastColumn="0" w:noHBand="0" w:noVBand="1"/>
      </w:tblPr>
      <w:tblGrid>
        <w:gridCol w:w="1802"/>
        <w:gridCol w:w="7549"/>
      </w:tblGrid>
      <w:tr w:rsidR="00A17A4A" w:rsidRPr="006C6439" w14:paraId="52D06430" w14:textId="77777777" w:rsidTr="008A5B33">
        <w:tc>
          <w:tcPr>
            <w:tcW w:w="9351" w:type="dxa"/>
            <w:gridSpan w:val="2"/>
            <w:tcBorders>
              <w:bottom w:val="single" w:sz="12" w:space="0" w:color="auto"/>
            </w:tcBorders>
          </w:tcPr>
          <w:p w14:paraId="2C2CEEC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6083188"/>
            <w:bookmarkStart w:id="1" w:name="_Hlk131347353"/>
            <w:r w:rsidRPr="006C6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1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Van Nuys classification of breast DCIS </w:t>
            </w:r>
            <w:r w:rsidRPr="006C6439">
              <w:rPr>
                <w:rFonts w:ascii="Times New Roman" w:hAnsi="Times New Roman" w:cs="Times New Roman"/>
                <w:noProof/>
                <w:sz w:val="20"/>
                <w:szCs w:val="20"/>
              </w:rPr>
              <w:t>(54)</w:t>
            </w:r>
          </w:p>
        </w:tc>
      </w:tr>
      <w:tr w:rsidR="00A17A4A" w:rsidRPr="006C6439" w14:paraId="68454440" w14:textId="77777777" w:rsidTr="008A5B33">
        <w:tc>
          <w:tcPr>
            <w:tcW w:w="1802" w:type="dxa"/>
            <w:tcBorders>
              <w:top w:val="single" w:sz="12" w:space="0" w:color="auto"/>
            </w:tcBorders>
          </w:tcPr>
          <w:p w14:paraId="1FA06BD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DCIS grade 1</w:t>
            </w:r>
          </w:p>
        </w:tc>
        <w:tc>
          <w:tcPr>
            <w:tcW w:w="7549" w:type="dxa"/>
            <w:tcBorders>
              <w:top w:val="single" w:sz="12" w:space="0" w:color="auto"/>
            </w:tcBorders>
          </w:tcPr>
          <w:p w14:paraId="6856E2BC" w14:textId="22D515F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Nuclear size &lt; 2</w:t>
            </w:r>
            <w:r w:rsidR="004E3E7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RBC and without comedo-type necrosis </w:t>
            </w:r>
          </w:p>
        </w:tc>
      </w:tr>
      <w:tr w:rsidR="00A17A4A" w:rsidRPr="006C6439" w14:paraId="372A3605" w14:textId="77777777" w:rsidTr="008A5B33">
        <w:tc>
          <w:tcPr>
            <w:tcW w:w="1802" w:type="dxa"/>
          </w:tcPr>
          <w:p w14:paraId="4458320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DCIS grade 2</w:t>
            </w:r>
          </w:p>
        </w:tc>
        <w:tc>
          <w:tcPr>
            <w:tcW w:w="7549" w:type="dxa"/>
          </w:tcPr>
          <w:p w14:paraId="0684FEA8" w14:textId="32FCF0D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Nuclear size &lt; 2</w:t>
            </w:r>
            <w:r w:rsidR="004E3E7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RBC and with focal comedo-type necrosis </w:t>
            </w:r>
          </w:p>
        </w:tc>
      </w:tr>
      <w:tr w:rsidR="00A17A4A" w:rsidRPr="006C6439" w14:paraId="57F0661C" w14:textId="77777777" w:rsidTr="008A5B33">
        <w:tc>
          <w:tcPr>
            <w:tcW w:w="1802" w:type="dxa"/>
            <w:tcBorders>
              <w:bottom w:val="single" w:sz="4" w:space="0" w:color="auto"/>
            </w:tcBorders>
          </w:tcPr>
          <w:p w14:paraId="69672020" w14:textId="20DFF862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DCIS grade 3</w:t>
            </w:r>
          </w:p>
        </w:tc>
        <w:tc>
          <w:tcPr>
            <w:tcW w:w="7549" w:type="dxa"/>
            <w:tcBorders>
              <w:bottom w:val="single" w:sz="4" w:space="0" w:color="auto"/>
            </w:tcBorders>
          </w:tcPr>
          <w:p w14:paraId="34486250" w14:textId="7E9FCC73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Nuclear size </w:t>
            </w:r>
            <w:r w:rsidR="00835811" w:rsidRPr="00835811">
              <w:rPr>
                <w:rFonts w:asciiTheme="majorBidi" w:eastAsia="Times New Roman" w:hAnsiTheme="majorBidi" w:cstheme="majorBidi"/>
                <w:color w:val="806000" w:themeColor="accent4" w:themeShade="80"/>
                <w:sz w:val="20"/>
                <w:szCs w:val="20"/>
                <w:shd w:val="clear" w:color="auto" w:fill="FFFFFF"/>
              </w:rPr>
              <w:t>≥</w:t>
            </w:r>
            <w:r w:rsidRPr="0083581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4E3E7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RBC with- or without comedo-type necrosis </w:t>
            </w:r>
          </w:p>
        </w:tc>
      </w:tr>
    </w:tbl>
    <w:p w14:paraId="3C8A3237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B52CFE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8BCAE9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F44727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142"/>
        <w:gridCol w:w="846"/>
        <w:gridCol w:w="654"/>
        <w:gridCol w:w="201"/>
        <w:gridCol w:w="1788"/>
        <w:gridCol w:w="1898"/>
        <w:gridCol w:w="1701"/>
        <w:gridCol w:w="1090"/>
        <w:gridCol w:w="1178"/>
      </w:tblGrid>
      <w:tr w:rsidR="00A17A4A" w:rsidRPr="006C6439" w14:paraId="1E63886F" w14:textId="77777777" w:rsidTr="008A5B33">
        <w:trPr>
          <w:gridBefore w:val="1"/>
          <w:wBefore w:w="142" w:type="dxa"/>
        </w:trPr>
        <w:tc>
          <w:tcPr>
            <w:tcW w:w="9356" w:type="dxa"/>
            <w:gridSpan w:val="8"/>
            <w:tcBorders>
              <w:bottom w:val="single" w:sz="12" w:space="0" w:color="auto"/>
            </w:tcBorders>
          </w:tcPr>
          <w:p w14:paraId="045A7C6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31152147"/>
            <w:r w:rsidRPr="006C6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2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Definition of molecular subtypes for IBC, according to surrogate IHC markers </w:t>
            </w:r>
            <w:r w:rsidRPr="006C6439">
              <w:rPr>
                <w:rFonts w:ascii="Times New Roman" w:hAnsi="Times New Roman" w:cs="Times New Roman"/>
                <w:noProof/>
                <w:sz w:val="20"/>
                <w:szCs w:val="20"/>
              </w:rPr>
              <w:t>(10, 11)</w:t>
            </w:r>
          </w:p>
        </w:tc>
      </w:tr>
      <w:tr w:rsidR="00A17A4A" w:rsidRPr="006C6439" w14:paraId="0F19109C" w14:textId="77777777" w:rsidTr="008A5B33">
        <w:trPr>
          <w:gridBefore w:val="1"/>
          <w:wBefore w:w="142" w:type="dxa"/>
          <w:trHeight w:val="978"/>
        </w:trPr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6B75DE51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Luminal A</w:t>
            </w:r>
          </w:p>
        </w:tc>
        <w:tc>
          <w:tcPr>
            <w:tcW w:w="7655" w:type="dxa"/>
            <w:gridSpan w:val="5"/>
            <w:tcBorders>
              <w:top w:val="single" w:sz="12" w:space="0" w:color="auto"/>
            </w:tcBorders>
          </w:tcPr>
          <w:p w14:paraId="23DEBB05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Hormone receptors (ER and/or PR) positive, HER2-negative, a low level of proliferation according to the Ki67 proliferation index. Luminal A tumors are low-grade, tend to grow slowly, and have the best prognosis.</w:t>
            </w:r>
          </w:p>
          <w:p w14:paraId="32B97061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77FEAEC1" w14:textId="77777777" w:rsidTr="008A5B33">
        <w:trPr>
          <w:gridBefore w:val="1"/>
          <w:wBefore w:w="142" w:type="dxa"/>
        </w:trPr>
        <w:tc>
          <w:tcPr>
            <w:tcW w:w="1701" w:type="dxa"/>
            <w:gridSpan w:val="3"/>
          </w:tcPr>
          <w:p w14:paraId="4F9EDC34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Luminal B</w:t>
            </w:r>
          </w:p>
          <w:p w14:paraId="1C72A530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HER2-negative</w:t>
            </w:r>
          </w:p>
        </w:tc>
        <w:tc>
          <w:tcPr>
            <w:tcW w:w="7655" w:type="dxa"/>
            <w:gridSpan w:val="5"/>
          </w:tcPr>
          <w:p w14:paraId="7537E44C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Hormone receptors (ER and/or PR) positive, HER2-negative, and with higher levels of Ki67 proliferation index, than luminal A tumors.</w:t>
            </w:r>
          </w:p>
          <w:p w14:paraId="7C3E2AD9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17A4A" w:rsidRPr="006C6439" w14:paraId="09BB1A97" w14:textId="77777777" w:rsidTr="008A5B33">
        <w:trPr>
          <w:gridBefore w:val="1"/>
          <w:wBefore w:w="142" w:type="dxa"/>
        </w:trPr>
        <w:tc>
          <w:tcPr>
            <w:tcW w:w="1701" w:type="dxa"/>
            <w:gridSpan w:val="3"/>
          </w:tcPr>
          <w:p w14:paraId="00831FEC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Luminal B</w:t>
            </w:r>
          </w:p>
          <w:p w14:paraId="416C5350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HER2-positive</w:t>
            </w:r>
          </w:p>
        </w:tc>
        <w:tc>
          <w:tcPr>
            <w:tcW w:w="7655" w:type="dxa"/>
            <w:gridSpan w:val="5"/>
          </w:tcPr>
          <w:p w14:paraId="73C4EED7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Hormone receptors (ER and/or PR) positive, HER2-positive, and any value level of Ki67 proliferation index.</w:t>
            </w:r>
          </w:p>
          <w:p w14:paraId="650B9E0C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3473502F" w14:textId="77777777" w:rsidTr="008A5B33">
        <w:trPr>
          <w:gridBefore w:val="1"/>
          <w:wBefore w:w="142" w:type="dxa"/>
        </w:trPr>
        <w:tc>
          <w:tcPr>
            <w:tcW w:w="1701" w:type="dxa"/>
            <w:gridSpan w:val="3"/>
          </w:tcPr>
          <w:p w14:paraId="69F7B95E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HER2-enriched</w:t>
            </w:r>
          </w:p>
        </w:tc>
        <w:tc>
          <w:tcPr>
            <w:tcW w:w="7655" w:type="dxa"/>
            <w:gridSpan w:val="5"/>
          </w:tcPr>
          <w:p w14:paraId="5F8F32EC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Hormone receptors (ER and PR) negative, HER2-positive, and any value level of Ki67 proliferation index. </w:t>
            </w:r>
          </w:p>
          <w:p w14:paraId="13A17788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0F5FD1AF" w14:textId="77777777" w:rsidTr="008A5B33">
        <w:trPr>
          <w:gridBefore w:val="1"/>
          <w:wBefore w:w="142" w:type="dxa"/>
          <w:trHeight w:val="568"/>
        </w:trPr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6D7E242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TPN</w:t>
            </w:r>
          </w:p>
          <w:p w14:paraId="630FC6E1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6F4D9BD3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Hormone receptors (ER and PR) and HER2-negative, any value level of Ki67 proliferation index. </w:t>
            </w:r>
          </w:p>
        </w:tc>
      </w:tr>
      <w:tr w:rsidR="00A17A4A" w:rsidRPr="006C6439" w14:paraId="4A1FBD9A" w14:textId="77777777" w:rsidTr="008A5B33">
        <w:trPr>
          <w:gridBefore w:val="1"/>
          <w:wBefore w:w="142" w:type="dxa"/>
        </w:trPr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69FBECEE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BD55CF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919686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4898F4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209AD7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E0E78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3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Details of antibodies and HER2 SISH probe </w:t>
            </w:r>
            <w:r w:rsidRPr="006C6439">
              <w:rPr>
                <w:rFonts w:ascii="Times New Roman" w:hAnsi="Times New Roman" w:cs="Times New Roman"/>
                <w:noProof/>
                <w:sz w:val="20"/>
                <w:szCs w:val="20"/>
              </w:rPr>
              <w:t>(34)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17A4A" w:rsidRPr="006C6439" w14:paraId="26AAF9DE" w14:textId="77777777" w:rsidTr="008A5B33">
        <w:trPr>
          <w:gridBefore w:val="1"/>
          <w:wBefore w:w="142" w:type="dxa"/>
        </w:trPr>
        <w:tc>
          <w:tcPr>
            <w:tcW w:w="150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EB9A25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Antibody and HER2 probe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2951AC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Clone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12" w:space="0" w:color="auto"/>
            </w:tcBorders>
          </w:tcPr>
          <w:p w14:paraId="5D3108D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Reference Id.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3D2D74D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Vendor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12" w:space="0" w:color="auto"/>
            </w:tcBorders>
          </w:tcPr>
          <w:p w14:paraId="13E7B67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Dilution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12" w:space="0" w:color="auto"/>
            </w:tcBorders>
          </w:tcPr>
          <w:p w14:paraId="3B50D29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Incubation time</w:t>
            </w:r>
          </w:p>
        </w:tc>
      </w:tr>
      <w:tr w:rsidR="00A17A4A" w:rsidRPr="006C6439" w14:paraId="7F97B9A5" w14:textId="77777777" w:rsidTr="008A5B33">
        <w:trPr>
          <w:gridBefore w:val="1"/>
          <w:wBefore w:w="142" w:type="dxa"/>
        </w:trPr>
        <w:tc>
          <w:tcPr>
            <w:tcW w:w="1500" w:type="dxa"/>
            <w:gridSpan w:val="2"/>
            <w:tcBorders>
              <w:top w:val="single" w:sz="12" w:space="0" w:color="auto"/>
            </w:tcBorders>
          </w:tcPr>
          <w:p w14:paraId="0840706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Anti-Ki67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</w:tcBorders>
          </w:tcPr>
          <w:p w14:paraId="2B25B09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MIB-1</w:t>
            </w:r>
          </w:p>
          <w:p w14:paraId="5FF50E3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12" w:space="0" w:color="auto"/>
            </w:tcBorders>
          </w:tcPr>
          <w:p w14:paraId="572E262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M724001-2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7A4A1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</w:p>
        </w:tc>
        <w:tc>
          <w:tcPr>
            <w:tcW w:w="1090" w:type="dxa"/>
            <w:tcBorders>
              <w:top w:val="single" w:sz="12" w:space="0" w:color="auto"/>
            </w:tcBorders>
          </w:tcPr>
          <w:p w14:paraId="0E77FB8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178" w:type="dxa"/>
            <w:tcBorders>
              <w:top w:val="single" w:sz="12" w:space="0" w:color="auto"/>
            </w:tcBorders>
          </w:tcPr>
          <w:p w14:paraId="2BF8B72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20 min.</w:t>
            </w:r>
          </w:p>
        </w:tc>
      </w:tr>
      <w:tr w:rsidR="00A17A4A" w:rsidRPr="006C6439" w14:paraId="70AC1228" w14:textId="77777777" w:rsidTr="008A5B33">
        <w:trPr>
          <w:gridBefore w:val="1"/>
          <w:wBefore w:w="142" w:type="dxa"/>
        </w:trPr>
        <w:tc>
          <w:tcPr>
            <w:tcW w:w="1500" w:type="dxa"/>
            <w:gridSpan w:val="2"/>
          </w:tcPr>
          <w:p w14:paraId="7AB9E4A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Anti-Human estrogen receptor α </w:t>
            </w:r>
          </w:p>
        </w:tc>
        <w:tc>
          <w:tcPr>
            <w:tcW w:w="1989" w:type="dxa"/>
            <w:gridSpan w:val="2"/>
          </w:tcPr>
          <w:p w14:paraId="4885C24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EP1</w:t>
            </w:r>
          </w:p>
        </w:tc>
        <w:tc>
          <w:tcPr>
            <w:tcW w:w="1898" w:type="dxa"/>
          </w:tcPr>
          <w:p w14:paraId="4E7B992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M364301-2</w:t>
            </w:r>
          </w:p>
          <w:p w14:paraId="76B03CB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15615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</w:p>
        </w:tc>
        <w:tc>
          <w:tcPr>
            <w:tcW w:w="1090" w:type="dxa"/>
          </w:tcPr>
          <w:p w14:paraId="6944170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1:50</w:t>
            </w:r>
          </w:p>
        </w:tc>
        <w:tc>
          <w:tcPr>
            <w:tcW w:w="1178" w:type="dxa"/>
          </w:tcPr>
          <w:p w14:paraId="7433576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 min.</w:t>
            </w:r>
          </w:p>
        </w:tc>
      </w:tr>
      <w:tr w:rsidR="00A17A4A" w:rsidRPr="006C6439" w14:paraId="70EF6DE5" w14:textId="77777777" w:rsidTr="008A5B33">
        <w:trPr>
          <w:gridBefore w:val="1"/>
          <w:wBefore w:w="142" w:type="dxa"/>
        </w:trPr>
        <w:tc>
          <w:tcPr>
            <w:tcW w:w="1500" w:type="dxa"/>
            <w:gridSpan w:val="2"/>
          </w:tcPr>
          <w:p w14:paraId="1441745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Anti-Human progesterone receptor</w:t>
            </w:r>
          </w:p>
        </w:tc>
        <w:tc>
          <w:tcPr>
            <w:tcW w:w="1989" w:type="dxa"/>
            <w:gridSpan w:val="2"/>
          </w:tcPr>
          <w:p w14:paraId="2E19893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PR 636</w:t>
            </w:r>
          </w:p>
        </w:tc>
        <w:tc>
          <w:tcPr>
            <w:tcW w:w="1898" w:type="dxa"/>
          </w:tcPr>
          <w:p w14:paraId="24B2121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M356901-2</w:t>
            </w:r>
          </w:p>
          <w:p w14:paraId="5E6CFA0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C0100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</w:p>
        </w:tc>
        <w:tc>
          <w:tcPr>
            <w:tcW w:w="1090" w:type="dxa"/>
          </w:tcPr>
          <w:p w14:paraId="04335BD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178" w:type="dxa"/>
          </w:tcPr>
          <w:p w14:paraId="41583B8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 min.</w:t>
            </w:r>
          </w:p>
        </w:tc>
      </w:tr>
      <w:tr w:rsidR="00A17A4A" w:rsidRPr="006C6439" w14:paraId="6356759F" w14:textId="77777777" w:rsidTr="008A5B33">
        <w:trPr>
          <w:gridBefore w:val="1"/>
          <w:wBefore w:w="142" w:type="dxa"/>
        </w:trPr>
        <w:tc>
          <w:tcPr>
            <w:tcW w:w="1500" w:type="dxa"/>
            <w:gridSpan w:val="2"/>
          </w:tcPr>
          <w:p w14:paraId="2C57E69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Anti-HER2/ErbB2</w:t>
            </w:r>
          </w:p>
        </w:tc>
        <w:tc>
          <w:tcPr>
            <w:tcW w:w="1989" w:type="dxa"/>
            <w:gridSpan w:val="2"/>
          </w:tcPr>
          <w:p w14:paraId="43355CF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D8F12</w:t>
            </w:r>
          </w:p>
          <w:p w14:paraId="713C0EC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80EBD3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#4290</w:t>
            </w:r>
          </w:p>
        </w:tc>
        <w:tc>
          <w:tcPr>
            <w:tcW w:w="1701" w:type="dxa"/>
          </w:tcPr>
          <w:p w14:paraId="587E666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Cell Signaling</w:t>
            </w:r>
          </w:p>
          <w:p w14:paraId="042BAC2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1A781E2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178" w:type="dxa"/>
          </w:tcPr>
          <w:p w14:paraId="0D286FD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60 min.</w:t>
            </w:r>
          </w:p>
        </w:tc>
      </w:tr>
      <w:tr w:rsidR="00A17A4A" w:rsidRPr="006C6439" w14:paraId="05D71474" w14:textId="77777777" w:rsidTr="008A5B33">
        <w:trPr>
          <w:gridBefore w:val="1"/>
          <w:wBefore w:w="142" w:type="dxa"/>
          <w:trHeight w:val="1106"/>
        </w:trPr>
        <w:tc>
          <w:tcPr>
            <w:tcW w:w="1500" w:type="dxa"/>
            <w:gridSpan w:val="2"/>
          </w:tcPr>
          <w:p w14:paraId="06EB46A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 SISH</w:t>
            </w:r>
          </w:p>
          <w:p w14:paraId="0B02521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14:paraId="73149CB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Ventana HER2 Dual ISH DNA probe cocktail</w:t>
            </w:r>
          </w:p>
        </w:tc>
        <w:tc>
          <w:tcPr>
            <w:tcW w:w="1898" w:type="dxa"/>
          </w:tcPr>
          <w:p w14:paraId="78CC05B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8314373001</w:t>
            </w:r>
          </w:p>
        </w:tc>
        <w:tc>
          <w:tcPr>
            <w:tcW w:w="1701" w:type="dxa"/>
          </w:tcPr>
          <w:p w14:paraId="46035DF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Ventana (Roche)</w:t>
            </w:r>
          </w:p>
        </w:tc>
        <w:tc>
          <w:tcPr>
            <w:tcW w:w="1090" w:type="dxa"/>
          </w:tcPr>
          <w:p w14:paraId="0A37F67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Ready to use</w:t>
            </w:r>
          </w:p>
        </w:tc>
        <w:tc>
          <w:tcPr>
            <w:tcW w:w="1178" w:type="dxa"/>
          </w:tcPr>
          <w:p w14:paraId="1FF7F0A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60 min.</w:t>
            </w:r>
          </w:p>
        </w:tc>
      </w:tr>
      <w:tr w:rsidR="00A17A4A" w:rsidRPr="006C6439" w14:paraId="1CA33409" w14:textId="77777777" w:rsidTr="008A5B33">
        <w:trPr>
          <w:gridBefore w:val="1"/>
          <w:wBefore w:w="142" w:type="dxa"/>
        </w:trPr>
        <w:tc>
          <w:tcPr>
            <w:tcW w:w="9356" w:type="dxa"/>
            <w:gridSpan w:val="8"/>
          </w:tcPr>
          <w:p w14:paraId="27384FF4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6004C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4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IHC procedure Dako Autostainer</w:t>
            </w:r>
          </w:p>
        </w:tc>
      </w:tr>
      <w:bookmarkEnd w:id="2"/>
      <w:tr w:rsidR="00A17A4A" w:rsidRPr="006C6439" w14:paraId="3AC554C0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  <w:tcBorders>
              <w:top w:val="single" w:sz="12" w:space="0" w:color="auto"/>
              <w:bottom w:val="nil"/>
            </w:tcBorders>
          </w:tcPr>
          <w:p w14:paraId="3C10018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8510" w:type="dxa"/>
            <w:gridSpan w:val="7"/>
            <w:tcBorders>
              <w:top w:val="single" w:sz="12" w:space="0" w:color="auto"/>
              <w:bottom w:val="nil"/>
            </w:tcBorders>
          </w:tcPr>
          <w:p w14:paraId="4D178417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Antigen retrieval was achieved in a PT-Link station by immersion into EnVision™ FLEX Target Retrieval Solution high pH (K8004, Agilent) by the heating program at 97°C for 20 minutes</w:t>
            </w:r>
          </w:p>
          <w:p w14:paraId="1A333D5A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56C12CD9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3F51264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8510" w:type="dxa"/>
            <w:gridSpan w:val="7"/>
          </w:tcPr>
          <w:p w14:paraId="2736A4E0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Endogenous peroxidase activity was quenched by incubating the slides in EnVision™ FLEX peroxidase blocking reagent (K8000, Agilent) for 5 minutes </w:t>
            </w:r>
          </w:p>
          <w:p w14:paraId="765FDD7E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1E480307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4BE2674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8510" w:type="dxa"/>
            <w:gridSpan w:val="7"/>
          </w:tcPr>
          <w:p w14:paraId="47A0346E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For HER2 IHC, in addition, non-specific staining was inhibited by Animal-Free blocking Solution 1x (#15019) for 30 minutes </w:t>
            </w:r>
          </w:p>
          <w:p w14:paraId="6808378D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11C62C9A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4BA8DF1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8510" w:type="dxa"/>
            <w:gridSpan w:val="7"/>
          </w:tcPr>
          <w:p w14:paraId="28841E86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Primary antibodies Ki67 (1:200), ER (1:50), and PR (1:100) were diluted in EnVision™ FLEX Antibody Diluent (K8006, Agilent); antibody HER2 (1:200) was diluted in SignalStain® Antibody Diluent (#8112, Cell Signaling); and slides were incubated with primary antibodies for 20-60 minutes (table 3) at room temperature </w:t>
            </w:r>
          </w:p>
          <w:p w14:paraId="6F93BCFD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23470F41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7AA9B8A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5</w:t>
            </w:r>
          </w:p>
        </w:tc>
        <w:tc>
          <w:tcPr>
            <w:tcW w:w="8510" w:type="dxa"/>
            <w:gridSpan w:val="7"/>
          </w:tcPr>
          <w:p w14:paraId="5C1CEA87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For ER and PR IHC, rabbit (K800921-2, Agilent) and mouse Linker (K800221-2, Agilent) were added respectively for 15 minutes for signal amplification after primary antibody incubation</w:t>
            </w:r>
          </w:p>
          <w:p w14:paraId="5C5E2890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2726CA27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7820FC8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6</w:t>
            </w:r>
          </w:p>
        </w:tc>
        <w:tc>
          <w:tcPr>
            <w:tcW w:w="8510" w:type="dxa"/>
            <w:gridSpan w:val="7"/>
          </w:tcPr>
          <w:p w14:paraId="24842DDE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Incubation with the ready‐to‐use secondary buffered solution (k8002, EnVision FLEX /HRP, Agilent) for 20 minutes</w:t>
            </w:r>
          </w:p>
          <w:p w14:paraId="7DE07649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3214D1A2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162608E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7</w:t>
            </w:r>
          </w:p>
        </w:tc>
        <w:tc>
          <w:tcPr>
            <w:tcW w:w="8510" w:type="dxa"/>
            <w:gridSpan w:val="7"/>
            <w:tcBorders>
              <w:bottom w:val="nil"/>
            </w:tcBorders>
          </w:tcPr>
          <w:p w14:paraId="4C30F58A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Sections were reacted with 3.30‐diaminobenzidine tetrahydrochloride (DAB) solution for 10 minutes</w:t>
            </w:r>
          </w:p>
          <w:p w14:paraId="0D4884A1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4A" w:rsidRPr="006C6439" w14:paraId="1AD78595" w14:textId="77777777" w:rsidTr="008A5B33">
        <w:tblPrEx>
          <w:tblBorders>
            <w:bottom w:val="single" w:sz="4" w:space="0" w:color="auto"/>
          </w:tblBorders>
        </w:tblPrEx>
        <w:tc>
          <w:tcPr>
            <w:tcW w:w="988" w:type="dxa"/>
            <w:gridSpan w:val="2"/>
          </w:tcPr>
          <w:p w14:paraId="63BAEFB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Step 8</w:t>
            </w:r>
          </w:p>
        </w:tc>
        <w:tc>
          <w:tcPr>
            <w:tcW w:w="8510" w:type="dxa"/>
            <w:gridSpan w:val="7"/>
            <w:tcBorders>
              <w:bottom w:val="single" w:sz="4" w:space="0" w:color="auto"/>
            </w:tcBorders>
          </w:tcPr>
          <w:p w14:paraId="158B44B5" w14:textId="77777777" w:rsidR="00A17A4A" w:rsidRPr="006C6439" w:rsidRDefault="00A17A4A" w:rsidP="008A5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Counterstain with Hematoxylin (Link) (k8008, Agilent) for 5 minutes  </w:t>
            </w:r>
          </w:p>
        </w:tc>
      </w:tr>
    </w:tbl>
    <w:p w14:paraId="592C76F3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24509200"/>
      <w:bookmarkStart w:id="4" w:name="_Hlk124271759"/>
      <w:bookmarkStart w:id="5" w:name="_Hlk126083377"/>
      <w:bookmarkEnd w:id="0"/>
    </w:p>
    <w:p w14:paraId="19DC2F9B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1B134B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BFF0C0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83BAB0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9DA99D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809DF0" w14:textId="7B992E16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C6439">
        <w:rPr>
          <w:rFonts w:ascii="Times New Roman" w:hAnsi="Times New Roman" w:cs="Times New Roman"/>
          <w:b/>
          <w:bCs/>
          <w:sz w:val="20"/>
          <w:szCs w:val="20"/>
        </w:rPr>
        <w:t>Supplementary Table 5a</w:t>
      </w:r>
      <w:r w:rsidRPr="006C6439">
        <w:rPr>
          <w:rFonts w:ascii="Times New Roman" w:hAnsi="Times New Roman" w:cs="Times New Roman"/>
          <w:sz w:val="20"/>
          <w:szCs w:val="20"/>
        </w:rPr>
        <w:t xml:space="preserve"> Distribution of age and extent among subtypes, calculated and classified in the manner of </w:t>
      </w:r>
      <w:r w:rsidR="00270C82">
        <w:rPr>
          <w:rFonts w:ascii="Times New Roman" w:hAnsi="Times New Roman" w:cs="Times New Roman"/>
          <w:sz w:val="20"/>
          <w:szCs w:val="20"/>
        </w:rPr>
        <w:t xml:space="preserve">2011 </w:t>
      </w:r>
      <w:r w:rsidRPr="006C6439">
        <w:rPr>
          <w:rFonts w:ascii="Times New Roman" w:hAnsi="Times New Roman" w:cs="Times New Roman"/>
          <w:sz w:val="20"/>
          <w:szCs w:val="20"/>
        </w:rPr>
        <w:t>St. Gallen recommendations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347"/>
        <w:gridCol w:w="780"/>
        <w:gridCol w:w="921"/>
        <w:gridCol w:w="763"/>
        <w:gridCol w:w="867"/>
        <w:gridCol w:w="709"/>
        <w:gridCol w:w="1063"/>
        <w:gridCol w:w="638"/>
        <w:gridCol w:w="851"/>
        <w:gridCol w:w="708"/>
        <w:gridCol w:w="851"/>
      </w:tblGrid>
      <w:tr w:rsidR="00A17A4A" w:rsidRPr="006C6439" w14:paraId="5A3FC19A" w14:textId="77777777" w:rsidTr="008A5B33">
        <w:tc>
          <w:tcPr>
            <w:tcW w:w="1347" w:type="dxa"/>
            <w:tcBorders>
              <w:top w:val="single" w:sz="4" w:space="0" w:color="auto"/>
              <w:bottom w:val="single" w:sz="2" w:space="0" w:color="auto"/>
            </w:tcBorders>
          </w:tcPr>
          <w:p w14:paraId="3A37D8F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0B8BD20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Luminal A</w:t>
            </w:r>
          </w:p>
          <w:p w14:paraId="0E051CE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753292E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Luminal B </w:t>
            </w:r>
          </w:p>
          <w:p w14:paraId="303A583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 negative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95848D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Luminal B </w:t>
            </w:r>
          </w:p>
          <w:p w14:paraId="5AF060A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HER2-positive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52B82DF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HER2 </w:t>
            </w:r>
          </w:p>
          <w:p w14:paraId="7EC789D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enriched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8009AC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TPN</w:t>
            </w:r>
          </w:p>
        </w:tc>
      </w:tr>
      <w:tr w:rsidR="00A17A4A" w:rsidRPr="006C6439" w14:paraId="42164698" w14:textId="77777777" w:rsidTr="008A5B33">
        <w:trPr>
          <w:trHeight w:val="288"/>
        </w:trPr>
        <w:tc>
          <w:tcPr>
            <w:tcW w:w="1347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5AF318F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B10DA4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Age (yrs)</w:t>
            </w:r>
          </w:p>
        </w:tc>
        <w:tc>
          <w:tcPr>
            <w:tcW w:w="92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1091970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63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C5BAFD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Age (yrs)</w:t>
            </w:r>
          </w:p>
        </w:tc>
        <w:tc>
          <w:tcPr>
            <w:tcW w:w="867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475FC8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5D65F26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  <w:p w14:paraId="2B11431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(yrs)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5046C15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638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4574CCA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  <w:p w14:paraId="2CDAE6A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(yrs)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64D0387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312065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br/>
              <w:t>(yrs)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058B0A4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</w:tr>
      <w:tr w:rsidR="00A17A4A" w:rsidRPr="006C6439" w14:paraId="303051E8" w14:textId="77777777" w:rsidTr="008A5B33">
        <w:trPr>
          <w:trHeight w:val="288"/>
        </w:trPr>
        <w:tc>
          <w:tcPr>
            <w:tcW w:w="1347" w:type="dxa"/>
            <w:tcBorders>
              <w:top w:val="single" w:sz="12" w:space="0" w:color="auto"/>
            </w:tcBorders>
            <w:noWrap/>
            <w:hideMark/>
          </w:tcPr>
          <w:p w14:paraId="6B9F184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780" w:type="dxa"/>
            <w:tcBorders>
              <w:top w:val="single" w:sz="12" w:space="0" w:color="auto"/>
            </w:tcBorders>
            <w:noWrap/>
            <w:hideMark/>
          </w:tcPr>
          <w:p w14:paraId="5173143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noWrap/>
            <w:hideMark/>
          </w:tcPr>
          <w:p w14:paraId="46DB534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noWrap/>
            <w:hideMark/>
          </w:tcPr>
          <w:p w14:paraId="6716A7B4" w14:textId="5046E09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67" w:type="dxa"/>
            <w:tcBorders>
              <w:top w:val="single" w:sz="12" w:space="0" w:color="auto"/>
            </w:tcBorders>
            <w:noWrap/>
            <w:hideMark/>
          </w:tcPr>
          <w:p w14:paraId="6B2C873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hideMark/>
          </w:tcPr>
          <w:p w14:paraId="264C5F97" w14:textId="2B20D56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3" w:type="dxa"/>
            <w:tcBorders>
              <w:top w:val="single" w:sz="12" w:space="0" w:color="auto"/>
            </w:tcBorders>
            <w:noWrap/>
            <w:hideMark/>
          </w:tcPr>
          <w:p w14:paraId="5AFBDB3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noWrap/>
            <w:hideMark/>
          </w:tcPr>
          <w:p w14:paraId="0B1622D4" w14:textId="73BCC6D0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14:paraId="6B42E1E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hideMark/>
          </w:tcPr>
          <w:p w14:paraId="7FE222CD" w14:textId="298B0122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14:paraId="215E0D4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7A4A" w:rsidRPr="006C6439" w14:paraId="1BF1FB4A" w14:textId="77777777" w:rsidTr="008A5B33">
        <w:trPr>
          <w:trHeight w:val="288"/>
        </w:trPr>
        <w:tc>
          <w:tcPr>
            <w:tcW w:w="1347" w:type="dxa"/>
            <w:noWrap/>
            <w:hideMark/>
          </w:tcPr>
          <w:p w14:paraId="48C3077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780" w:type="dxa"/>
            <w:noWrap/>
            <w:hideMark/>
          </w:tcPr>
          <w:p w14:paraId="7D019C44" w14:textId="59A5C31A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21" w:type="dxa"/>
            <w:noWrap/>
            <w:hideMark/>
          </w:tcPr>
          <w:p w14:paraId="41D4E69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3" w:type="dxa"/>
            <w:noWrap/>
            <w:hideMark/>
          </w:tcPr>
          <w:p w14:paraId="1F9E5146" w14:textId="10B1699A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014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7" w:type="dxa"/>
            <w:noWrap/>
            <w:hideMark/>
          </w:tcPr>
          <w:p w14:paraId="17A0A2E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noWrap/>
            <w:hideMark/>
          </w:tcPr>
          <w:p w14:paraId="0897364B" w14:textId="5A19DE5B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63" w:type="dxa"/>
            <w:noWrap/>
            <w:hideMark/>
          </w:tcPr>
          <w:p w14:paraId="2C0A86B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38" w:type="dxa"/>
            <w:noWrap/>
            <w:hideMark/>
          </w:tcPr>
          <w:p w14:paraId="2ADE8EB8" w14:textId="002B43E3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noWrap/>
            <w:hideMark/>
          </w:tcPr>
          <w:p w14:paraId="3715EED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noWrap/>
            <w:hideMark/>
          </w:tcPr>
          <w:p w14:paraId="5F780784" w14:textId="1765DC7A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noWrap/>
            <w:hideMark/>
          </w:tcPr>
          <w:p w14:paraId="1AC53E4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17A4A" w:rsidRPr="006C6439" w14:paraId="3F075630" w14:textId="77777777" w:rsidTr="008A5B33">
        <w:trPr>
          <w:trHeight w:val="288"/>
        </w:trPr>
        <w:tc>
          <w:tcPr>
            <w:tcW w:w="1347" w:type="dxa"/>
            <w:noWrap/>
            <w:hideMark/>
          </w:tcPr>
          <w:p w14:paraId="2D41F7C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80" w:type="dxa"/>
            <w:noWrap/>
            <w:hideMark/>
          </w:tcPr>
          <w:p w14:paraId="56CBB2CF" w14:textId="2FCC275D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1" w:type="dxa"/>
            <w:noWrap/>
            <w:hideMark/>
          </w:tcPr>
          <w:p w14:paraId="5F97926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3" w:type="dxa"/>
            <w:noWrap/>
            <w:hideMark/>
          </w:tcPr>
          <w:p w14:paraId="54D86623" w14:textId="35A463D1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7" w:type="dxa"/>
            <w:noWrap/>
            <w:hideMark/>
          </w:tcPr>
          <w:p w14:paraId="0CD33C10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EB3E225" w14:textId="5B09E79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63" w:type="dxa"/>
            <w:noWrap/>
            <w:hideMark/>
          </w:tcPr>
          <w:p w14:paraId="75F75EF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8" w:type="dxa"/>
            <w:noWrap/>
            <w:hideMark/>
          </w:tcPr>
          <w:p w14:paraId="2E03D692" w14:textId="769A4990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noWrap/>
            <w:hideMark/>
          </w:tcPr>
          <w:p w14:paraId="644B5D9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3A52D07C" w14:textId="45030F8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noWrap/>
            <w:hideMark/>
          </w:tcPr>
          <w:p w14:paraId="1615025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17A4A" w:rsidRPr="006C6439" w14:paraId="76ABC506" w14:textId="77777777" w:rsidTr="008A5B33">
        <w:trPr>
          <w:trHeight w:val="288"/>
        </w:trPr>
        <w:tc>
          <w:tcPr>
            <w:tcW w:w="1347" w:type="dxa"/>
            <w:tcBorders>
              <w:bottom w:val="single" w:sz="4" w:space="0" w:color="auto"/>
            </w:tcBorders>
            <w:noWrap/>
            <w:hideMark/>
          </w:tcPr>
          <w:p w14:paraId="17824B1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7C86F75C" w14:textId="432259F5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hideMark/>
          </w:tcPr>
          <w:p w14:paraId="60CC6DF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14:paraId="1DA4A6E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hideMark/>
          </w:tcPr>
          <w:p w14:paraId="50A4C36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5BE89F6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noWrap/>
            <w:hideMark/>
          </w:tcPr>
          <w:p w14:paraId="0637341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noWrap/>
            <w:hideMark/>
          </w:tcPr>
          <w:p w14:paraId="0ED626C2" w14:textId="712A6CA6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14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899902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14:paraId="463B2FE8" w14:textId="2D86415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67A9C30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</w:tr>
      <w:tr w:rsidR="00A17A4A" w:rsidRPr="006C6439" w14:paraId="2F338A5A" w14:textId="77777777" w:rsidTr="008A5B33"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6B25D1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9C9AA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AA7332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12297E" w14:textId="77777777" w:rsidR="00A17A4A" w:rsidRPr="006C6439" w:rsidRDefault="00A17A4A" w:rsidP="008A5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CEA8EE" w14:textId="2BE44C11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5b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 Distribution of age and extent among subtypes, calculated and classified in the manner of </w:t>
            </w:r>
            <w:r w:rsidR="00270C82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St. Gallen recommendations </w:t>
            </w:r>
          </w:p>
        </w:tc>
      </w:tr>
      <w:tr w:rsidR="00A17A4A" w:rsidRPr="006C6439" w14:paraId="349EDBC0" w14:textId="77777777" w:rsidTr="008A5B33">
        <w:tc>
          <w:tcPr>
            <w:tcW w:w="1347" w:type="dxa"/>
            <w:tcBorders>
              <w:top w:val="single" w:sz="4" w:space="0" w:color="auto"/>
              <w:bottom w:val="single" w:sz="2" w:space="0" w:color="auto"/>
            </w:tcBorders>
          </w:tcPr>
          <w:p w14:paraId="674F7B0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6F2ECD2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Luminal A</w:t>
            </w:r>
          </w:p>
          <w:p w14:paraId="7181FBD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22A6F51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Luminal B </w:t>
            </w:r>
          </w:p>
          <w:p w14:paraId="7A16588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 negative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64F7B6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Luminal B </w:t>
            </w:r>
          </w:p>
          <w:p w14:paraId="723DED2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HER2-positive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CC060C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HER2 </w:t>
            </w:r>
          </w:p>
          <w:p w14:paraId="0B4DFB0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enriched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9A4069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TPN</w:t>
            </w:r>
          </w:p>
        </w:tc>
      </w:tr>
      <w:tr w:rsidR="00A17A4A" w:rsidRPr="006C6439" w14:paraId="4498C7DE" w14:textId="77777777" w:rsidTr="008A5B33">
        <w:trPr>
          <w:trHeight w:val="288"/>
        </w:trPr>
        <w:tc>
          <w:tcPr>
            <w:tcW w:w="1347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4D61345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5227E9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Age (yrs)</w:t>
            </w:r>
          </w:p>
        </w:tc>
        <w:tc>
          <w:tcPr>
            <w:tcW w:w="92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75E760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63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DE23C2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Age (yrs)</w:t>
            </w:r>
          </w:p>
        </w:tc>
        <w:tc>
          <w:tcPr>
            <w:tcW w:w="867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B2AE06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6EF1A98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  <w:p w14:paraId="3DDC10E3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(yrs)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E809BD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638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66E897D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  <w:p w14:paraId="04153D0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(yrs)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3DD2813E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4FB5099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Age (yrs)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6F3E503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Extent (mm)</w:t>
            </w:r>
          </w:p>
        </w:tc>
      </w:tr>
      <w:tr w:rsidR="00A17A4A" w:rsidRPr="006C6439" w14:paraId="5FC27648" w14:textId="77777777" w:rsidTr="008A5B33">
        <w:trPr>
          <w:trHeight w:val="288"/>
        </w:trPr>
        <w:tc>
          <w:tcPr>
            <w:tcW w:w="1347" w:type="dxa"/>
            <w:tcBorders>
              <w:top w:val="single" w:sz="12" w:space="0" w:color="auto"/>
            </w:tcBorders>
            <w:noWrap/>
            <w:hideMark/>
          </w:tcPr>
          <w:p w14:paraId="343860CC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780" w:type="dxa"/>
            <w:tcBorders>
              <w:top w:val="single" w:sz="12" w:space="0" w:color="auto"/>
            </w:tcBorders>
            <w:noWrap/>
            <w:hideMark/>
          </w:tcPr>
          <w:p w14:paraId="71E64115" w14:textId="643B518F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noWrap/>
            <w:hideMark/>
          </w:tcPr>
          <w:p w14:paraId="295BADB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noWrap/>
            <w:hideMark/>
          </w:tcPr>
          <w:p w14:paraId="3D239B99" w14:textId="619B0C82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67" w:type="dxa"/>
            <w:tcBorders>
              <w:top w:val="single" w:sz="12" w:space="0" w:color="auto"/>
            </w:tcBorders>
            <w:noWrap/>
            <w:hideMark/>
          </w:tcPr>
          <w:p w14:paraId="1A1501D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hideMark/>
          </w:tcPr>
          <w:p w14:paraId="32F38279" w14:textId="1024F334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3" w:type="dxa"/>
            <w:tcBorders>
              <w:top w:val="single" w:sz="12" w:space="0" w:color="auto"/>
            </w:tcBorders>
            <w:noWrap/>
            <w:hideMark/>
          </w:tcPr>
          <w:p w14:paraId="42E123B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noWrap/>
            <w:hideMark/>
          </w:tcPr>
          <w:p w14:paraId="5224E3F3" w14:textId="56758140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14:paraId="6C49B66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hideMark/>
          </w:tcPr>
          <w:p w14:paraId="62E727B7" w14:textId="4FE9CB6D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14:paraId="58EB8E64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7A4A" w:rsidRPr="006C6439" w14:paraId="3C43B9C1" w14:textId="77777777" w:rsidTr="008A5B33">
        <w:trPr>
          <w:trHeight w:val="288"/>
        </w:trPr>
        <w:tc>
          <w:tcPr>
            <w:tcW w:w="1347" w:type="dxa"/>
            <w:noWrap/>
            <w:hideMark/>
          </w:tcPr>
          <w:p w14:paraId="42408DD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780" w:type="dxa"/>
            <w:noWrap/>
            <w:hideMark/>
          </w:tcPr>
          <w:p w14:paraId="418E10E0" w14:textId="52B4D8AE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21" w:type="dxa"/>
            <w:noWrap/>
            <w:hideMark/>
          </w:tcPr>
          <w:p w14:paraId="022A3BD1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63" w:type="dxa"/>
            <w:noWrap/>
            <w:hideMark/>
          </w:tcPr>
          <w:p w14:paraId="29457D9F" w14:textId="549101FB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67" w:type="dxa"/>
            <w:noWrap/>
            <w:hideMark/>
          </w:tcPr>
          <w:p w14:paraId="69F0F52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noWrap/>
            <w:hideMark/>
          </w:tcPr>
          <w:p w14:paraId="5BFAF44C" w14:textId="3C40491E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63" w:type="dxa"/>
            <w:noWrap/>
            <w:hideMark/>
          </w:tcPr>
          <w:p w14:paraId="457AFAD9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38" w:type="dxa"/>
            <w:noWrap/>
            <w:hideMark/>
          </w:tcPr>
          <w:p w14:paraId="19F63E9C" w14:textId="28BEB70E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noWrap/>
            <w:hideMark/>
          </w:tcPr>
          <w:p w14:paraId="16CCB01B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noWrap/>
            <w:hideMark/>
          </w:tcPr>
          <w:p w14:paraId="458CAF96" w14:textId="1780179B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noWrap/>
            <w:hideMark/>
          </w:tcPr>
          <w:p w14:paraId="4138D4A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17A4A" w:rsidRPr="006C6439" w14:paraId="1AE4C0B5" w14:textId="77777777" w:rsidTr="008A5B33">
        <w:trPr>
          <w:trHeight w:val="288"/>
        </w:trPr>
        <w:tc>
          <w:tcPr>
            <w:tcW w:w="1347" w:type="dxa"/>
            <w:noWrap/>
            <w:hideMark/>
          </w:tcPr>
          <w:p w14:paraId="0D39F0D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80" w:type="dxa"/>
            <w:noWrap/>
            <w:hideMark/>
          </w:tcPr>
          <w:p w14:paraId="02D925C7" w14:textId="60BDB632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1" w:type="dxa"/>
            <w:noWrap/>
            <w:hideMark/>
          </w:tcPr>
          <w:p w14:paraId="5F8AE33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3" w:type="dxa"/>
            <w:noWrap/>
            <w:hideMark/>
          </w:tcPr>
          <w:p w14:paraId="6E3B76FE" w14:textId="776FF42D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14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7" w:type="dxa"/>
            <w:noWrap/>
            <w:hideMark/>
          </w:tcPr>
          <w:p w14:paraId="7A50E016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0BB1A8E7" w14:textId="3C270CE3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63" w:type="dxa"/>
            <w:noWrap/>
            <w:hideMark/>
          </w:tcPr>
          <w:p w14:paraId="39A9519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8" w:type="dxa"/>
            <w:noWrap/>
            <w:hideMark/>
          </w:tcPr>
          <w:p w14:paraId="2FAC56D1" w14:textId="789FCE95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noWrap/>
            <w:hideMark/>
          </w:tcPr>
          <w:p w14:paraId="018B498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57914D7C" w14:textId="79F8D86E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noWrap/>
            <w:hideMark/>
          </w:tcPr>
          <w:p w14:paraId="7C566EC7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17A4A" w:rsidRPr="006C6439" w14:paraId="08390720" w14:textId="77777777" w:rsidTr="008A5B33">
        <w:trPr>
          <w:trHeight w:val="288"/>
        </w:trPr>
        <w:tc>
          <w:tcPr>
            <w:tcW w:w="1347" w:type="dxa"/>
            <w:tcBorders>
              <w:bottom w:val="single" w:sz="4" w:space="0" w:color="auto"/>
            </w:tcBorders>
            <w:noWrap/>
            <w:hideMark/>
          </w:tcPr>
          <w:p w14:paraId="54C18F55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20A496D5" w14:textId="44BBD712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hideMark/>
          </w:tcPr>
          <w:p w14:paraId="653B32E2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14:paraId="2B1BE936" w14:textId="6377B218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14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hideMark/>
          </w:tcPr>
          <w:p w14:paraId="68CE7FA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5504FF7D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noWrap/>
            <w:hideMark/>
          </w:tcPr>
          <w:p w14:paraId="3BCA50F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noWrap/>
            <w:hideMark/>
          </w:tcPr>
          <w:p w14:paraId="5B91563E" w14:textId="0D00E453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14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1A6770A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14:paraId="1A31B7C4" w14:textId="77BD5001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0639ADF" w14:textId="77777777" w:rsidR="00A17A4A" w:rsidRPr="006C6439" w:rsidRDefault="00A17A4A" w:rsidP="008A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439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</w:tr>
    </w:tbl>
    <w:p w14:paraId="0ED30D41" w14:textId="77777777" w:rsidR="00A17A4A" w:rsidRPr="006C6439" w:rsidRDefault="00A17A4A" w:rsidP="00A17A4A">
      <w:pPr>
        <w:rPr>
          <w:rFonts w:ascii="Times New Roman" w:hAnsi="Times New Roman" w:cs="Times New Roman"/>
          <w:sz w:val="20"/>
          <w:szCs w:val="20"/>
        </w:rPr>
      </w:pPr>
    </w:p>
    <w:bookmarkEnd w:id="1"/>
    <w:p w14:paraId="51B02210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1797E3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2AE058" w14:textId="77777777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</w:p>
    <w:p w14:paraId="30ED53A1" w14:textId="77777777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</w:p>
    <w:p w14:paraId="1BAE2227" w14:textId="77777777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</w:p>
    <w:p w14:paraId="026103C5" w14:textId="3C750DED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6" w:name="_Hlk131344861"/>
      <w:r w:rsidRPr="006C6439">
        <w:rPr>
          <w:rFonts w:ascii="Times New Roman" w:hAnsi="Times New Roman" w:cs="Times New Roman"/>
          <w:b/>
          <w:bCs/>
          <w:sz w:val="20"/>
          <w:szCs w:val="20"/>
        </w:rPr>
        <w:t>Supplementary Flowchart 1a</w:t>
      </w:r>
      <w:r w:rsidRPr="006C6439">
        <w:rPr>
          <w:rFonts w:ascii="Times New Roman" w:hAnsi="Times New Roman" w:cs="Times New Roman"/>
          <w:sz w:val="20"/>
          <w:szCs w:val="20"/>
        </w:rPr>
        <w:t xml:space="preserve"> Distribution of subtypes in line with </w:t>
      </w:r>
      <w:r w:rsidR="00270C82">
        <w:rPr>
          <w:rFonts w:ascii="Times New Roman" w:hAnsi="Times New Roman" w:cs="Times New Roman"/>
          <w:sz w:val="20"/>
          <w:szCs w:val="20"/>
        </w:rPr>
        <w:t xml:space="preserve">2011 </w:t>
      </w:r>
      <w:r w:rsidRPr="006C6439">
        <w:rPr>
          <w:rFonts w:ascii="Times New Roman" w:hAnsi="Times New Roman" w:cs="Times New Roman"/>
          <w:sz w:val="20"/>
          <w:szCs w:val="20"/>
        </w:rPr>
        <w:t>St. Gallen recommendations</w:t>
      </w:r>
    </w:p>
    <w:p w14:paraId="5EDA489F" w14:textId="77777777" w:rsidR="00A17A4A" w:rsidRPr="006C6439" w:rsidRDefault="00A17A4A" w:rsidP="00A17A4A">
      <w:pPr>
        <w:rPr>
          <w:rFonts w:ascii="Times New Roman" w:hAnsi="Times New Roman" w:cs="Times New Roman"/>
          <w:sz w:val="20"/>
          <w:szCs w:val="20"/>
        </w:rPr>
      </w:pPr>
      <w:r w:rsidRPr="006C64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B4C6599" wp14:editId="7CE26F47">
            <wp:extent cx="5725160" cy="3029585"/>
            <wp:effectExtent l="0" t="0" r="8890" b="0"/>
            <wp:docPr id="2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9" t="9988" r="423" b="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0F478" w14:textId="77777777" w:rsidR="00A17A4A" w:rsidRPr="006C6439" w:rsidRDefault="00A17A4A" w:rsidP="00A17A4A">
      <w:pPr>
        <w:rPr>
          <w:rFonts w:ascii="Times New Roman" w:hAnsi="Times New Roman" w:cs="Times New Roman"/>
          <w:sz w:val="20"/>
          <w:szCs w:val="20"/>
        </w:rPr>
      </w:pPr>
      <w:r w:rsidRPr="006C6439">
        <w:rPr>
          <w:rFonts w:ascii="Times New Roman" w:hAnsi="Times New Roman" w:cs="Times New Roman"/>
          <w:sz w:val="20"/>
          <w:szCs w:val="20"/>
        </w:rPr>
        <w:br/>
      </w:r>
    </w:p>
    <w:p w14:paraId="464FA856" w14:textId="77777777" w:rsidR="00A17A4A" w:rsidRPr="006C6439" w:rsidRDefault="00A17A4A" w:rsidP="00A17A4A">
      <w:pPr>
        <w:rPr>
          <w:rFonts w:ascii="Times New Roman" w:hAnsi="Times New Roman" w:cs="Times New Roman"/>
          <w:sz w:val="20"/>
          <w:szCs w:val="20"/>
        </w:rPr>
      </w:pPr>
    </w:p>
    <w:p w14:paraId="78F9D81C" w14:textId="77777777" w:rsidR="00A17A4A" w:rsidRPr="006C6439" w:rsidRDefault="00A17A4A" w:rsidP="00A17A4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C6439">
        <w:rPr>
          <w:rFonts w:ascii="Times New Roman" w:hAnsi="Times New Roman" w:cs="Times New Roman"/>
          <w:sz w:val="20"/>
          <w:szCs w:val="20"/>
        </w:rPr>
        <w:br/>
      </w:r>
    </w:p>
    <w:p w14:paraId="23E4A774" w14:textId="77777777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</w:p>
    <w:p w14:paraId="15F8DB98" w14:textId="2A8AF64B" w:rsidR="00A17A4A" w:rsidRPr="006C6439" w:rsidRDefault="00A17A4A" w:rsidP="00A17A4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6C6439">
        <w:rPr>
          <w:rFonts w:ascii="Times New Roman" w:hAnsi="Times New Roman" w:cs="Times New Roman"/>
          <w:b/>
          <w:bCs/>
          <w:sz w:val="20"/>
          <w:szCs w:val="20"/>
        </w:rPr>
        <w:t>Supplementary Flowchart 1b</w:t>
      </w:r>
      <w:r w:rsidRPr="006C6439">
        <w:rPr>
          <w:rFonts w:ascii="Times New Roman" w:hAnsi="Times New Roman" w:cs="Times New Roman"/>
          <w:sz w:val="20"/>
          <w:szCs w:val="20"/>
        </w:rPr>
        <w:t xml:space="preserve"> Distribution of subtypes in line with </w:t>
      </w:r>
      <w:r w:rsidR="00270C82">
        <w:rPr>
          <w:rFonts w:ascii="Times New Roman" w:hAnsi="Times New Roman" w:cs="Times New Roman"/>
          <w:sz w:val="20"/>
          <w:szCs w:val="20"/>
        </w:rPr>
        <w:t xml:space="preserve">2013 </w:t>
      </w:r>
      <w:r w:rsidRPr="006C6439">
        <w:rPr>
          <w:rFonts w:ascii="Times New Roman" w:hAnsi="Times New Roman" w:cs="Times New Roman"/>
          <w:sz w:val="20"/>
          <w:szCs w:val="20"/>
        </w:rPr>
        <w:t>St. Gallen recommendations</w:t>
      </w:r>
    </w:p>
    <w:p w14:paraId="070D1084" w14:textId="77777777" w:rsidR="00A17A4A" w:rsidRPr="006C6439" w:rsidRDefault="00A17A4A" w:rsidP="00A17A4A">
      <w:pPr>
        <w:rPr>
          <w:rFonts w:ascii="Times New Roman" w:hAnsi="Times New Roman" w:cs="Times New Roman"/>
          <w:noProof/>
          <w:sz w:val="20"/>
          <w:szCs w:val="20"/>
        </w:rPr>
      </w:pPr>
      <w:r w:rsidRPr="006C6439">
        <w:rPr>
          <w:rFonts w:ascii="Times New Roman" w:hAnsi="Times New Roman" w:cs="Times New Roman"/>
          <w:sz w:val="20"/>
          <w:szCs w:val="20"/>
        </w:rPr>
        <w:t xml:space="preserve"> </w:t>
      </w:r>
      <w:bookmarkEnd w:id="3"/>
      <w:bookmarkEnd w:id="4"/>
      <w:r w:rsidRPr="006C64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D3E8B0" wp14:editId="7D925F02">
            <wp:extent cx="3555365" cy="4149090"/>
            <wp:effectExtent l="0" t="0" r="6985" b="0"/>
            <wp:docPr id="3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82" t="-1797" r="2193" b="-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1B3F5792" w14:textId="77777777" w:rsidR="00A17A4A" w:rsidRPr="006C6439" w:rsidRDefault="00A17A4A" w:rsidP="00A17A4A">
      <w:pPr>
        <w:rPr>
          <w:rFonts w:ascii="Times New Roman" w:hAnsi="Times New Roman" w:cs="Times New Roman"/>
          <w:noProof/>
          <w:sz w:val="20"/>
          <w:szCs w:val="20"/>
        </w:rPr>
      </w:pPr>
    </w:p>
    <w:p w14:paraId="680F37AE" w14:textId="77777777" w:rsidR="00A17A4A" w:rsidRPr="006C6439" w:rsidRDefault="00A17A4A" w:rsidP="00A17A4A">
      <w:pPr>
        <w:rPr>
          <w:rFonts w:ascii="Times New Roman" w:hAnsi="Times New Roman" w:cs="Times New Roman"/>
          <w:noProof/>
          <w:sz w:val="20"/>
          <w:szCs w:val="20"/>
        </w:rPr>
      </w:pPr>
    </w:p>
    <w:bookmarkEnd w:id="6"/>
    <w:p w14:paraId="2AD7FE88" w14:textId="77777777" w:rsidR="00A17A4A" w:rsidRPr="006C6439" w:rsidRDefault="00A17A4A" w:rsidP="00A17A4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75A7853" w14:textId="77777777" w:rsidR="000B7A3C" w:rsidRDefault="000B7A3C"/>
    <w:sectPr w:rsidR="000B7A3C" w:rsidSect="006C6439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3219" w14:textId="77777777" w:rsidR="001144A7" w:rsidRDefault="001144A7">
      <w:r>
        <w:separator/>
      </w:r>
    </w:p>
  </w:endnote>
  <w:endnote w:type="continuationSeparator" w:id="0">
    <w:p w14:paraId="09F7CED8" w14:textId="77777777" w:rsidR="001144A7" w:rsidRDefault="0011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BCF8" w14:textId="77777777" w:rsidR="00A21C4F" w:rsidRPr="008E2DFC" w:rsidRDefault="00FE38A2">
    <w:pPr>
      <w:pStyle w:val="Bunntekst"/>
      <w:jc w:val="right"/>
      <w:rPr>
        <w:sz w:val="18"/>
        <w:szCs w:val="18"/>
      </w:rPr>
    </w:pPr>
    <w:r w:rsidRPr="008E2DFC">
      <w:rPr>
        <w:sz w:val="18"/>
        <w:szCs w:val="18"/>
      </w:rPr>
      <w:fldChar w:fldCharType="begin"/>
    </w:r>
    <w:r w:rsidRPr="008E2DFC">
      <w:rPr>
        <w:sz w:val="18"/>
        <w:szCs w:val="18"/>
      </w:rPr>
      <w:instrText>PAGE   \* MERGEFORMAT</w:instrText>
    </w:r>
    <w:r w:rsidRPr="008E2DFC">
      <w:rPr>
        <w:sz w:val="18"/>
        <w:szCs w:val="18"/>
      </w:rPr>
      <w:fldChar w:fldCharType="separate"/>
    </w:r>
    <w:r w:rsidRPr="00FE38A2">
      <w:rPr>
        <w:noProof/>
        <w:sz w:val="18"/>
        <w:szCs w:val="18"/>
        <w:lang w:val="nb-NO"/>
      </w:rPr>
      <w:t>3</w:t>
    </w:r>
    <w:r w:rsidRPr="008E2DFC">
      <w:rPr>
        <w:sz w:val="18"/>
        <w:szCs w:val="18"/>
      </w:rPr>
      <w:fldChar w:fldCharType="end"/>
    </w:r>
  </w:p>
  <w:p w14:paraId="6E857000" w14:textId="77777777" w:rsidR="00A21C4F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D508" w14:textId="77777777" w:rsidR="001144A7" w:rsidRDefault="001144A7">
      <w:r>
        <w:separator/>
      </w:r>
    </w:p>
  </w:footnote>
  <w:footnote w:type="continuationSeparator" w:id="0">
    <w:p w14:paraId="69BD1FAC" w14:textId="77777777" w:rsidR="001144A7" w:rsidRDefault="00114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4A"/>
    <w:rsid w:val="000068D6"/>
    <w:rsid w:val="000075C8"/>
    <w:rsid w:val="000124CC"/>
    <w:rsid w:val="00013D83"/>
    <w:rsid w:val="00017D75"/>
    <w:rsid w:val="00034753"/>
    <w:rsid w:val="00035948"/>
    <w:rsid w:val="0004102C"/>
    <w:rsid w:val="000465AE"/>
    <w:rsid w:val="00050DFB"/>
    <w:rsid w:val="00054226"/>
    <w:rsid w:val="00060033"/>
    <w:rsid w:val="00060EE0"/>
    <w:rsid w:val="00065DDA"/>
    <w:rsid w:val="00066DEF"/>
    <w:rsid w:val="00067D19"/>
    <w:rsid w:val="00070875"/>
    <w:rsid w:val="0007162D"/>
    <w:rsid w:val="00073A74"/>
    <w:rsid w:val="00073D7D"/>
    <w:rsid w:val="000744D5"/>
    <w:rsid w:val="000B6298"/>
    <w:rsid w:val="000B7A3C"/>
    <w:rsid w:val="000C0BAA"/>
    <w:rsid w:val="000E363A"/>
    <w:rsid w:val="00112E1C"/>
    <w:rsid w:val="001144A7"/>
    <w:rsid w:val="00124462"/>
    <w:rsid w:val="00142E41"/>
    <w:rsid w:val="00154956"/>
    <w:rsid w:val="00160795"/>
    <w:rsid w:val="00161CEC"/>
    <w:rsid w:val="00163BF8"/>
    <w:rsid w:val="001659BA"/>
    <w:rsid w:val="00166417"/>
    <w:rsid w:val="00170CD7"/>
    <w:rsid w:val="00177D0A"/>
    <w:rsid w:val="00185B2D"/>
    <w:rsid w:val="001950ED"/>
    <w:rsid w:val="001A0FBF"/>
    <w:rsid w:val="001A2599"/>
    <w:rsid w:val="001A4419"/>
    <w:rsid w:val="001B2030"/>
    <w:rsid w:val="001D07D0"/>
    <w:rsid w:val="001D3A77"/>
    <w:rsid w:val="001D6D7B"/>
    <w:rsid w:val="001E2784"/>
    <w:rsid w:val="001F0DDB"/>
    <w:rsid w:val="00210CBC"/>
    <w:rsid w:val="002117F9"/>
    <w:rsid w:val="00212C83"/>
    <w:rsid w:val="00223A82"/>
    <w:rsid w:val="00225F7B"/>
    <w:rsid w:val="0025218E"/>
    <w:rsid w:val="00256393"/>
    <w:rsid w:val="0025704D"/>
    <w:rsid w:val="002638D2"/>
    <w:rsid w:val="00270C82"/>
    <w:rsid w:val="00271D16"/>
    <w:rsid w:val="002728C1"/>
    <w:rsid w:val="002757A9"/>
    <w:rsid w:val="00277A23"/>
    <w:rsid w:val="0028768E"/>
    <w:rsid w:val="002A49F8"/>
    <w:rsid w:val="002A600C"/>
    <w:rsid w:val="002B16D7"/>
    <w:rsid w:val="002B1800"/>
    <w:rsid w:val="002B1FE3"/>
    <w:rsid w:val="002B4E91"/>
    <w:rsid w:val="002B5CD5"/>
    <w:rsid w:val="002B6498"/>
    <w:rsid w:val="002C0DA5"/>
    <w:rsid w:val="002D69BC"/>
    <w:rsid w:val="002E30EF"/>
    <w:rsid w:val="002E6EE5"/>
    <w:rsid w:val="002F39BF"/>
    <w:rsid w:val="002F4A1B"/>
    <w:rsid w:val="0030142F"/>
    <w:rsid w:val="00305DA2"/>
    <w:rsid w:val="00307F13"/>
    <w:rsid w:val="00322446"/>
    <w:rsid w:val="00335678"/>
    <w:rsid w:val="00340C03"/>
    <w:rsid w:val="00340D0D"/>
    <w:rsid w:val="00342FC2"/>
    <w:rsid w:val="00381EF4"/>
    <w:rsid w:val="00384D17"/>
    <w:rsid w:val="0038629F"/>
    <w:rsid w:val="003907D5"/>
    <w:rsid w:val="003A37E9"/>
    <w:rsid w:val="003A6AE3"/>
    <w:rsid w:val="003D18DA"/>
    <w:rsid w:val="003D48F9"/>
    <w:rsid w:val="003D5B9F"/>
    <w:rsid w:val="003D7984"/>
    <w:rsid w:val="003F52B1"/>
    <w:rsid w:val="00416184"/>
    <w:rsid w:val="0042341C"/>
    <w:rsid w:val="00430F25"/>
    <w:rsid w:val="004356C6"/>
    <w:rsid w:val="004377CE"/>
    <w:rsid w:val="00442E91"/>
    <w:rsid w:val="004500B2"/>
    <w:rsid w:val="00460296"/>
    <w:rsid w:val="0046216F"/>
    <w:rsid w:val="00466120"/>
    <w:rsid w:val="00466CB6"/>
    <w:rsid w:val="00466DD9"/>
    <w:rsid w:val="004672F8"/>
    <w:rsid w:val="00474087"/>
    <w:rsid w:val="004A31A0"/>
    <w:rsid w:val="004B2F98"/>
    <w:rsid w:val="004D0006"/>
    <w:rsid w:val="004E3E73"/>
    <w:rsid w:val="004E75BB"/>
    <w:rsid w:val="00514BE1"/>
    <w:rsid w:val="00522EDF"/>
    <w:rsid w:val="005236EA"/>
    <w:rsid w:val="00525626"/>
    <w:rsid w:val="00530229"/>
    <w:rsid w:val="00533178"/>
    <w:rsid w:val="005519C9"/>
    <w:rsid w:val="0056694F"/>
    <w:rsid w:val="00581CBE"/>
    <w:rsid w:val="0058293C"/>
    <w:rsid w:val="00587D1F"/>
    <w:rsid w:val="005B6170"/>
    <w:rsid w:val="005D1934"/>
    <w:rsid w:val="005D1C09"/>
    <w:rsid w:val="005E159E"/>
    <w:rsid w:val="00600C90"/>
    <w:rsid w:val="00603092"/>
    <w:rsid w:val="0060713E"/>
    <w:rsid w:val="00656EAC"/>
    <w:rsid w:val="00660772"/>
    <w:rsid w:val="00663919"/>
    <w:rsid w:val="006A058D"/>
    <w:rsid w:val="006A1D45"/>
    <w:rsid w:val="006B6FB7"/>
    <w:rsid w:val="006C18F3"/>
    <w:rsid w:val="006C4ABA"/>
    <w:rsid w:val="006D0620"/>
    <w:rsid w:val="006F0EFB"/>
    <w:rsid w:val="006F2AE5"/>
    <w:rsid w:val="007006A9"/>
    <w:rsid w:val="00700D64"/>
    <w:rsid w:val="007131A7"/>
    <w:rsid w:val="00714767"/>
    <w:rsid w:val="007269EF"/>
    <w:rsid w:val="00753CD3"/>
    <w:rsid w:val="00766B7E"/>
    <w:rsid w:val="00777742"/>
    <w:rsid w:val="00793E5F"/>
    <w:rsid w:val="0079503B"/>
    <w:rsid w:val="007951A5"/>
    <w:rsid w:val="00796A3A"/>
    <w:rsid w:val="00797154"/>
    <w:rsid w:val="007B59A5"/>
    <w:rsid w:val="007D1F56"/>
    <w:rsid w:val="007D2102"/>
    <w:rsid w:val="007D2ACE"/>
    <w:rsid w:val="007F3D4A"/>
    <w:rsid w:val="0080484F"/>
    <w:rsid w:val="00807AEF"/>
    <w:rsid w:val="008231A8"/>
    <w:rsid w:val="00835811"/>
    <w:rsid w:val="00843019"/>
    <w:rsid w:val="00843777"/>
    <w:rsid w:val="00852C4F"/>
    <w:rsid w:val="00857F36"/>
    <w:rsid w:val="0087093A"/>
    <w:rsid w:val="008716EA"/>
    <w:rsid w:val="00872862"/>
    <w:rsid w:val="008845A3"/>
    <w:rsid w:val="008851EA"/>
    <w:rsid w:val="0088606F"/>
    <w:rsid w:val="008937F4"/>
    <w:rsid w:val="008B7D5F"/>
    <w:rsid w:val="008D27BC"/>
    <w:rsid w:val="008F0DED"/>
    <w:rsid w:val="009003A3"/>
    <w:rsid w:val="00916BA4"/>
    <w:rsid w:val="009225D2"/>
    <w:rsid w:val="0092658F"/>
    <w:rsid w:val="00927B96"/>
    <w:rsid w:val="009330EF"/>
    <w:rsid w:val="0093639A"/>
    <w:rsid w:val="00977BF1"/>
    <w:rsid w:val="00981B1A"/>
    <w:rsid w:val="00982F8B"/>
    <w:rsid w:val="00993B5B"/>
    <w:rsid w:val="009A36B6"/>
    <w:rsid w:val="009C7CC4"/>
    <w:rsid w:val="009D1208"/>
    <w:rsid w:val="009D2B27"/>
    <w:rsid w:val="009D49B5"/>
    <w:rsid w:val="009E04DD"/>
    <w:rsid w:val="009E1243"/>
    <w:rsid w:val="009E1E99"/>
    <w:rsid w:val="009E3C42"/>
    <w:rsid w:val="009E515A"/>
    <w:rsid w:val="00A0281A"/>
    <w:rsid w:val="00A06942"/>
    <w:rsid w:val="00A17A4A"/>
    <w:rsid w:val="00A36844"/>
    <w:rsid w:val="00A40314"/>
    <w:rsid w:val="00A40C11"/>
    <w:rsid w:val="00A47963"/>
    <w:rsid w:val="00A82DB4"/>
    <w:rsid w:val="00A87FCB"/>
    <w:rsid w:val="00A9061E"/>
    <w:rsid w:val="00AA6AFB"/>
    <w:rsid w:val="00AB0A53"/>
    <w:rsid w:val="00AB0ECF"/>
    <w:rsid w:val="00AC032E"/>
    <w:rsid w:val="00AC1667"/>
    <w:rsid w:val="00AC4A6E"/>
    <w:rsid w:val="00AC7AC5"/>
    <w:rsid w:val="00AD5D07"/>
    <w:rsid w:val="00AE5E23"/>
    <w:rsid w:val="00B01750"/>
    <w:rsid w:val="00B01D02"/>
    <w:rsid w:val="00B02BB3"/>
    <w:rsid w:val="00B07759"/>
    <w:rsid w:val="00B1140C"/>
    <w:rsid w:val="00B114F8"/>
    <w:rsid w:val="00B175EC"/>
    <w:rsid w:val="00B254F7"/>
    <w:rsid w:val="00B56807"/>
    <w:rsid w:val="00B668D3"/>
    <w:rsid w:val="00B750F8"/>
    <w:rsid w:val="00B94183"/>
    <w:rsid w:val="00BA55AB"/>
    <w:rsid w:val="00BC42B6"/>
    <w:rsid w:val="00BC4AAB"/>
    <w:rsid w:val="00BD4CA9"/>
    <w:rsid w:val="00C15B14"/>
    <w:rsid w:val="00C16DC7"/>
    <w:rsid w:val="00C21920"/>
    <w:rsid w:val="00C360B8"/>
    <w:rsid w:val="00C43795"/>
    <w:rsid w:val="00C47285"/>
    <w:rsid w:val="00C54B69"/>
    <w:rsid w:val="00C6318D"/>
    <w:rsid w:val="00C93CA3"/>
    <w:rsid w:val="00CB0126"/>
    <w:rsid w:val="00CB51DB"/>
    <w:rsid w:val="00CC466C"/>
    <w:rsid w:val="00D05015"/>
    <w:rsid w:val="00D16360"/>
    <w:rsid w:val="00D262AA"/>
    <w:rsid w:val="00D35138"/>
    <w:rsid w:val="00D4183C"/>
    <w:rsid w:val="00D6012C"/>
    <w:rsid w:val="00D62111"/>
    <w:rsid w:val="00D63091"/>
    <w:rsid w:val="00D668B8"/>
    <w:rsid w:val="00D70A84"/>
    <w:rsid w:val="00D746C8"/>
    <w:rsid w:val="00D91505"/>
    <w:rsid w:val="00D91826"/>
    <w:rsid w:val="00D97120"/>
    <w:rsid w:val="00DA4080"/>
    <w:rsid w:val="00DB5F33"/>
    <w:rsid w:val="00DC6D96"/>
    <w:rsid w:val="00DD0FFB"/>
    <w:rsid w:val="00DE0BEE"/>
    <w:rsid w:val="00DF4B3E"/>
    <w:rsid w:val="00E14713"/>
    <w:rsid w:val="00E1700F"/>
    <w:rsid w:val="00E24FD6"/>
    <w:rsid w:val="00E26025"/>
    <w:rsid w:val="00E51A82"/>
    <w:rsid w:val="00E53906"/>
    <w:rsid w:val="00E62B41"/>
    <w:rsid w:val="00E67C24"/>
    <w:rsid w:val="00E71126"/>
    <w:rsid w:val="00E7725B"/>
    <w:rsid w:val="00E951EF"/>
    <w:rsid w:val="00E97196"/>
    <w:rsid w:val="00EA32FF"/>
    <w:rsid w:val="00EA6B1B"/>
    <w:rsid w:val="00ED1F42"/>
    <w:rsid w:val="00ED35DB"/>
    <w:rsid w:val="00ED7911"/>
    <w:rsid w:val="00EE36D4"/>
    <w:rsid w:val="00EF7E37"/>
    <w:rsid w:val="00F01795"/>
    <w:rsid w:val="00F05D77"/>
    <w:rsid w:val="00F21635"/>
    <w:rsid w:val="00F217CF"/>
    <w:rsid w:val="00F22167"/>
    <w:rsid w:val="00F250E5"/>
    <w:rsid w:val="00F337AD"/>
    <w:rsid w:val="00F35250"/>
    <w:rsid w:val="00F4164B"/>
    <w:rsid w:val="00F417C7"/>
    <w:rsid w:val="00F46B81"/>
    <w:rsid w:val="00F47861"/>
    <w:rsid w:val="00F47993"/>
    <w:rsid w:val="00F50C53"/>
    <w:rsid w:val="00F51A6E"/>
    <w:rsid w:val="00F54300"/>
    <w:rsid w:val="00F57E49"/>
    <w:rsid w:val="00F624B4"/>
    <w:rsid w:val="00F65E54"/>
    <w:rsid w:val="00F83F3D"/>
    <w:rsid w:val="00FA3FF5"/>
    <w:rsid w:val="00FA592A"/>
    <w:rsid w:val="00FA7A85"/>
    <w:rsid w:val="00FB0A3E"/>
    <w:rsid w:val="00FB1541"/>
    <w:rsid w:val="00FB2F47"/>
    <w:rsid w:val="00FB6170"/>
    <w:rsid w:val="00FD063D"/>
    <w:rsid w:val="00FD0D29"/>
    <w:rsid w:val="00FE38A2"/>
    <w:rsid w:val="00FE71DF"/>
    <w:rsid w:val="00FE7CEF"/>
    <w:rsid w:val="00FF1194"/>
    <w:rsid w:val="00FF23DA"/>
    <w:rsid w:val="00FF46EE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BE2C"/>
  <w15:chartTrackingRefBased/>
  <w15:docId w15:val="{BE6A73FF-B07F-49FB-945D-916D1218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A4A"/>
    <w:pPr>
      <w:spacing w:after="0" w:line="240" w:lineRule="auto"/>
    </w:pPr>
    <w:rPr>
      <w:rFonts w:ascii="Calibri" w:eastAsia="Calibri" w:hAnsi="Calibri" w:cs="Arial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A17A4A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17A4A"/>
    <w:rPr>
      <w:rFonts w:ascii="Calibri" w:eastAsia="Calibri" w:hAnsi="Calibri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673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Nagendran M Muthumani R</dc:creator>
  <cp:keywords/>
  <dc:description/>
  <cp:lastModifiedBy>Hossein S</cp:lastModifiedBy>
  <cp:revision>6</cp:revision>
  <dcterms:created xsi:type="dcterms:W3CDTF">2023-07-03T09:19:00Z</dcterms:created>
  <dcterms:modified xsi:type="dcterms:W3CDTF">2023-07-09T18:31:00Z</dcterms:modified>
</cp:coreProperties>
</file>