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F6760" w:rsidRPr="001F6760" w:rsidRDefault="001F6760" w:rsidP="001F6760">
      <w:pPr>
        <w:spacing w:line="48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6760">
        <w:rPr>
          <w:rFonts w:ascii="Times New Roman" w:hAnsi="Times New Roman" w:cs="Times New Roman"/>
          <w:b/>
          <w:sz w:val="22"/>
          <w:szCs w:val="22"/>
        </w:rPr>
        <w:t>List of Supporting Information</w:t>
      </w:r>
      <w:r w:rsidRPr="001F6760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1F6760" w:rsidRPr="001F6760" w:rsidRDefault="001F6760" w:rsidP="001F6760">
      <w:pPr>
        <w:spacing w:line="48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6760">
        <w:rPr>
          <w:rFonts w:ascii="Times New Roman" w:hAnsi="Times New Roman" w:cs="Times New Roman"/>
          <w:sz w:val="22"/>
          <w:szCs w:val="22"/>
        </w:rPr>
        <w:t xml:space="preserve">Tables: </w:t>
      </w:r>
    </w:p>
    <w:p w:rsidR="001F6760" w:rsidRPr="001F6760" w:rsidRDefault="001F6760" w:rsidP="001F6760">
      <w:pPr>
        <w:spacing w:line="48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6760">
        <w:rPr>
          <w:rFonts w:ascii="Times New Roman" w:hAnsi="Times New Roman" w:cs="Times New Roman"/>
          <w:sz w:val="22"/>
          <w:szCs w:val="22"/>
        </w:rPr>
        <w:t>Table S1: Patient characteristics of the POTENT trial</w:t>
      </w:r>
    </w:p>
    <w:p w:rsidR="001F6760" w:rsidRPr="001F6760" w:rsidRDefault="001F6760" w:rsidP="001F6760">
      <w:pPr>
        <w:spacing w:line="48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6760">
        <w:rPr>
          <w:rFonts w:ascii="Times New Roman" w:hAnsi="Times New Roman" w:cs="Times New Roman"/>
          <w:sz w:val="22"/>
          <w:szCs w:val="22"/>
        </w:rPr>
        <w:t xml:space="preserve">Table S2: Proportion of patients who met the </w:t>
      </w:r>
      <w:proofErr w:type="spellStart"/>
      <w:r w:rsidRPr="001F6760">
        <w:rPr>
          <w:rFonts w:ascii="Times New Roman" w:hAnsi="Times New Roman" w:cs="Times New Roman"/>
          <w:sz w:val="22"/>
          <w:szCs w:val="22"/>
        </w:rPr>
        <w:t>monarchE</w:t>
      </w:r>
      <w:proofErr w:type="spellEnd"/>
      <w:r w:rsidRPr="001F6760">
        <w:rPr>
          <w:rFonts w:ascii="Times New Roman" w:hAnsi="Times New Roman" w:cs="Times New Roman"/>
          <w:sz w:val="22"/>
          <w:szCs w:val="22"/>
        </w:rPr>
        <w:t xml:space="preserve"> criteria in the risk groups</w:t>
      </w:r>
    </w:p>
    <w:p w:rsidR="001F6760" w:rsidRPr="001F6760" w:rsidRDefault="001F6760" w:rsidP="001F6760">
      <w:pPr>
        <w:spacing w:line="48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6760">
        <w:rPr>
          <w:rFonts w:ascii="Times New Roman" w:hAnsi="Times New Roman" w:cs="Times New Roman"/>
          <w:sz w:val="22"/>
          <w:szCs w:val="22"/>
        </w:rPr>
        <w:t xml:space="preserve">Figures: </w:t>
      </w:r>
    </w:p>
    <w:p w:rsidR="001F6760" w:rsidRPr="001F6760" w:rsidRDefault="001F6760" w:rsidP="001F6760">
      <w:pPr>
        <w:spacing w:line="48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6760">
        <w:rPr>
          <w:rFonts w:ascii="Times New Roman" w:hAnsi="Times New Roman" w:cs="Times New Roman"/>
          <w:sz w:val="22"/>
          <w:szCs w:val="22"/>
        </w:rPr>
        <w:t>Figure S1. Frequency distribution of the composite risk vales in the endocrine therapy only arm</w:t>
      </w:r>
    </w:p>
    <w:p w:rsidR="001F6760" w:rsidRPr="001F6760" w:rsidRDefault="001F6760">
      <w:pPr>
        <w:rPr>
          <w:rFonts w:ascii="Times New Roman" w:hAnsi="Times New Roman" w:cs="Times New Roman"/>
          <w:sz w:val="22"/>
          <w:szCs w:val="22"/>
        </w:rPr>
      </w:pPr>
      <w:r w:rsidRPr="001F6760">
        <w:rPr>
          <w:rFonts w:ascii="Times New Roman" w:hAnsi="Times New Roman" w:cs="Times New Roman"/>
          <w:sz w:val="22"/>
          <w:szCs w:val="22"/>
        </w:rPr>
        <w:br w:type="page"/>
      </w:r>
    </w:p>
    <w:p w:rsidR="001F6760" w:rsidRPr="001F6760" w:rsidRDefault="001F6760" w:rsidP="001F6760">
      <w:pPr>
        <w:spacing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F6760">
        <w:rPr>
          <w:rFonts w:ascii="Times New Roman" w:hAnsi="Times New Roman" w:cs="Times New Roman"/>
          <w:b/>
          <w:bCs/>
          <w:sz w:val="22"/>
          <w:szCs w:val="22"/>
        </w:rPr>
        <w:lastRenderedPageBreak/>
        <w:t>Table S1: Patient characteristics of the POTENT trial</w:t>
      </w: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469"/>
        <w:gridCol w:w="1004"/>
        <w:gridCol w:w="1008"/>
        <w:gridCol w:w="1005"/>
        <w:gridCol w:w="1008"/>
        <w:gridCol w:w="1005"/>
        <w:gridCol w:w="1005"/>
      </w:tblGrid>
      <w:tr w:rsidR="001F6760" w:rsidRPr="001F6760" w:rsidTr="001F6760">
        <w:trPr>
          <w:trHeight w:val="320"/>
        </w:trPr>
        <w:tc>
          <w:tcPr>
            <w:tcW w:w="145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Factors</w:t>
            </w:r>
          </w:p>
        </w:tc>
        <w:tc>
          <w:tcPr>
            <w:tcW w:w="59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 xml:space="preserve">　</w:t>
            </w:r>
          </w:p>
        </w:tc>
        <w:tc>
          <w:tcPr>
            <w:tcW w:w="59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Endocrine therapy only group (N=954)</w:t>
            </w:r>
          </w:p>
        </w:tc>
        <w:tc>
          <w:tcPr>
            <w:tcW w:w="59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 xml:space="preserve">　</w:t>
            </w:r>
          </w:p>
        </w:tc>
        <w:tc>
          <w:tcPr>
            <w:tcW w:w="59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Endocrine therapy plus S-1 group (N=943)</w:t>
            </w:r>
          </w:p>
        </w:tc>
        <w:tc>
          <w:tcPr>
            <w:tcW w:w="59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 xml:space="preserve">　</w:t>
            </w:r>
          </w:p>
        </w:tc>
        <w:tc>
          <w:tcPr>
            <w:tcW w:w="59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 xml:space="preserve">　</w:t>
            </w:r>
          </w:p>
        </w:tc>
      </w:tr>
      <w:tr w:rsidR="001F6760" w:rsidRPr="001F6760" w:rsidTr="001F6760">
        <w:trPr>
          <w:trHeight w:val="320"/>
        </w:trPr>
        <w:tc>
          <w:tcPr>
            <w:tcW w:w="145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 xml:space="preserve">　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 xml:space="preserve">　</w:t>
            </w:r>
          </w:p>
        </w:tc>
        <w:tc>
          <w:tcPr>
            <w:tcW w:w="59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59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59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59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P-value</w:t>
            </w:r>
          </w:p>
        </w:tc>
      </w:tr>
      <w:tr w:rsidR="001F6760" w:rsidRPr="001F6760" w:rsidTr="001F6760">
        <w:trPr>
          <w:trHeight w:val="320"/>
        </w:trPr>
        <w:tc>
          <w:tcPr>
            <w:tcW w:w="145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Age</w:t>
            </w:r>
          </w:p>
        </w:tc>
        <w:tc>
          <w:tcPr>
            <w:tcW w:w="59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median (range)</w:t>
            </w:r>
          </w:p>
        </w:tc>
        <w:tc>
          <w:tcPr>
            <w:tcW w:w="59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51</w:t>
            </w:r>
          </w:p>
        </w:tc>
        <w:tc>
          <w:tcPr>
            <w:tcW w:w="59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(27–75)</w:t>
            </w:r>
          </w:p>
        </w:tc>
        <w:tc>
          <w:tcPr>
            <w:tcW w:w="59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52</w:t>
            </w:r>
          </w:p>
        </w:tc>
        <w:tc>
          <w:tcPr>
            <w:tcW w:w="59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(29–75)</w:t>
            </w:r>
          </w:p>
        </w:tc>
        <w:tc>
          <w:tcPr>
            <w:tcW w:w="59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0.87</w:t>
            </w:r>
          </w:p>
        </w:tc>
      </w:tr>
      <w:tr w:rsidR="001F6760" w:rsidRPr="001F6760" w:rsidTr="001F6760">
        <w:trPr>
          <w:trHeight w:val="320"/>
        </w:trPr>
        <w:tc>
          <w:tcPr>
            <w:tcW w:w="1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Clinical tumor stage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cT1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349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37%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370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39%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0.49</w:t>
            </w:r>
          </w:p>
        </w:tc>
      </w:tr>
      <w:tr w:rsidR="001F6760" w:rsidRPr="001F6760" w:rsidTr="001F6760">
        <w:trPr>
          <w:trHeight w:val="320"/>
        </w:trPr>
        <w:tc>
          <w:tcPr>
            <w:tcW w:w="1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cT2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514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54%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485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51%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</w:tr>
      <w:tr w:rsidR="001F6760" w:rsidRPr="001F6760" w:rsidTr="001F6760">
        <w:trPr>
          <w:trHeight w:val="320"/>
        </w:trPr>
        <w:tc>
          <w:tcPr>
            <w:tcW w:w="1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cT3-4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91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10%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88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9%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</w:tr>
      <w:tr w:rsidR="001F6760" w:rsidRPr="001F6760" w:rsidTr="001F6760">
        <w:trPr>
          <w:trHeight w:val="320"/>
        </w:trPr>
        <w:tc>
          <w:tcPr>
            <w:tcW w:w="1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Nodal metastasis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600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63%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599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64%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0.78</w:t>
            </w:r>
          </w:p>
        </w:tc>
      </w:tr>
      <w:tr w:rsidR="001F6760" w:rsidRPr="001F6760" w:rsidTr="001F6760">
        <w:trPr>
          <w:trHeight w:val="320"/>
        </w:trPr>
        <w:tc>
          <w:tcPr>
            <w:tcW w:w="1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354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37%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344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36%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</w:tr>
      <w:tr w:rsidR="001F6760" w:rsidRPr="001F6760" w:rsidTr="001F6760">
        <w:trPr>
          <w:trHeight w:val="320"/>
        </w:trPr>
        <w:tc>
          <w:tcPr>
            <w:tcW w:w="1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ER-positivity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1-9%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1%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1%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0.85</w:t>
            </w:r>
          </w:p>
        </w:tc>
      </w:tr>
      <w:tr w:rsidR="001F6760" w:rsidRPr="001F6760" w:rsidTr="001F6760">
        <w:trPr>
          <w:trHeight w:val="320"/>
        </w:trPr>
        <w:tc>
          <w:tcPr>
            <w:tcW w:w="1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≥ 10%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943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99%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933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99%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</w:tr>
      <w:tr w:rsidR="001F6760" w:rsidRPr="001F6760" w:rsidTr="001F6760">
        <w:trPr>
          <w:trHeight w:val="320"/>
        </w:trPr>
        <w:tc>
          <w:tcPr>
            <w:tcW w:w="1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Neo/Adjuvant chemotherapy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528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55%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522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55%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1.00</w:t>
            </w:r>
          </w:p>
        </w:tc>
      </w:tr>
      <w:tr w:rsidR="001F6760" w:rsidRPr="001F6760" w:rsidTr="001F6760">
        <w:trPr>
          <w:trHeight w:val="320"/>
        </w:trPr>
        <w:tc>
          <w:tcPr>
            <w:tcW w:w="1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426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45%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421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45%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</w:tr>
      <w:tr w:rsidR="001F6760" w:rsidRPr="001F6760" w:rsidTr="001F6760">
        <w:trPr>
          <w:trHeight w:val="320"/>
        </w:trPr>
        <w:tc>
          <w:tcPr>
            <w:tcW w:w="1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Histological grade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106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11%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107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11%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0.85</w:t>
            </w:r>
          </w:p>
        </w:tc>
      </w:tr>
      <w:tr w:rsidR="001F6760" w:rsidRPr="001F6760" w:rsidTr="001F6760">
        <w:trPr>
          <w:trHeight w:val="320"/>
        </w:trPr>
        <w:tc>
          <w:tcPr>
            <w:tcW w:w="1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585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61%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587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62%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</w:tr>
      <w:tr w:rsidR="001F6760" w:rsidRPr="001F6760" w:rsidTr="001F6760">
        <w:trPr>
          <w:trHeight w:val="320"/>
        </w:trPr>
        <w:tc>
          <w:tcPr>
            <w:tcW w:w="1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263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28%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249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26%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</w:tr>
      <w:tr w:rsidR="001F6760" w:rsidRPr="001F6760" w:rsidTr="001F6760">
        <w:trPr>
          <w:trHeight w:val="320"/>
        </w:trPr>
        <w:tc>
          <w:tcPr>
            <w:tcW w:w="1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lastRenderedPageBreak/>
              <w:t>Ki-67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&lt; 14%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522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55%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524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56%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0.89</w:t>
            </w:r>
          </w:p>
        </w:tc>
      </w:tr>
      <w:tr w:rsidR="001F6760" w:rsidRPr="001F6760" w:rsidTr="001F6760">
        <w:trPr>
          <w:trHeight w:val="320"/>
        </w:trPr>
        <w:tc>
          <w:tcPr>
            <w:tcW w:w="1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≥ 14%, &lt; 30%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304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32%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299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32%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</w:tr>
      <w:tr w:rsidR="001F6760" w:rsidRPr="001F6760" w:rsidTr="001F6760">
        <w:trPr>
          <w:trHeight w:val="320"/>
        </w:trPr>
        <w:tc>
          <w:tcPr>
            <w:tcW w:w="145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 xml:space="preserve">　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  <w:t>≥ 30%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128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13%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120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>13%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　</w:t>
            </w:r>
          </w:p>
        </w:tc>
      </w:tr>
    </w:tbl>
    <w:p w:rsidR="00EB6DDE" w:rsidRDefault="00EB6DDE">
      <w:pPr>
        <w:rPr>
          <w:rFonts w:ascii="Times New Roman" w:hAnsi="Times New Roman" w:cs="Times New Roman"/>
          <w:sz w:val="22"/>
          <w:szCs w:val="22"/>
        </w:rPr>
      </w:pPr>
    </w:p>
    <w:p w:rsidR="001F6760" w:rsidRDefault="001F676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:rsidR="001F6760" w:rsidRPr="001F6760" w:rsidRDefault="001F6760" w:rsidP="001F6760">
      <w:pPr>
        <w:spacing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F6760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Table S2: Proportion of patients who met the </w:t>
      </w:r>
      <w:proofErr w:type="spellStart"/>
      <w:r w:rsidRPr="001F6760">
        <w:rPr>
          <w:rFonts w:ascii="Times New Roman" w:hAnsi="Times New Roman" w:cs="Times New Roman"/>
          <w:b/>
          <w:bCs/>
          <w:sz w:val="22"/>
          <w:szCs w:val="22"/>
        </w:rPr>
        <w:t>monarchE</w:t>
      </w:r>
      <w:proofErr w:type="spellEnd"/>
      <w:r w:rsidRPr="001F6760">
        <w:rPr>
          <w:rFonts w:ascii="Times New Roman" w:hAnsi="Times New Roman" w:cs="Times New Roman"/>
          <w:b/>
          <w:bCs/>
          <w:sz w:val="22"/>
          <w:szCs w:val="22"/>
        </w:rPr>
        <w:t xml:space="preserve"> criteria in the risk groups</w:t>
      </w: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603"/>
        <w:gridCol w:w="1151"/>
        <w:gridCol w:w="1150"/>
        <w:gridCol w:w="1150"/>
        <w:gridCol w:w="1150"/>
        <w:gridCol w:w="1150"/>
        <w:gridCol w:w="1150"/>
      </w:tblGrid>
      <w:tr w:rsidR="001F6760" w:rsidRPr="001F6760" w:rsidTr="001F6760">
        <w:trPr>
          <w:trHeight w:val="688"/>
        </w:trPr>
        <w:tc>
          <w:tcPr>
            <w:tcW w:w="94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6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Group 1</w:t>
            </w:r>
          </w:p>
        </w:tc>
        <w:tc>
          <w:tcPr>
            <w:tcW w:w="6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　</w:t>
            </w:r>
          </w:p>
        </w:tc>
        <w:tc>
          <w:tcPr>
            <w:tcW w:w="6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Group 2</w:t>
            </w:r>
          </w:p>
        </w:tc>
        <w:tc>
          <w:tcPr>
            <w:tcW w:w="6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　</w:t>
            </w:r>
          </w:p>
        </w:tc>
        <w:tc>
          <w:tcPr>
            <w:tcW w:w="6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Group 3</w:t>
            </w:r>
          </w:p>
        </w:tc>
        <w:tc>
          <w:tcPr>
            <w:tcW w:w="6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　</w:t>
            </w:r>
          </w:p>
        </w:tc>
      </w:tr>
      <w:tr w:rsidR="001F6760" w:rsidRPr="001F6760" w:rsidTr="001F6760">
        <w:trPr>
          <w:trHeight w:val="688"/>
        </w:trPr>
        <w:tc>
          <w:tcPr>
            <w:tcW w:w="9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</w:t>
            </w:r>
          </w:p>
        </w:tc>
      </w:tr>
      <w:tr w:rsidR="001F6760" w:rsidRPr="001F6760" w:rsidTr="001F6760">
        <w:trPr>
          <w:trHeight w:val="688"/>
        </w:trPr>
        <w:tc>
          <w:tcPr>
            <w:tcW w:w="94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non-</w:t>
            </w:r>
            <w:proofErr w:type="spellStart"/>
            <w:r w:rsidRPr="001F67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monarchE</w:t>
            </w:r>
            <w:proofErr w:type="spellEnd"/>
          </w:p>
        </w:tc>
        <w:tc>
          <w:tcPr>
            <w:tcW w:w="6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sz w:val="22"/>
                <w:szCs w:val="22"/>
              </w:rPr>
              <w:t>600</w:t>
            </w:r>
          </w:p>
        </w:tc>
        <w:tc>
          <w:tcPr>
            <w:tcW w:w="6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sz w:val="22"/>
                <w:szCs w:val="22"/>
              </w:rPr>
              <w:t>89%</w:t>
            </w:r>
          </w:p>
        </w:tc>
        <w:tc>
          <w:tcPr>
            <w:tcW w:w="6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sz w:val="22"/>
                <w:szCs w:val="22"/>
              </w:rPr>
              <w:t>584</w:t>
            </w:r>
          </w:p>
        </w:tc>
        <w:tc>
          <w:tcPr>
            <w:tcW w:w="6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sz w:val="22"/>
                <w:szCs w:val="22"/>
              </w:rPr>
              <w:t>76%</w:t>
            </w:r>
          </w:p>
        </w:tc>
        <w:tc>
          <w:tcPr>
            <w:tcW w:w="6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sz w:val="22"/>
                <w:szCs w:val="22"/>
              </w:rPr>
              <w:t>109</w:t>
            </w:r>
          </w:p>
        </w:tc>
        <w:tc>
          <w:tcPr>
            <w:tcW w:w="6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sz w:val="22"/>
                <w:szCs w:val="22"/>
              </w:rPr>
              <w:t>24%</w:t>
            </w:r>
          </w:p>
        </w:tc>
      </w:tr>
      <w:tr w:rsidR="001F6760" w:rsidRPr="001F6760" w:rsidTr="001F6760">
        <w:trPr>
          <w:trHeight w:val="688"/>
        </w:trPr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F67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monarchE</w:t>
            </w:r>
            <w:proofErr w:type="spellEnd"/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sz w:val="22"/>
                <w:szCs w:val="22"/>
              </w:rPr>
              <w:t>7%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sz w:val="22"/>
                <w:szCs w:val="22"/>
              </w:rPr>
              <w:t>153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sz w:val="22"/>
                <w:szCs w:val="22"/>
              </w:rPr>
              <w:t>20%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sz w:val="22"/>
                <w:szCs w:val="22"/>
              </w:rPr>
              <w:t>334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sz w:val="22"/>
                <w:szCs w:val="22"/>
              </w:rPr>
              <w:t>74%</w:t>
            </w:r>
          </w:p>
        </w:tc>
      </w:tr>
      <w:tr w:rsidR="001F6760" w:rsidRPr="001F6760" w:rsidTr="001F6760">
        <w:trPr>
          <w:trHeight w:val="688"/>
        </w:trPr>
        <w:tc>
          <w:tcPr>
            <w:tcW w:w="9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Unclassified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sz w:val="22"/>
                <w:szCs w:val="22"/>
              </w:rPr>
              <w:t>5%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sz w:val="22"/>
                <w:szCs w:val="22"/>
              </w:rPr>
              <w:t>4%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6760" w:rsidRPr="001F6760" w:rsidRDefault="001F6760" w:rsidP="001F67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6760">
              <w:rPr>
                <w:rFonts w:ascii="Times New Roman" w:hAnsi="Times New Roman" w:cs="Times New Roman"/>
                <w:sz w:val="22"/>
                <w:szCs w:val="22"/>
              </w:rPr>
              <w:t>2%</w:t>
            </w:r>
          </w:p>
        </w:tc>
      </w:tr>
    </w:tbl>
    <w:p w:rsidR="00BC495C" w:rsidRDefault="00BC495C">
      <w:pPr>
        <w:rPr>
          <w:rFonts w:ascii="Times New Roman" w:hAnsi="Times New Roman" w:cs="Times New Roman"/>
          <w:sz w:val="22"/>
          <w:szCs w:val="22"/>
        </w:rPr>
      </w:pPr>
    </w:p>
    <w:p w:rsidR="00BC495C" w:rsidRDefault="00BC495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:rsidR="00BC495C" w:rsidRPr="00583F97" w:rsidRDefault="00BC495C" w:rsidP="00BC495C">
      <w:pPr>
        <w:spacing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83F97">
        <w:rPr>
          <w:rFonts w:ascii="Times New Roman" w:hAnsi="Times New Roman" w:cs="Times New Roman"/>
          <w:b/>
          <w:bCs/>
          <w:sz w:val="22"/>
          <w:szCs w:val="22"/>
        </w:rPr>
        <w:lastRenderedPageBreak/>
        <w:t>Figure S1. Frequency distribution of the composite risk vales in the endocrine therapy only arm</w:t>
      </w:r>
    </w:p>
    <w:p w:rsidR="001F6760" w:rsidRPr="001F6760" w:rsidRDefault="00BC495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>
            <wp:extent cx="3467100" cy="2946400"/>
            <wp:effectExtent l="0" t="0" r="0" b="0"/>
            <wp:docPr id="206478139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781396" name="図 206478139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6760" w:rsidRPr="001F676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760"/>
    <w:rsid w:val="00004535"/>
    <w:rsid w:val="00004A88"/>
    <w:rsid w:val="00061D37"/>
    <w:rsid w:val="00072886"/>
    <w:rsid w:val="000A0C17"/>
    <w:rsid w:val="000E32F1"/>
    <w:rsid w:val="00116EC9"/>
    <w:rsid w:val="001457B7"/>
    <w:rsid w:val="001759E0"/>
    <w:rsid w:val="001F6760"/>
    <w:rsid w:val="00254196"/>
    <w:rsid w:val="002E139C"/>
    <w:rsid w:val="00343C47"/>
    <w:rsid w:val="00486A93"/>
    <w:rsid w:val="00493F5A"/>
    <w:rsid w:val="004B53AE"/>
    <w:rsid w:val="00526A65"/>
    <w:rsid w:val="00583F97"/>
    <w:rsid w:val="006256EE"/>
    <w:rsid w:val="0073371C"/>
    <w:rsid w:val="007836E2"/>
    <w:rsid w:val="007A68B0"/>
    <w:rsid w:val="007B2540"/>
    <w:rsid w:val="00800C06"/>
    <w:rsid w:val="00803A07"/>
    <w:rsid w:val="00806A28"/>
    <w:rsid w:val="00930C47"/>
    <w:rsid w:val="0099093F"/>
    <w:rsid w:val="00A25557"/>
    <w:rsid w:val="00A74C33"/>
    <w:rsid w:val="00BC495C"/>
    <w:rsid w:val="00C04706"/>
    <w:rsid w:val="00C16C8A"/>
    <w:rsid w:val="00C50E03"/>
    <w:rsid w:val="00C62346"/>
    <w:rsid w:val="00C73886"/>
    <w:rsid w:val="00C81358"/>
    <w:rsid w:val="00CC2848"/>
    <w:rsid w:val="00D04854"/>
    <w:rsid w:val="00D16D4B"/>
    <w:rsid w:val="00D85992"/>
    <w:rsid w:val="00DA5CDD"/>
    <w:rsid w:val="00E0495D"/>
    <w:rsid w:val="00EB6DDE"/>
    <w:rsid w:val="00ED38CD"/>
    <w:rsid w:val="00F27699"/>
    <w:rsid w:val="00F95C0C"/>
    <w:rsid w:val="00FE1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66C74279-03C5-7541-844F-81CCA1C1F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760"/>
    <w:rPr>
      <w:rFonts w:ascii="ＭＳ Ｐゴシック" w:eastAsia="ＭＳ Ｐゴシック" w:hAnsi="ＭＳ Ｐゴシック" w:cs="ＭＳ Ｐゴシック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C16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Masahiro Takada</dc:creator>
  <cp:keywords/>
  <dc:description/>
  <cp:lastModifiedBy>Masahiro Takada</cp:lastModifiedBy>
  <cp:revision>3</cp:revision>
  <dcterms:created xsi:type="dcterms:W3CDTF">2023-06-25T02:10:00Z</dcterms:created>
  <dcterms:modified xsi:type="dcterms:W3CDTF">2023-06-26T06:20:00Z</dcterms:modified>
</cp:coreProperties>
</file>