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A8B717" w14:textId="77777777" w:rsidR="0059437A" w:rsidRPr="00C01031" w:rsidRDefault="0059437A" w:rsidP="0059437A">
      <w:pPr>
        <w:spacing w:line="480" w:lineRule="auto"/>
        <w:rPr>
          <w:rFonts w:eastAsia="Batang" w:cs="Arial"/>
          <w:i/>
          <w:iCs/>
          <w:color w:val="000000" w:themeColor="text1"/>
          <w:szCs w:val="20"/>
          <w:lang w:val="en-US"/>
        </w:rPr>
      </w:pPr>
      <w:r w:rsidRPr="00C01031">
        <w:rPr>
          <w:rFonts w:eastAsia="Batang" w:cs="Arial"/>
          <w:i/>
          <w:iCs/>
          <w:color w:val="000000" w:themeColor="text1"/>
          <w:szCs w:val="20"/>
          <w:lang w:val="en-US"/>
        </w:rPr>
        <w:t>Breast Cancer Research and Treatment</w:t>
      </w:r>
    </w:p>
    <w:p w14:paraId="2E84BF54" w14:textId="77777777" w:rsidR="00CE3621" w:rsidRPr="00C01031" w:rsidRDefault="00CE3621" w:rsidP="00CE3621">
      <w:pPr>
        <w:spacing w:line="480" w:lineRule="auto"/>
        <w:rPr>
          <w:rFonts w:eastAsia="Batang" w:cs="Arial"/>
          <w:b/>
          <w:bCs/>
          <w:color w:val="000000" w:themeColor="text1"/>
          <w:szCs w:val="20"/>
          <w:lang w:val="en-US"/>
        </w:rPr>
      </w:pPr>
      <w:bookmarkStart w:id="0" w:name="_Hlk116382247"/>
      <w:bookmarkStart w:id="1" w:name="_Hlk113022891"/>
      <w:r w:rsidRPr="00C01031">
        <w:rPr>
          <w:rFonts w:eastAsia="Batang" w:cs="Arial"/>
          <w:b/>
          <w:bCs/>
          <w:color w:val="000000" w:themeColor="text1"/>
          <w:szCs w:val="20"/>
          <w:lang w:val="en-US"/>
        </w:rPr>
        <w:t>Radium-223 in women with hormone receptor-positive bone-metastatic breast cancer receiving endocrine therapy: pooled analysis of two international, phase 2, randomized, double-blind, placebo-controlled trials</w:t>
      </w:r>
      <w:bookmarkEnd w:id="0"/>
    </w:p>
    <w:p w14:paraId="35ACD3E1" w14:textId="77777777" w:rsidR="00CE3621" w:rsidRPr="00C01031" w:rsidRDefault="00CE3621" w:rsidP="00CE3621">
      <w:pPr>
        <w:spacing w:line="480" w:lineRule="auto"/>
        <w:rPr>
          <w:rFonts w:eastAsia="Batang" w:cs="Arial"/>
          <w:color w:val="000000" w:themeColor="text1"/>
          <w:szCs w:val="20"/>
          <w:lang w:val="en-US"/>
        </w:rPr>
      </w:pPr>
    </w:p>
    <w:p w14:paraId="42493AD3" w14:textId="77777777" w:rsidR="00CE3621" w:rsidRPr="00C01031" w:rsidRDefault="00CE3621" w:rsidP="00CE3621">
      <w:pPr>
        <w:spacing w:line="480" w:lineRule="auto"/>
        <w:rPr>
          <w:rFonts w:eastAsia="Batang" w:cs="Arial"/>
          <w:color w:val="000000" w:themeColor="text1"/>
          <w:szCs w:val="20"/>
          <w:lang w:val="en-US"/>
        </w:rPr>
      </w:pPr>
      <w:r w:rsidRPr="00C01031">
        <w:rPr>
          <w:rFonts w:eastAsia="Batang" w:cs="Arial"/>
          <w:color w:val="000000" w:themeColor="text1"/>
          <w:szCs w:val="20"/>
          <w:lang w:val="en-US"/>
        </w:rPr>
        <w:t>Hope S. Rugo</w:t>
      </w:r>
      <w:r w:rsidRPr="00C01031">
        <w:rPr>
          <w:rFonts w:eastAsia="Batang" w:cs="Arial"/>
          <w:color w:val="000000" w:themeColor="text1"/>
          <w:szCs w:val="20"/>
          <w:vertAlign w:val="superscript"/>
          <w:lang w:val="en-US"/>
        </w:rPr>
        <w:t>1</w:t>
      </w:r>
      <w:r w:rsidRPr="00C01031">
        <w:rPr>
          <w:rFonts w:eastAsia="Batang" w:cs="Arial"/>
          <w:color w:val="000000" w:themeColor="text1"/>
          <w:szCs w:val="20"/>
          <w:lang w:val="en-US"/>
        </w:rPr>
        <w:t>, Catherine H. Van Poznak</w:t>
      </w:r>
      <w:r w:rsidRPr="00C01031">
        <w:rPr>
          <w:rFonts w:eastAsia="Batang" w:cs="Arial"/>
          <w:color w:val="000000" w:themeColor="text1"/>
          <w:szCs w:val="20"/>
          <w:vertAlign w:val="superscript"/>
          <w:lang w:val="en-US"/>
        </w:rPr>
        <w:t>2</w:t>
      </w:r>
      <w:r w:rsidRPr="00C01031">
        <w:rPr>
          <w:rFonts w:eastAsia="Batang" w:cs="Arial"/>
          <w:color w:val="000000" w:themeColor="text1"/>
          <w:szCs w:val="20"/>
          <w:lang w:val="en-US"/>
        </w:rPr>
        <w:t>, Patrick Neven</w:t>
      </w:r>
      <w:r w:rsidRPr="00C01031">
        <w:rPr>
          <w:rFonts w:eastAsia="Batang" w:cs="Arial"/>
          <w:color w:val="000000" w:themeColor="text1"/>
          <w:szCs w:val="20"/>
          <w:vertAlign w:val="superscript"/>
          <w:lang w:val="en-US"/>
        </w:rPr>
        <w:t>3</w:t>
      </w:r>
      <w:r w:rsidRPr="00C01031">
        <w:rPr>
          <w:rFonts w:eastAsia="Batang" w:cs="Arial"/>
          <w:color w:val="000000" w:themeColor="text1"/>
          <w:szCs w:val="20"/>
          <w:lang w:val="en-US"/>
        </w:rPr>
        <w:t>, Iwona Danielewicz</w:t>
      </w:r>
      <w:r w:rsidRPr="00C01031">
        <w:rPr>
          <w:rFonts w:eastAsia="Batang" w:cs="Arial"/>
          <w:color w:val="000000" w:themeColor="text1"/>
          <w:szCs w:val="20"/>
          <w:vertAlign w:val="superscript"/>
          <w:lang w:val="en-US"/>
        </w:rPr>
        <w:t>4</w:t>
      </w:r>
      <w:r w:rsidRPr="00C01031">
        <w:rPr>
          <w:rFonts w:eastAsia="Batang" w:cs="Arial"/>
          <w:color w:val="000000" w:themeColor="text1"/>
          <w:szCs w:val="20"/>
          <w:lang w:val="en-US"/>
        </w:rPr>
        <w:t>, Soo Chin Lee</w:t>
      </w:r>
      <w:r w:rsidRPr="00C01031">
        <w:rPr>
          <w:rFonts w:eastAsia="Batang" w:cs="Arial"/>
          <w:color w:val="000000" w:themeColor="text1"/>
          <w:szCs w:val="20"/>
          <w:vertAlign w:val="superscript"/>
          <w:lang w:val="en-US"/>
        </w:rPr>
        <w:t>5</w:t>
      </w:r>
      <w:r w:rsidRPr="00C01031">
        <w:rPr>
          <w:rFonts w:eastAsia="Batang" w:cs="Arial"/>
          <w:color w:val="000000" w:themeColor="text1"/>
          <w:szCs w:val="20"/>
          <w:lang w:val="en-US"/>
        </w:rPr>
        <w:t>, Mario Campone</w:t>
      </w:r>
      <w:r w:rsidRPr="00C01031">
        <w:rPr>
          <w:rFonts w:eastAsia="Batang" w:cs="Arial"/>
          <w:color w:val="000000" w:themeColor="text1"/>
          <w:szCs w:val="20"/>
          <w:vertAlign w:val="superscript"/>
          <w:lang w:val="en-US"/>
        </w:rPr>
        <w:t>6</w:t>
      </w:r>
      <w:r w:rsidRPr="00C01031">
        <w:rPr>
          <w:rFonts w:eastAsia="Batang" w:cs="Arial"/>
          <w:color w:val="000000" w:themeColor="text1"/>
          <w:szCs w:val="20"/>
          <w:lang w:val="en-US"/>
        </w:rPr>
        <w:t>, Jeannie Y. K. Chik</w:t>
      </w:r>
      <w:r w:rsidRPr="00C01031">
        <w:rPr>
          <w:rFonts w:eastAsia="Batang" w:cs="Arial"/>
          <w:color w:val="000000" w:themeColor="text1"/>
          <w:szCs w:val="20"/>
          <w:vertAlign w:val="superscript"/>
          <w:lang w:val="en-US"/>
        </w:rPr>
        <w:t>7</w:t>
      </w:r>
      <w:r w:rsidRPr="00C01031">
        <w:rPr>
          <w:rFonts w:eastAsia="Batang" w:cs="Arial"/>
          <w:color w:val="000000" w:themeColor="text1"/>
          <w:szCs w:val="20"/>
          <w:lang w:val="en-US"/>
        </w:rPr>
        <w:t>, Estela Vega Alonso</w:t>
      </w:r>
      <w:r w:rsidRPr="00C01031">
        <w:rPr>
          <w:rFonts w:eastAsia="Batang" w:cs="Arial"/>
          <w:color w:val="000000" w:themeColor="text1"/>
          <w:szCs w:val="20"/>
          <w:vertAlign w:val="superscript"/>
          <w:lang w:val="en-US"/>
        </w:rPr>
        <w:t>8</w:t>
      </w:r>
      <w:r w:rsidRPr="00C01031">
        <w:rPr>
          <w:rFonts w:eastAsia="Batang" w:cs="Arial"/>
          <w:color w:val="000000" w:themeColor="text1"/>
          <w:szCs w:val="20"/>
          <w:lang w:val="en-US"/>
        </w:rPr>
        <w:t>, Bjørn Naume</w:t>
      </w:r>
      <w:r w:rsidRPr="00C01031">
        <w:rPr>
          <w:rFonts w:eastAsia="Batang" w:cs="Arial"/>
          <w:color w:val="000000" w:themeColor="text1"/>
          <w:szCs w:val="20"/>
          <w:vertAlign w:val="superscript"/>
          <w:lang w:val="en-US"/>
        </w:rPr>
        <w:t>9</w:t>
      </w:r>
      <w:r w:rsidRPr="00C01031">
        <w:rPr>
          <w:rFonts w:eastAsia="Batang" w:cs="Arial"/>
          <w:color w:val="000000" w:themeColor="text1"/>
          <w:szCs w:val="20"/>
          <w:lang w:val="en-US"/>
        </w:rPr>
        <w:t>, Etienne Brain</w:t>
      </w:r>
      <w:r w:rsidRPr="00C01031">
        <w:rPr>
          <w:rFonts w:eastAsia="Batang" w:cs="Arial"/>
          <w:color w:val="000000" w:themeColor="text1"/>
          <w:szCs w:val="20"/>
          <w:vertAlign w:val="superscript"/>
          <w:lang w:val="en-US"/>
        </w:rPr>
        <w:t>10</w:t>
      </w:r>
      <w:r w:rsidRPr="00C01031">
        <w:rPr>
          <w:rFonts w:eastAsia="Batang" w:cs="Arial"/>
          <w:color w:val="000000" w:themeColor="text1"/>
          <w:szCs w:val="20"/>
          <w:lang w:val="en-US"/>
        </w:rPr>
        <w:t>, Jonathan M. Siegel</w:t>
      </w:r>
      <w:r w:rsidRPr="00C01031">
        <w:rPr>
          <w:rFonts w:eastAsia="Batang" w:cs="Arial"/>
          <w:color w:val="000000" w:themeColor="text1"/>
          <w:szCs w:val="20"/>
          <w:vertAlign w:val="superscript"/>
          <w:lang w:val="en-US"/>
        </w:rPr>
        <w:t>11</w:t>
      </w:r>
      <w:r w:rsidRPr="00C01031">
        <w:rPr>
          <w:rFonts w:eastAsia="Batang" w:cs="Arial"/>
          <w:color w:val="000000" w:themeColor="text1"/>
          <w:szCs w:val="20"/>
          <w:lang w:val="en-US"/>
        </w:rPr>
        <w:t>, Rui Li</w:t>
      </w:r>
      <w:r w:rsidRPr="00C01031">
        <w:rPr>
          <w:rFonts w:eastAsia="Batang" w:cs="Arial"/>
          <w:color w:val="000000" w:themeColor="text1"/>
          <w:szCs w:val="20"/>
          <w:vertAlign w:val="superscript"/>
          <w:lang w:val="en-US"/>
        </w:rPr>
        <w:t>11</w:t>
      </w:r>
      <w:r w:rsidRPr="00C01031">
        <w:rPr>
          <w:rFonts w:eastAsia="Batang" w:cs="Arial"/>
          <w:color w:val="000000" w:themeColor="text1"/>
          <w:szCs w:val="20"/>
          <w:lang w:val="en-US"/>
        </w:rPr>
        <w:t>, Deise Uema</w:t>
      </w:r>
      <w:r w:rsidRPr="00C01031">
        <w:rPr>
          <w:rFonts w:eastAsia="Batang" w:cs="Arial"/>
          <w:color w:val="000000" w:themeColor="text1"/>
          <w:szCs w:val="20"/>
          <w:vertAlign w:val="superscript"/>
          <w:lang w:val="en-US"/>
        </w:rPr>
        <w:t>11</w:t>
      </w:r>
      <w:r w:rsidRPr="00C01031">
        <w:rPr>
          <w:rFonts w:eastAsia="Batang" w:cs="Arial"/>
          <w:color w:val="000000" w:themeColor="text1"/>
          <w:szCs w:val="20"/>
          <w:lang w:val="en-US"/>
        </w:rPr>
        <w:t>, Volker J. Wagner</w:t>
      </w:r>
      <w:r w:rsidRPr="00C01031">
        <w:rPr>
          <w:rFonts w:eastAsia="Batang" w:cs="Arial"/>
          <w:color w:val="000000" w:themeColor="text1"/>
          <w:szCs w:val="20"/>
          <w:vertAlign w:val="superscript"/>
          <w:lang w:val="en-US"/>
        </w:rPr>
        <w:t>12</w:t>
      </w:r>
      <w:r w:rsidRPr="00C01031">
        <w:rPr>
          <w:rFonts w:eastAsia="Batang" w:cs="Arial"/>
          <w:color w:val="000000" w:themeColor="text1"/>
          <w:szCs w:val="20"/>
          <w:lang w:val="en-US"/>
        </w:rPr>
        <w:t>, Robert E. Coleman</w:t>
      </w:r>
      <w:r w:rsidRPr="00C01031">
        <w:rPr>
          <w:rFonts w:eastAsia="Batang" w:cs="Arial"/>
          <w:color w:val="000000" w:themeColor="text1"/>
          <w:szCs w:val="20"/>
          <w:vertAlign w:val="superscript"/>
          <w:lang w:val="en-US"/>
        </w:rPr>
        <w:t>13</w:t>
      </w:r>
    </w:p>
    <w:p w14:paraId="0E629390" w14:textId="77777777" w:rsidR="00CE3621" w:rsidRPr="00C01031" w:rsidRDefault="00CE3621" w:rsidP="00CE3621">
      <w:pPr>
        <w:spacing w:line="480" w:lineRule="auto"/>
        <w:rPr>
          <w:rFonts w:eastAsia="Batang" w:cs="Arial"/>
          <w:color w:val="000000" w:themeColor="text1"/>
          <w:szCs w:val="20"/>
          <w:lang w:val="en-US"/>
        </w:rPr>
      </w:pPr>
    </w:p>
    <w:p w14:paraId="76C3A5CB" w14:textId="77777777" w:rsidR="00CE3621" w:rsidRPr="00C01031" w:rsidRDefault="00CE3621" w:rsidP="00CE3621">
      <w:pPr>
        <w:spacing w:line="480" w:lineRule="auto"/>
        <w:rPr>
          <w:rFonts w:eastAsia="Times New Roman" w:cs="Arial"/>
          <w:color w:val="000000" w:themeColor="text1"/>
          <w:szCs w:val="20"/>
          <w:lang w:val="en-US"/>
        </w:rPr>
      </w:pPr>
      <w:r w:rsidRPr="00C01031">
        <w:rPr>
          <w:rFonts w:eastAsia="Batang" w:cs="Arial"/>
          <w:color w:val="000000" w:themeColor="text1"/>
          <w:szCs w:val="20"/>
          <w:vertAlign w:val="superscript"/>
          <w:lang w:val="en-US"/>
        </w:rPr>
        <w:t>1</w:t>
      </w:r>
      <w:r w:rsidRPr="00C01031">
        <w:rPr>
          <w:rFonts w:eastAsia="Times New Roman" w:cs="Arial"/>
          <w:color w:val="000000" w:themeColor="text1"/>
          <w:szCs w:val="20"/>
          <w:lang w:val="en-US"/>
        </w:rPr>
        <w:t xml:space="preserve">University of California San Francisco Helen Diller Family Comprehensive Cancer Center, San Francisco, CA, USA; </w:t>
      </w:r>
      <w:r w:rsidRPr="00C01031">
        <w:rPr>
          <w:rFonts w:eastAsia="Batang" w:cs="Arial"/>
          <w:color w:val="000000" w:themeColor="text1"/>
          <w:szCs w:val="20"/>
          <w:vertAlign w:val="superscript"/>
          <w:lang w:val="en-US"/>
        </w:rPr>
        <w:t>2</w:t>
      </w:r>
      <w:r w:rsidRPr="00C01031">
        <w:rPr>
          <w:rFonts w:eastAsia="Times New Roman" w:cs="Arial"/>
          <w:color w:val="000000" w:themeColor="text1"/>
          <w:szCs w:val="20"/>
          <w:lang w:val="en-US"/>
        </w:rPr>
        <w:t xml:space="preserve">University of Michigan Rogel Cancer Center, Ann Arbor, MI, USA; </w:t>
      </w:r>
      <w:r w:rsidRPr="00C01031">
        <w:rPr>
          <w:rFonts w:eastAsia="Batang" w:cs="Arial"/>
          <w:color w:val="000000" w:themeColor="text1"/>
          <w:szCs w:val="20"/>
          <w:vertAlign w:val="superscript"/>
          <w:lang w:val="en-US"/>
        </w:rPr>
        <w:t>3</w:t>
      </w:r>
      <w:r w:rsidRPr="00C01031">
        <w:rPr>
          <w:rFonts w:eastAsia="Batang" w:cs="Arial"/>
          <w:color w:val="000000" w:themeColor="text1"/>
          <w:szCs w:val="20"/>
          <w:lang w:val="en-US"/>
        </w:rPr>
        <w:t>U</w:t>
      </w:r>
      <w:r w:rsidRPr="00C01031">
        <w:rPr>
          <w:rFonts w:eastAsia="Times New Roman" w:cs="Arial"/>
          <w:color w:val="000000" w:themeColor="text1"/>
          <w:szCs w:val="20"/>
          <w:lang w:val="en-US"/>
        </w:rPr>
        <w:t xml:space="preserve">niversity Hospitals Leuven, Leuven, Belgium; </w:t>
      </w:r>
      <w:r w:rsidRPr="00C01031">
        <w:rPr>
          <w:rFonts w:eastAsia="Batang" w:cs="Arial"/>
          <w:color w:val="000000" w:themeColor="text1"/>
          <w:szCs w:val="20"/>
          <w:vertAlign w:val="superscript"/>
          <w:lang w:val="en-US"/>
        </w:rPr>
        <w:t>4</w:t>
      </w:r>
      <w:r w:rsidRPr="00C01031">
        <w:rPr>
          <w:rFonts w:eastAsia="Times New Roman" w:cs="Arial"/>
          <w:color w:val="000000" w:themeColor="text1"/>
          <w:szCs w:val="20"/>
          <w:lang w:val="en-US"/>
        </w:rPr>
        <w:t xml:space="preserve">Szpital Morski im. PCK, Gdynia, Poland; </w:t>
      </w:r>
      <w:r w:rsidRPr="00C01031">
        <w:rPr>
          <w:rFonts w:eastAsia="Batang" w:cs="Arial"/>
          <w:color w:val="000000" w:themeColor="text1"/>
          <w:szCs w:val="20"/>
          <w:vertAlign w:val="superscript"/>
          <w:lang w:val="en-US"/>
        </w:rPr>
        <w:t>5</w:t>
      </w:r>
      <w:r w:rsidRPr="00C01031">
        <w:rPr>
          <w:rFonts w:eastAsia="Times New Roman" w:cs="Arial"/>
          <w:color w:val="000000" w:themeColor="text1"/>
          <w:szCs w:val="20"/>
          <w:lang w:val="en-US"/>
        </w:rPr>
        <w:t xml:space="preserve">National University Hospital (S) Pte Ltd, Singapore; </w:t>
      </w:r>
      <w:r w:rsidRPr="00C01031">
        <w:rPr>
          <w:rFonts w:eastAsia="Batang" w:cs="Arial"/>
          <w:color w:val="000000" w:themeColor="text1"/>
          <w:szCs w:val="20"/>
          <w:vertAlign w:val="superscript"/>
          <w:lang w:val="en-US"/>
        </w:rPr>
        <w:t>6</w:t>
      </w:r>
      <w:r w:rsidRPr="00C01031">
        <w:rPr>
          <w:rFonts w:eastAsia="Times New Roman" w:cs="Arial"/>
          <w:color w:val="000000" w:themeColor="text1"/>
          <w:szCs w:val="20"/>
          <w:lang w:val="en-US"/>
        </w:rPr>
        <w:t xml:space="preserve">Institut de Cancerologie de l’Ouest, St Herblain, France; </w:t>
      </w:r>
      <w:r w:rsidRPr="00C01031">
        <w:rPr>
          <w:rFonts w:eastAsia="Batang" w:cs="Arial"/>
          <w:color w:val="000000" w:themeColor="text1"/>
          <w:szCs w:val="20"/>
          <w:vertAlign w:val="superscript"/>
          <w:lang w:val="en-US"/>
        </w:rPr>
        <w:t>7</w:t>
      </w:r>
      <w:r w:rsidRPr="00C01031">
        <w:rPr>
          <w:rFonts w:eastAsia="Times New Roman" w:cs="Arial"/>
          <w:color w:val="000000" w:themeColor="text1"/>
          <w:szCs w:val="20"/>
          <w:lang w:val="en-US"/>
        </w:rPr>
        <w:t xml:space="preserve">Queen Elizabeth Hospital, Kowloon, Hong Kong; </w:t>
      </w:r>
      <w:r w:rsidRPr="00C01031">
        <w:rPr>
          <w:rFonts w:eastAsia="Batang" w:cs="Arial"/>
          <w:color w:val="000000" w:themeColor="text1"/>
          <w:szCs w:val="20"/>
          <w:vertAlign w:val="superscript"/>
          <w:lang w:val="en-US"/>
        </w:rPr>
        <w:t>8</w:t>
      </w:r>
      <w:r w:rsidRPr="00C01031">
        <w:rPr>
          <w:rFonts w:eastAsia="Times New Roman" w:cs="Arial"/>
          <w:color w:val="000000" w:themeColor="text1"/>
          <w:szCs w:val="20"/>
          <w:lang w:val="en-US"/>
        </w:rPr>
        <w:t xml:space="preserve">Centro Integral Oncológico Clara Campal, Madrid, Spain; </w:t>
      </w:r>
      <w:r w:rsidRPr="00C01031">
        <w:rPr>
          <w:rFonts w:eastAsia="Batang" w:cs="Arial"/>
          <w:color w:val="000000" w:themeColor="text1"/>
          <w:szCs w:val="20"/>
          <w:vertAlign w:val="superscript"/>
          <w:lang w:val="en-US"/>
        </w:rPr>
        <w:t>9</w:t>
      </w:r>
      <w:r w:rsidRPr="00C01031">
        <w:rPr>
          <w:rFonts w:eastAsia="Times New Roman" w:cs="Arial"/>
          <w:color w:val="000000" w:themeColor="text1"/>
          <w:szCs w:val="20"/>
          <w:lang w:val="en-US"/>
        </w:rPr>
        <w:t xml:space="preserve">Institute of Clinical Medicine, University of Oslo, and Oslo University Hospital, Oslo, Norway; </w:t>
      </w:r>
      <w:r w:rsidRPr="00C01031">
        <w:rPr>
          <w:rFonts w:eastAsia="Batang" w:cs="Arial"/>
          <w:color w:val="000000" w:themeColor="text1"/>
          <w:szCs w:val="20"/>
          <w:vertAlign w:val="superscript"/>
          <w:lang w:val="en-US"/>
        </w:rPr>
        <w:t>10</w:t>
      </w:r>
      <w:r w:rsidRPr="00C01031">
        <w:rPr>
          <w:rFonts w:eastAsia="Times New Roman" w:cs="Arial"/>
          <w:color w:val="000000" w:themeColor="text1"/>
          <w:szCs w:val="20"/>
          <w:lang w:val="en-US"/>
        </w:rPr>
        <w:t xml:space="preserve">Institut Curie – René-Huguenin Hospital, Saint-Cloud, France; </w:t>
      </w:r>
      <w:r w:rsidRPr="00C01031">
        <w:rPr>
          <w:rFonts w:eastAsia="Batang" w:cs="Arial"/>
          <w:color w:val="000000" w:themeColor="text1"/>
          <w:szCs w:val="20"/>
          <w:vertAlign w:val="superscript"/>
          <w:lang w:val="en-US"/>
        </w:rPr>
        <w:t>11</w:t>
      </w:r>
      <w:r w:rsidRPr="00C01031">
        <w:rPr>
          <w:rFonts w:eastAsia="Times New Roman" w:cs="Arial"/>
          <w:color w:val="000000" w:themeColor="text1"/>
          <w:szCs w:val="20"/>
          <w:lang w:val="en-US"/>
        </w:rPr>
        <w:t xml:space="preserve">Bayer HealthCare Pharmaceuticals Inc., Whippany, NJ, USA; </w:t>
      </w:r>
      <w:r w:rsidRPr="00C01031">
        <w:rPr>
          <w:rFonts w:eastAsia="Batang" w:cs="Arial"/>
          <w:color w:val="000000" w:themeColor="text1"/>
          <w:szCs w:val="20"/>
          <w:vertAlign w:val="superscript"/>
          <w:lang w:val="en-US"/>
        </w:rPr>
        <w:t>12</w:t>
      </w:r>
      <w:r w:rsidRPr="00C01031">
        <w:rPr>
          <w:rFonts w:eastAsia="Times New Roman" w:cs="Arial"/>
          <w:color w:val="000000" w:themeColor="text1"/>
          <w:szCs w:val="20"/>
          <w:lang w:val="en-US"/>
        </w:rPr>
        <w:t xml:space="preserve">Bayer Consumer Care AG, Basel, Switzerland; </w:t>
      </w:r>
      <w:r w:rsidRPr="00C01031">
        <w:rPr>
          <w:rFonts w:eastAsia="Batang" w:cs="Arial"/>
          <w:color w:val="000000" w:themeColor="text1"/>
          <w:szCs w:val="20"/>
          <w:vertAlign w:val="superscript"/>
          <w:lang w:val="en-US"/>
        </w:rPr>
        <w:t>13</w:t>
      </w:r>
      <w:r w:rsidRPr="00C01031">
        <w:rPr>
          <w:rFonts w:eastAsia="Times New Roman" w:cs="Arial"/>
          <w:color w:val="000000" w:themeColor="text1"/>
          <w:szCs w:val="20"/>
          <w:lang w:val="en-US"/>
        </w:rPr>
        <w:t>University of Sheffield, Cancer Clinical Trials Centre, Weston Park Hospital, Sheffield, UK</w:t>
      </w:r>
    </w:p>
    <w:p w14:paraId="4ABC5C93" w14:textId="77777777" w:rsidR="00CE3621" w:rsidRPr="00C01031" w:rsidRDefault="00CE3621" w:rsidP="00CE3621">
      <w:pPr>
        <w:spacing w:line="480" w:lineRule="auto"/>
        <w:rPr>
          <w:rFonts w:eastAsia="Times New Roman" w:cs="Arial"/>
          <w:color w:val="000000" w:themeColor="text1"/>
          <w:szCs w:val="20"/>
          <w:lang w:val="en-US"/>
        </w:rPr>
      </w:pPr>
    </w:p>
    <w:p w14:paraId="373848BF" w14:textId="77777777" w:rsidR="00CE3621" w:rsidRPr="00C01031" w:rsidRDefault="00CE3621" w:rsidP="00CE3621">
      <w:pPr>
        <w:spacing w:line="480" w:lineRule="auto"/>
        <w:rPr>
          <w:rFonts w:eastAsia="Times New Roman" w:cs="Arial"/>
          <w:color w:val="000000" w:themeColor="text1"/>
          <w:szCs w:val="20"/>
          <w:lang w:val="en-US"/>
        </w:rPr>
      </w:pPr>
      <w:r w:rsidRPr="00C01031">
        <w:rPr>
          <w:rFonts w:eastAsia="Times New Roman" w:cs="Arial"/>
          <w:color w:val="000000" w:themeColor="text1"/>
          <w:szCs w:val="20"/>
          <w:lang w:val="en-US"/>
        </w:rPr>
        <w:t>Corresponding authors:</w:t>
      </w:r>
    </w:p>
    <w:p w14:paraId="054B9CF5" w14:textId="77777777" w:rsidR="00CE3621" w:rsidRPr="00C01031" w:rsidRDefault="00CE3621" w:rsidP="00CE3621">
      <w:pPr>
        <w:spacing w:line="480" w:lineRule="auto"/>
        <w:rPr>
          <w:rFonts w:eastAsia="Times New Roman" w:cs="Arial"/>
          <w:color w:val="000000" w:themeColor="text1"/>
          <w:szCs w:val="20"/>
          <w:lang w:val="en-US"/>
        </w:rPr>
      </w:pPr>
      <w:r w:rsidRPr="00C01031">
        <w:rPr>
          <w:rFonts w:eastAsia="Times New Roman" w:cs="Arial"/>
          <w:color w:val="000000" w:themeColor="text1"/>
          <w:szCs w:val="20"/>
          <w:lang w:val="en-US"/>
        </w:rPr>
        <w:t xml:space="preserve">Hope S. Rugo, </w:t>
      </w:r>
      <w:hyperlink r:id="rId12" w:history="1">
        <w:r w:rsidRPr="00C01031">
          <w:rPr>
            <w:rStyle w:val="Hyperlink"/>
            <w:rFonts w:eastAsia="Times New Roman" w:cs="Arial"/>
            <w:color w:val="000000" w:themeColor="text1"/>
            <w:szCs w:val="20"/>
            <w:lang w:val="en-US"/>
          </w:rPr>
          <w:t>hope.rugo@ucsf.edu</w:t>
        </w:r>
      </w:hyperlink>
      <w:r w:rsidRPr="00C01031">
        <w:rPr>
          <w:rFonts w:eastAsia="Times New Roman" w:cs="Arial"/>
          <w:color w:val="000000" w:themeColor="text1"/>
          <w:szCs w:val="20"/>
          <w:lang w:val="en-US"/>
        </w:rPr>
        <w:t xml:space="preserve"> </w:t>
      </w:r>
    </w:p>
    <w:p w14:paraId="40D1271D" w14:textId="77777777" w:rsidR="00CE3621" w:rsidRPr="00C01031" w:rsidRDefault="00CE3621" w:rsidP="00CE3621">
      <w:pPr>
        <w:spacing w:line="480" w:lineRule="auto"/>
        <w:rPr>
          <w:rFonts w:eastAsia="Batang" w:cs="Arial"/>
          <w:color w:val="000000" w:themeColor="text1"/>
          <w:szCs w:val="20"/>
          <w:lang w:val="en-US"/>
        </w:rPr>
      </w:pPr>
      <w:r w:rsidRPr="00C01031">
        <w:rPr>
          <w:rFonts w:eastAsia="Batang" w:cs="Arial"/>
          <w:color w:val="000000" w:themeColor="text1"/>
          <w:szCs w:val="20"/>
          <w:lang w:val="en-US"/>
        </w:rPr>
        <w:t xml:space="preserve">Robert E. Coleman, </w:t>
      </w:r>
      <w:hyperlink r:id="rId13" w:history="1">
        <w:r w:rsidRPr="00C01031">
          <w:rPr>
            <w:rFonts w:eastAsia="Times New Roman" w:cs="Arial"/>
            <w:color w:val="000000" w:themeColor="text1"/>
            <w:szCs w:val="20"/>
            <w:u w:val="single"/>
            <w:lang w:val="en-US"/>
          </w:rPr>
          <w:t>r.e.coleman@sheffield.ac.uk</w:t>
        </w:r>
      </w:hyperlink>
    </w:p>
    <w:bookmarkEnd w:id="1"/>
    <w:p w14:paraId="32D661A5" w14:textId="77777777" w:rsidR="0059437A" w:rsidRPr="00C01031" w:rsidRDefault="0059437A" w:rsidP="0059437A">
      <w:pPr>
        <w:spacing w:line="480" w:lineRule="auto"/>
        <w:rPr>
          <w:rFonts w:eastAsia="Batang" w:cs="Arial"/>
          <w:color w:val="000000" w:themeColor="text1"/>
          <w:szCs w:val="20"/>
          <w:lang w:val="en-US"/>
        </w:rPr>
      </w:pPr>
    </w:p>
    <w:p w14:paraId="656CD62C" w14:textId="77777777" w:rsidR="0059437A" w:rsidRPr="00C01031" w:rsidRDefault="00CE3621" w:rsidP="0059437A">
      <w:pPr>
        <w:spacing w:line="480" w:lineRule="auto"/>
        <w:rPr>
          <w:rFonts w:eastAsia="Batang" w:cs="Arial"/>
          <w:b/>
          <w:bCs/>
          <w:color w:val="000000" w:themeColor="text1"/>
          <w:szCs w:val="20"/>
          <w:lang w:val="en-US"/>
        </w:rPr>
      </w:pPr>
      <w:r w:rsidRPr="00C01031">
        <w:rPr>
          <w:rFonts w:eastAsia="Batang" w:cs="Arial"/>
          <w:b/>
          <w:bCs/>
          <w:color w:val="000000" w:themeColor="text1"/>
          <w:szCs w:val="20"/>
          <w:lang w:val="en-US"/>
        </w:rPr>
        <w:br w:type="page"/>
      </w:r>
      <w:r w:rsidR="0059437A" w:rsidRPr="00C01031">
        <w:rPr>
          <w:rFonts w:eastAsia="Batang" w:cs="Arial"/>
          <w:b/>
          <w:bCs/>
          <w:color w:val="000000" w:themeColor="text1"/>
          <w:szCs w:val="20"/>
          <w:lang w:val="en-US"/>
        </w:rPr>
        <w:t>SUPPLEMENTARY MATERIALS</w:t>
      </w:r>
    </w:p>
    <w:p w14:paraId="1B615105" w14:textId="77777777" w:rsidR="00CE3621" w:rsidRPr="00C01031" w:rsidRDefault="00CE3621">
      <w:pPr>
        <w:pStyle w:val="TOCHeading"/>
        <w:rPr>
          <w:rFonts w:ascii="Arial" w:hAnsi="Arial" w:cs="Arial"/>
          <w:b/>
          <w:bCs/>
          <w:color w:val="000000" w:themeColor="text1"/>
          <w:sz w:val="20"/>
          <w:szCs w:val="20"/>
        </w:rPr>
      </w:pPr>
      <w:r w:rsidRPr="00C01031">
        <w:rPr>
          <w:rFonts w:ascii="Arial" w:hAnsi="Arial" w:cs="Arial"/>
          <w:b/>
          <w:bCs/>
          <w:color w:val="000000" w:themeColor="text1"/>
          <w:sz w:val="20"/>
          <w:szCs w:val="20"/>
        </w:rPr>
        <w:t>Contents</w:t>
      </w:r>
    </w:p>
    <w:p w14:paraId="47282DF6" w14:textId="22945AF2" w:rsidR="00F25032" w:rsidRPr="00C01031" w:rsidRDefault="00CE3621">
      <w:pPr>
        <w:pStyle w:val="TOC1"/>
        <w:rPr>
          <w:rFonts w:ascii="Arial" w:eastAsiaTheme="minorEastAsia" w:hAnsi="Arial" w:cs="Arial"/>
          <w:noProof/>
          <w:color w:val="000000" w:themeColor="text1"/>
        </w:rPr>
      </w:pPr>
      <w:r w:rsidRPr="00C01031">
        <w:rPr>
          <w:rFonts w:ascii="Arial" w:hAnsi="Arial" w:cs="Arial"/>
          <w:color w:val="000000" w:themeColor="text1"/>
          <w:sz w:val="20"/>
          <w:szCs w:val="20"/>
        </w:rPr>
        <w:fldChar w:fldCharType="begin"/>
      </w:r>
      <w:r w:rsidRPr="00C01031">
        <w:rPr>
          <w:rFonts w:ascii="Arial" w:hAnsi="Arial" w:cs="Arial"/>
          <w:color w:val="000000" w:themeColor="text1"/>
          <w:sz w:val="20"/>
          <w:szCs w:val="20"/>
        </w:rPr>
        <w:instrText xml:space="preserve"> TOC \o "1-3" \h \z \u </w:instrText>
      </w:r>
      <w:r w:rsidRPr="00C01031">
        <w:rPr>
          <w:rFonts w:ascii="Arial" w:hAnsi="Arial" w:cs="Arial"/>
          <w:color w:val="000000" w:themeColor="text1"/>
          <w:sz w:val="20"/>
          <w:szCs w:val="20"/>
        </w:rPr>
        <w:fldChar w:fldCharType="separate"/>
      </w:r>
      <w:hyperlink w:anchor="_Toc131600503" w:history="1">
        <w:r w:rsidR="00F25032" w:rsidRPr="00C01031">
          <w:rPr>
            <w:rStyle w:val="Hyperlink"/>
            <w:rFonts w:ascii="Arial" w:hAnsi="Arial" w:cs="Arial"/>
            <w:noProof/>
            <w:color w:val="000000" w:themeColor="text1"/>
          </w:rPr>
          <w:t>Supplementary methods</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_Toc131600503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3</w:t>
        </w:r>
        <w:r w:rsidR="00F25032" w:rsidRPr="00C01031">
          <w:rPr>
            <w:rFonts w:ascii="Arial" w:hAnsi="Arial" w:cs="Arial"/>
            <w:noProof/>
            <w:webHidden/>
            <w:color w:val="000000" w:themeColor="text1"/>
          </w:rPr>
          <w:fldChar w:fldCharType="end"/>
        </w:r>
      </w:hyperlink>
    </w:p>
    <w:p w14:paraId="6B780B55" w14:textId="28FACE59" w:rsidR="00F25032" w:rsidRPr="00C01031" w:rsidRDefault="00293136">
      <w:pPr>
        <w:pStyle w:val="TOC2"/>
        <w:tabs>
          <w:tab w:val="right" w:leader="dot" w:pos="9352"/>
        </w:tabs>
        <w:rPr>
          <w:rFonts w:ascii="Arial" w:eastAsiaTheme="minorEastAsia" w:hAnsi="Arial" w:cs="Arial"/>
          <w:noProof/>
          <w:color w:val="000000" w:themeColor="text1"/>
        </w:rPr>
      </w:pPr>
      <w:hyperlink w:anchor="_Toc131600504" w:history="1">
        <w:r w:rsidR="00F25032" w:rsidRPr="00C01031">
          <w:rPr>
            <w:rStyle w:val="Hyperlink"/>
            <w:rFonts w:ascii="Arial" w:hAnsi="Arial" w:cs="Arial"/>
            <w:noProof/>
            <w:color w:val="000000" w:themeColor="text1"/>
          </w:rPr>
          <w:t>Inclusion criteria</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_Toc131600504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3</w:t>
        </w:r>
        <w:r w:rsidR="00F25032" w:rsidRPr="00C01031">
          <w:rPr>
            <w:rFonts w:ascii="Arial" w:hAnsi="Arial" w:cs="Arial"/>
            <w:noProof/>
            <w:webHidden/>
            <w:color w:val="000000" w:themeColor="text1"/>
          </w:rPr>
          <w:fldChar w:fldCharType="end"/>
        </w:r>
      </w:hyperlink>
    </w:p>
    <w:p w14:paraId="7757BB54" w14:textId="077B0C60" w:rsidR="00F25032" w:rsidRPr="00C01031" w:rsidRDefault="00293136">
      <w:pPr>
        <w:pStyle w:val="TOC2"/>
        <w:tabs>
          <w:tab w:val="right" w:leader="dot" w:pos="9352"/>
        </w:tabs>
        <w:rPr>
          <w:rFonts w:ascii="Arial" w:eastAsiaTheme="minorEastAsia" w:hAnsi="Arial" w:cs="Arial"/>
          <w:noProof/>
          <w:color w:val="000000" w:themeColor="text1"/>
        </w:rPr>
      </w:pPr>
      <w:hyperlink w:anchor="_Toc131600505" w:history="1">
        <w:r w:rsidR="00F25032" w:rsidRPr="00C01031">
          <w:rPr>
            <w:rStyle w:val="Hyperlink"/>
            <w:rFonts w:ascii="Arial" w:hAnsi="Arial" w:cs="Arial"/>
            <w:noProof/>
            <w:color w:val="000000" w:themeColor="text1"/>
          </w:rPr>
          <w:t>Exclusion criteria</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_Toc131600505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7</w:t>
        </w:r>
        <w:r w:rsidR="00F25032" w:rsidRPr="00C01031">
          <w:rPr>
            <w:rFonts w:ascii="Arial" w:hAnsi="Arial" w:cs="Arial"/>
            <w:noProof/>
            <w:webHidden/>
            <w:color w:val="000000" w:themeColor="text1"/>
          </w:rPr>
          <w:fldChar w:fldCharType="end"/>
        </w:r>
      </w:hyperlink>
    </w:p>
    <w:p w14:paraId="7BBA84AA" w14:textId="52B72635" w:rsidR="00F25032" w:rsidRPr="00C01031" w:rsidRDefault="00293136">
      <w:pPr>
        <w:pStyle w:val="TOC2"/>
        <w:tabs>
          <w:tab w:val="right" w:leader="dot" w:pos="9352"/>
        </w:tabs>
        <w:rPr>
          <w:rFonts w:ascii="Arial" w:eastAsiaTheme="minorEastAsia" w:hAnsi="Arial" w:cs="Arial"/>
          <w:noProof/>
          <w:color w:val="000000" w:themeColor="text1"/>
        </w:rPr>
      </w:pPr>
      <w:hyperlink w:anchor="_Toc131600506" w:history="1">
        <w:r w:rsidR="00F25032" w:rsidRPr="00C01031">
          <w:rPr>
            <w:rStyle w:val="Hyperlink"/>
            <w:rFonts w:ascii="Arial" w:hAnsi="Arial" w:cs="Arial"/>
            <w:noProof/>
            <w:color w:val="000000" w:themeColor="text1"/>
          </w:rPr>
          <w:t>Study interventions</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_Toc131600506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9</w:t>
        </w:r>
        <w:r w:rsidR="00F25032" w:rsidRPr="00C01031">
          <w:rPr>
            <w:rFonts w:ascii="Arial" w:hAnsi="Arial" w:cs="Arial"/>
            <w:noProof/>
            <w:webHidden/>
            <w:color w:val="000000" w:themeColor="text1"/>
          </w:rPr>
          <w:fldChar w:fldCharType="end"/>
        </w:r>
      </w:hyperlink>
    </w:p>
    <w:p w14:paraId="3D807767" w14:textId="74F755FD" w:rsidR="00F25032" w:rsidRPr="00C01031" w:rsidRDefault="00293136">
      <w:pPr>
        <w:pStyle w:val="TOC2"/>
        <w:tabs>
          <w:tab w:val="right" w:leader="dot" w:pos="9352"/>
        </w:tabs>
        <w:rPr>
          <w:rFonts w:ascii="Arial" w:eastAsiaTheme="minorEastAsia" w:hAnsi="Arial" w:cs="Arial"/>
          <w:noProof/>
          <w:color w:val="000000" w:themeColor="text1"/>
        </w:rPr>
      </w:pPr>
      <w:hyperlink w:anchor="_Toc131600507" w:history="1">
        <w:r w:rsidR="00F25032" w:rsidRPr="00C01031">
          <w:rPr>
            <w:rStyle w:val="Hyperlink"/>
            <w:rFonts w:ascii="Arial" w:hAnsi="Arial" w:cs="Arial"/>
            <w:noProof/>
            <w:color w:val="000000" w:themeColor="text1"/>
          </w:rPr>
          <w:t>Safety assessments</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_Toc131600507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13</w:t>
        </w:r>
        <w:r w:rsidR="00F25032" w:rsidRPr="00C01031">
          <w:rPr>
            <w:rFonts w:ascii="Arial" w:hAnsi="Arial" w:cs="Arial"/>
            <w:noProof/>
            <w:webHidden/>
            <w:color w:val="000000" w:themeColor="text1"/>
          </w:rPr>
          <w:fldChar w:fldCharType="end"/>
        </w:r>
      </w:hyperlink>
    </w:p>
    <w:p w14:paraId="047177D3" w14:textId="09951B98" w:rsidR="00F25032" w:rsidRPr="00C01031" w:rsidRDefault="00293136">
      <w:pPr>
        <w:pStyle w:val="TOC2"/>
        <w:tabs>
          <w:tab w:val="right" w:leader="dot" w:pos="9352"/>
        </w:tabs>
        <w:rPr>
          <w:rFonts w:ascii="Arial" w:eastAsiaTheme="minorEastAsia" w:hAnsi="Arial" w:cs="Arial"/>
          <w:noProof/>
          <w:color w:val="000000" w:themeColor="text1"/>
        </w:rPr>
      </w:pPr>
      <w:hyperlink w:anchor="_Toc131600508" w:history="1">
        <w:r w:rsidR="00F25032" w:rsidRPr="00C01031">
          <w:rPr>
            <w:rStyle w:val="Hyperlink"/>
            <w:rFonts w:ascii="Arial" w:hAnsi="Arial" w:cs="Arial"/>
            <w:noProof/>
            <w:color w:val="000000" w:themeColor="text1"/>
          </w:rPr>
          <w:t>Randomization</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_Toc131600508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17</w:t>
        </w:r>
        <w:r w:rsidR="00F25032" w:rsidRPr="00C01031">
          <w:rPr>
            <w:rFonts w:ascii="Arial" w:hAnsi="Arial" w:cs="Arial"/>
            <w:noProof/>
            <w:webHidden/>
            <w:color w:val="000000" w:themeColor="text1"/>
          </w:rPr>
          <w:fldChar w:fldCharType="end"/>
        </w:r>
      </w:hyperlink>
    </w:p>
    <w:p w14:paraId="100E7F1F" w14:textId="4E1E37B3" w:rsidR="00F25032" w:rsidRPr="00C01031" w:rsidRDefault="00293136">
      <w:pPr>
        <w:pStyle w:val="TOC2"/>
        <w:tabs>
          <w:tab w:val="right" w:leader="dot" w:pos="9352"/>
        </w:tabs>
        <w:rPr>
          <w:rFonts w:ascii="Arial" w:eastAsiaTheme="minorEastAsia" w:hAnsi="Arial" w:cs="Arial"/>
          <w:noProof/>
          <w:color w:val="000000" w:themeColor="text1"/>
        </w:rPr>
      </w:pPr>
      <w:hyperlink w:anchor="_Toc131600509" w:history="1">
        <w:r w:rsidR="00F25032" w:rsidRPr="00C01031">
          <w:rPr>
            <w:rStyle w:val="Hyperlink"/>
            <w:rFonts w:ascii="Arial" w:hAnsi="Arial" w:cs="Arial"/>
            <w:noProof/>
            <w:color w:val="000000" w:themeColor="text1"/>
          </w:rPr>
          <w:t>Blinding</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_Toc131600509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18</w:t>
        </w:r>
        <w:r w:rsidR="00F25032" w:rsidRPr="00C01031">
          <w:rPr>
            <w:rFonts w:ascii="Arial" w:hAnsi="Arial" w:cs="Arial"/>
            <w:noProof/>
            <w:webHidden/>
            <w:color w:val="000000" w:themeColor="text1"/>
          </w:rPr>
          <w:fldChar w:fldCharType="end"/>
        </w:r>
      </w:hyperlink>
    </w:p>
    <w:p w14:paraId="172F74D9" w14:textId="7A360BCD" w:rsidR="00F25032" w:rsidRPr="00C01031" w:rsidRDefault="00293136">
      <w:pPr>
        <w:pStyle w:val="TOC2"/>
        <w:tabs>
          <w:tab w:val="right" w:leader="dot" w:pos="9352"/>
        </w:tabs>
        <w:rPr>
          <w:rFonts w:ascii="Arial" w:eastAsiaTheme="minorEastAsia" w:hAnsi="Arial" w:cs="Arial"/>
          <w:noProof/>
          <w:color w:val="000000" w:themeColor="text1"/>
        </w:rPr>
      </w:pPr>
      <w:hyperlink w:anchor="_Toc131600510" w:history="1">
        <w:r w:rsidR="00F25032" w:rsidRPr="00C01031">
          <w:rPr>
            <w:rStyle w:val="Hyperlink"/>
            <w:rFonts w:ascii="Arial" w:hAnsi="Arial" w:cs="Arial"/>
            <w:noProof/>
            <w:color w:val="000000" w:themeColor="text1"/>
          </w:rPr>
          <w:t>Study termination</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_Toc131600510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18</w:t>
        </w:r>
        <w:r w:rsidR="00F25032" w:rsidRPr="00C01031">
          <w:rPr>
            <w:rFonts w:ascii="Arial" w:hAnsi="Arial" w:cs="Arial"/>
            <w:noProof/>
            <w:webHidden/>
            <w:color w:val="000000" w:themeColor="text1"/>
          </w:rPr>
          <w:fldChar w:fldCharType="end"/>
        </w:r>
      </w:hyperlink>
    </w:p>
    <w:p w14:paraId="12A25F3C" w14:textId="0684F61F" w:rsidR="00F25032" w:rsidRPr="00C01031" w:rsidRDefault="00293136">
      <w:pPr>
        <w:pStyle w:val="TOC1"/>
        <w:rPr>
          <w:rFonts w:ascii="Arial" w:eastAsiaTheme="minorEastAsia" w:hAnsi="Arial" w:cs="Arial"/>
          <w:noProof/>
          <w:color w:val="000000" w:themeColor="text1"/>
        </w:rPr>
      </w:pPr>
      <w:hyperlink w:anchor="_Toc131600511" w:history="1">
        <w:r w:rsidR="00F25032" w:rsidRPr="00C01031">
          <w:rPr>
            <w:rStyle w:val="Hyperlink"/>
            <w:rFonts w:ascii="Arial" w:hAnsi="Arial" w:cs="Arial"/>
            <w:noProof/>
            <w:color w:val="000000" w:themeColor="text1"/>
          </w:rPr>
          <w:t>Suppl Table 1 Demographic and baseline characteristics: Study A</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_Toc131600511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20</w:t>
        </w:r>
        <w:r w:rsidR="00F25032" w:rsidRPr="00C01031">
          <w:rPr>
            <w:rFonts w:ascii="Arial" w:hAnsi="Arial" w:cs="Arial"/>
            <w:noProof/>
            <w:webHidden/>
            <w:color w:val="000000" w:themeColor="text1"/>
          </w:rPr>
          <w:fldChar w:fldCharType="end"/>
        </w:r>
      </w:hyperlink>
    </w:p>
    <w:p w14:paraId="7A2C2F53" w14:textId="2E1EFFE7" w:rsidR="00F25032" w:rsidRPr="00C01031" w:rsidRDefault="00293136">
      <w:pPr>
        <w:pStyle w:val="TOC1"/>
        <w:rPr>
          <w:rFonts w:ascii="Arial" w:eastAsiaTheme="minorEastAsia" w:hAnsi="Arial" w:cs="Arial"/>
          <w:noProof/>
          <w:color w:val="000000" w:themeColor="text1"/>
        </w:rPr>
      </w:pPr>
      <w:hyperlink w:anchor="_Toc131600512" w:history="1">
        <w:r w:rsidR="00F25032" w:rsidRPr="00C01031">
          <w:rPr>
            <w:rStyle w:val="Hyperlink"/>
            <w:rFonts w:ascii="Arial" w:hAnsi="Arial" w:cs="Arial"/>
            <w:noProof/>
            <w:color w:val="000000" w:themeColor="text1"/>
          </w:rPr>
          <w:t>Suppl Table 2 Demographic and baseline characteristics: Study B</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_Toc131600512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21</w:t>
        </w:r>
        <w:r w:rsidR="00F25032" w:rsidRPr="00C01031">
          <w:rPr>
            <w:rFonts w:ascii="Arial" w:hAnsi="Arial" w:cs="Arial"/>
            <w:noProof/>
            <w:webHidden/>
            <w:color w:val="000000" w:themeColor="text1"/>
          </w:rPr>
          <w:fldChar w:fldCharType="end"/>
        </w:r>
      </w:hyperlink>
    </w:p>
    <w:p w14:paraId="0C207BA4" w14:textId="4333F875" w:rsidR="00F25032" w:rsidRPr="00C01031" w:rsidRDefault="00293136">
      <w:pPr>
        <w:pStyle w:val="TOC1"/>
        <w:rPr>
          <w:rFonts w:ascii="Arial" w:eastAsiaTheme="minorEastAsia" w:hAnsi="Arial" w:cs="Arial"/>
          <w:noProof/>
          <w:color w:val="000000" w:themeColor="text1"/>
        </w:rPr>
      </w:pPr>
      <w:hyperlink w:anchor="_Toc131600513" w:history="1">
        <w:r w:rsidR="00F25032" w:rsidRPr="00C01031">
          <w:rPr>
            <w:rStyle w:val="Hyperlink"/>
            <w:rFonts w:ascii="Arial" w:hAnsi="Arial" w:cs="Arial"/>
            <w:noProof/>
            <w:color w:val="000000" w:themeColor="text1"/>
          </w:rPr>
          <w:t>Suppl Table 3 Efficacy outcomes in the individual studies (intention-to-treat populations)</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_Toc131600513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23</w:t>
        </w:r>
        <w:r w:rsidR="00F25032" w:rsidRPr="00C01031">
          <w:rPr>
            <w:rFonts w:ascii="Arial" w:hAnsi="Arial" w:cs="Arial"/>
            <w:noProof/>
            <w:webHidden/>
            <w:color w:val="000000" w:themeColor="text1"/>
          </w:rPr>
          <w:fldChar w:fldCharType="end"/>
        </w:r>
      </w:hyperlink>
    </w:p>
    <w:p w14:paraId="5533F90D" w14:textId="0ECFA143" w:rsidR="00F25032" w:rsidRPr="00C01031" w:rsidRDefault="00293136">
      <w:pPr>
        <w:pStyle w:val="TOC1"/>
        <w:rPr>
          <w:rFonts w:ascii="Arial" w:eastAsiaTheme="minorEastAsia" w:hAnsi="Arial" w:cs="Arial"/>
          <w:noProof/>
          <w:color w:val="000000" w:themeColor="text1"/>
        </w:rPr>
      </w:pPr>
      <w:hyperlink w:anchor="_Toc131600514" w:history="1">
        <w:r w:rsidR="00F25032" w:rsidRPr="00C01031">
          <w:rPr>
            <w:rStyle w:val="Hyperlink"/>
            <w:rFonts w:ascii="Arial" w:hAnsi="Arial" w:cs="Arial"/>
            <w:noProof/>
            <w:color w:val="000000" w:themeColor="text1"/>
          </w:rPr>
          <w:t xml:space="preserve">Suppl Table 4 TEAEs occurring in ≥15% of patients in either study arm (safety analysis set, </w:t>
        </w:r>
        <w:r w:rsidR="00F25032" w:rsidRPr="00C01031">
          <w:rPr>
            <w:rStyle w:val="Hyperlink"/>
            <w:rFonts w:ascii="Arial" w:hAnsi="Arial" w:cs="Arial"/>
            <w:i/>
            <w:iCs/>
            <w:noProof/>
            <w:color w:val="000000" w:themeColor="text1"/>
          </w:rPr>
          <w:t>n</w:t>
        </w:r>
        <w:r w:rsidR="00F25032" w:rsidRPr="00C01031">
          <w:rPr>
            <w:rStyle w:val="Hyperlink"/>
            <w:rFonts w:ascii="Arial" w:hAnsi="Arial" w:cs="Arial"/>
            <w:noProof/>
            <w:color w:val="000000" w:themeColor="text1"/>
          </w:rPr>
          <w:t xml:space="preserve"> = 97): Study A</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_Toc131600514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24</w:t>
        </w:r>
        <w:r w:rsidR="00F25032" w:rsidRPr="00C01031">
          <w:rPr>
            <w:rFonts w:ascii="Arial" w:hAnsi="Arial" w:cs="Arial"/>
            <w:noProof/>
            <w:webHidden/>
            <w:color w:val="000000" w:themeColor="text1"/>
          </w:rPr>
          <w:fldChar w:fldCharType="end"/>
        </w:r>
      </w:hyperlink>
    </w:p>
    <w:p w14:paraId="45E64396" w14:textId="589DCF9C" w:rsidR="00F25032" w:rsidRPr="00C01031" w:rsidRDefault="00293136">
      <w:pPr>
        <w:pStyle w:val="TOC1"/>
        <w:rPr>
          <w:rFonts w:ascii="Arial" w:eastAsiaTheme="minorEastAsia" w:hAnsi="Arial" w:cs="Arial"/>
          <w:noProof/>
          <w:color w:val="000000" w:themeColor="text1"/>
        </w:rPr>
      </w:pPr>
      <w:hyperlink w:anchor="_Toc131600515" w:history="1">
        <w:r w:rsidR="00F25032" w:rsidRPr="00C01031">
          <w:rPr>
            <w:rStyle w:val="Hyperlink"/>
            <w:rFonts w:ascii="Arial" w:hAnsi="Arial" w:cs="Arial"/>
            <w:noProof/>
            <w:color w:val="000000" w:themeColor="text1"/>
          </w:rPr>
          <w:t xml:space="preserve">Suppl Table 5 TEAEs occurring in ≥15% of patients in either study arm (safety analysis set, </w:t>
        </w:r>
        <w:r w:rsidR="00F25032" w:rsidRPr="00C01031">
          <w:rPr>
            <w:rStyle w:val="Hyperlink"/>
            <w:rFonts w:ascii="Arial" w:hAnsi="Arial" w:cs="Arial"/>
            <w:i/>
            <w:iCs/>
            <w:noProof/>
            <w:color w:val="000000" w:themeColor="text1"/>
          </w:rPr>
          <w:t>n</w:t>
        </w:r>
        <w:r w:rsidR="00F25032" w:rsidRPr="00C01031">
          <w:rPr>
            <w:rStyle w:val="Hyperlink"/>
            <w:rFonts w:ascii="Arial" w:hAnsi="Arial" w:cs="Arial"/>
            <w:noProof/>
            <w:color w:val="000000" w:themeColor="text1"/>
          </w:rPr>
          <w:t xml:space="preserve"> = 278): Study B</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_Toc131600515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25</w:t>
        </w:r>
        <w:r w:rsidR="00F25032" w:rsidRPr="00C01031">
          <w:rPr>
            <w:rFonts w:ascii="Arial" w:hAnsi="Arial" w:cs="Arial"/>
            <w:noProof/>
            <w:webHidden/>
            <w:color w:val="000000" w:themeColor="text1"/>
          </w:rPr>
          <w:fldChar w:fldCharType="end"/>
        </w:r>
      </w:hyperlink>
    </w:p>
    <w:p w14:paraId="2DBB9F7E" w14:textId="4F10F27E" w:rsidR="00F25032" w:rsidRPr="00C01031" w:rsidRDefault="00293136">
      <w:pPr>
        <w:pStyle w:val="TOC1"/>
        <w:rPr>
          <w:rFonts w:ascii="Arial" w:eastAsiaTheme="minorEastAsia" w:hAnsi="Arial" w:cs="Arial"/>
          <w:noProof/>
          <w:color w:val="000000" w:themeColor="text1"/>
        </w:rPr>
      </w:pPr>
      <w:hyperlink w:anchor="_Toc131600516" w:history="1">
        <w:r w:rsidR="00F25032" w:rsidRPr="00C01031">
          <w:rPr>
            <w:rStyle w:val="Hyperlink"/>
            <w:rFonts w:ascii="Arial" w:hAnsi="Arial" w:cs="Arial"/>
            <w:noProof/>
            <w:color w:val="000000" w:themeColor="text1"/>
          </w:rPr>
          <w:t>Suppl Fig. 1 Study flow. ITT, intention to treat</w:t>
        </w:r>
        <w:r w:rsidR="00F25032" w:rsidRPr="00C01031">
          <w:rPr>
            <w:rFonts w:ascii="Arial" w:hAnsi="Arial" w:cs="Arial"/>
            <w:noProof/>
            <w:webHidden/>
            <w:color w:val="000000" w:themeColor="text1"/>
          </w:rPr>
          <w:tab/>
        </w:r>
        <w:r w:rsidR="00F25032" w:rsidRPr="00C01031">
          <w:rPr>
            <w:rFonts w:ascii="Arial" w:hAnsi="Arial" w:cs="Arial"/>
            <w:noProof/>
            <w:webHidden/>
            <w:color w:val="000000" w:themeColor="text1"/>
          </w:rPr>
          <w:fldChar w:fldCharType="begin"/>
        </w:r>
        <w:r w:rsidR="00F25032" w:rsidRPr="00C01031">
          <w:rPr>
            <w:rFonts w:ascii="Arial" w:hAnsi="Arial" w:cs="Arial"/>
            <w:noProof/>
            <w:webHidden/>
            <w:color w:val="000000" w:themeColor="text1"/>
          </w:rPr>
          <w:instrText xml:space="preserve"> PAGEREF _Toc131600516 \h </w:instrText>
        </w:r>
        <w:r w:rsidR="00F25032" w:rsidRPr="00C01031">
          <w:rPr>
            <w:rFonts w:ascii="Arial" w:hAnsi="Arial" w:cs="Arial"/>
            <w:noProof/>
            <w:webHidden/>
            <w:color w:val="000000" w:themeColor="text1"/>
          </w:rPr>
        </w:r>
        <w:r w:rsidR="00F25032" w:rsidRPr="00C01031">
          <w:rPr>
            <w:rFonts w:ascii="Arial" w:hAnsi="Arial" w:cs="Arial"/>
            <w:noProof/>
            <w:webHidden/>
            <w:color w:val="000000" w:themeColor="text1"/>
          </w:rPr>
          <w:fldChar w:fldCharType="separate"/>
        </w:r>
        <w:r w:rsidR="00F25032" w:rsidRPr="00C01031">
          <w:rPr>
            <w:rFonts w:ascii="Arial" w:hAnsi="Arial" w:cs="Arial"/>
            <w:noProof/>
            <w:webHidden/>
            <w:color w:val="000000" w:themeColor="text1"/>
          </w:rPr>
          <w:t>26</w:t>
        </w:r>
        <w:r w:rsidR="00F25032" w:rsidRPr="00C01031">
          <w:rPr>
            <w:rFonts w:ascii="Arial" w:hAnsi="Arial" w:cs="Arial"/>
            <w:noProof/>
            <w:webHidden/>
            <w:color w:val="000000" w:themeColor="text1"/>
          </w:rPr>
          <w:fldChar w:fldCharType="end"/>
        </w:r>
      </w:hyperlink>
    </w:p>
    <w:p w14:paraId="4BC8E033" w14:textId="11E281FD" w:rsidR="00CE3621" w:rsidRPr="00C01031" w:rsidRDefault="00CE3621">
      <w:pPr>
        <w:rPr>
          <w:color w:val="000000" w:themeColor="text1"/>
          <w:lang w:val="en-US"/>
        </w:rPr>
      </w:pPr>
      <w:r w:rsidRPr="00C01031">
        <w:rPr>
          <w:rFonts w:cs="Arial"/>
          <w:b/>
          <w:bCs/>
          <w:noProof/>
          <w:color w:val="000000" w:themeColor="text1"/>
          <w:szCs w:val="20"/>
          <w:lang w:val="en-US"/>
        </w:rPr>
        <w:fldChar w:fldCharType="end"/>
      </w:r>
    </w:p>
    <w:p w14:paraId="744DDB84" w14:textId="77777777" w:rsidR="00CE3621" w:rsidRPr="00C01031" w:rsidRDefault="00CE3621" w:rsidP="0059437A">
      <w:pPr>
        <w:spacing w:line="480" w:lineRule="auto"/>
        <w:rPr>
          <w:rFonts w:eastAsia="Batang" w:cs="Arial"/>
          <w:color w:val="000000" w:themeColor="text1"/>
          <w:szCs w:val="20"/>
          <w:lang w:val="en-US"/>
        </w:rPr>
      </w:pPr>
    </w:p>
    <w:p w14:paraId="69EB52BC" w14:textId="77777777" w:rsidR="00834B08" w:rsidRPr="00C01031" w:rsidRDefault="0059437A" w:rsidP="00CE3621">
      <w:pPr>
        <w:pStyle w:val="Head1"/>
        <w:rPr>
          <w:color w:val="000000" w:themeColor="text1"/>
        </w:rPr>
      </w:pPr>
      <w:r w:rsidRPr="00C01031">
        <w:rPr>
          <w:color w:val="000000" w:themeColor="text1"/>
        </w:rPr>
        <w:br w:type="page"/>
      </w:r>
      <w:bookmarkStart w:id="2" w:name="_Toc131600503"/>
      <w:r w:rsidR="00834B08" w:rsidRPr="00C01031">
        <w:rPr>
          <w:color w:val="000000" w:themeColor="text1"/>
        </w:rPr>
        <w:t>Supplementary methods</w:t>
      </w:r>
      <w:bookmarkEnd w:id="2"/>
    </w:p>
    <w:p w14:paraId="03D1D2D6" w14:textId="77777777" w:rsidR="0059437A" w:rsidRPr="00C01031" w:rsidRDefault="0059437A" w:rsidP="00CE3621">
      <w:pPr>
        <w:pStyle w:val="Head2"/>
        <w:rPr>
          <w:color w:val="000000" w:themeColor="text1"/>
        </w:rPr>
      </w:pPr>
      <w:bookmarkStart w:id="3" w:name="_Toc131600504"/>
      <w:r w:rsidRPr="00C01031">
        <w:rPr>
          <w:color w:val="000000" w:themeColor="text1"/>
        </w:rPr>
        <w:t>Inclusion criteria</w:t>
      </w:r>
      <w:bookmarkEnd w:id="3"/>
    </w:p>
    <w:p w14:paraId="23921BBC" w14:textId="77777777" w:rsidR="0059437A" w:rsidRPr="00C01031" w:rsidRDefault="0059437A" w:rsidP="0059437A">
      <w:pPr>
        <w:keepNext/>
        <w:spacing w:line="480" w:lineRule="auto"/>
        <w:rPr>
          <w:rFonts w:eastAsia="Batang" w:cs="Arial"/>
          <w:b/>
          <w:bCs/>
          <w:i/>
          <w:iCs/>
          <w:color w:val="000000" w:themeColor="text1"/>
          <w:szCs w:val="20"/>
          <w:lang w:val="en-US"/>
        </w:rPr>
      </w:pPr>
      <w:r w:rsidRPr="00C01031">
        <w:rPr>
          <w:rFonts w:eastAsia="Batang" w:cs="Arial"/>
          <w:b/>
          <w:bCs/>
          <w:i/>
          <w:iCs/>
          <w:color w:val="000000" w:themeColor="text1"/>
          <w:szCs w:val="20"/>
          <w:lang w:val="en-US"/>
        </w:rPr>
        <w:t>Both studies</w:t>
      </w:r>
    </w:p>
    <w:p w14:paraId="373EB36B" w14:textId="77777777" w:rsidR="0059437A" w:rsidRPr="00C01031" w:rsidRDefault="0059437A" w:rsidP="0059437A">
      <w:pPr>
        <w:spacing w:line="480" w:lineRule="auto"/>
        <w:rPr>
          <w:rFonts w:eastAsia="Batang" w:cs="Arial"/>
          <w:color w:val="000000" w:themeColor="text1"/>
          <w:szCs w:val="20"/>
          <w:lang w:val="en-US"/>
        </w:rPr>
      </w:pPr>
      <w:r w:rsidRPr="00C01031">
        <w:rPr>
          <w:rFonts w:eastAsia="Batang" w:cs="Arial"/>
          <w:color w:val="000000" w:themeColor="text1"/>
          <w:szCs w:val="20"/>
          <w:lang w:val="en-US"/>
        </w:rPr>
        <w:t>Patients who met all the following criteria were eligible for study inclusion.</w:t>
      </w:r>
    </w:p>
    <w:p w14:paraId="7B75EB94"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Written informed consent</w:t>
      </w:r>
      <w:r w:rsidRPr="00C01031">
        <w:rPr>
          <w:rFonts w:eastAsia="Batang" w:cs="Arial"/>
          <w:color w:val="000000" w:themeColor="text1"/>
          <w:szCs w:val="20"/>
          <w:lang w:val="en-US"/>
        </w:rPr>
        <w:t>: Patients had to understand and willingly sign the informed consent form before the conduct of any study-specific procedure</w:t>
      </w:r>
    </w:p>
    <w:p w14:paraId="75DB998E"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Documentation of histologic or cytologic confirmation of estrogen receptor-positive (ER+) and human epidermal growth factor receptor 2 (HER2)-negative adenocarcinoma of the breast</w:t>
      </w:r>
      <w:r w:rsidRPr="00C01031">
        <w:rPr>
          <w:rFonts w:eastAsia="Batang" w:cs="Arial"/>
          <w:color w:val="000000" w:themeColor="text1"/>
          <w:szCs w:val="20"/>
          <w:lang w:val="en-US"/>
        </w:rPr>
        <w:t xml:space="preserve">: HER2 status must have been determined by an accredited or Ministry of Health approved laboratory by immunohistochemistry (IHC), fluorescence </w:t>
      </w:r>
      <w:r w:rsidRPr="00C01031">
        <w:rPr>
          <w:rFonts w:eastAsia="Batang" w:cs="Arial"/>
          <w:i/>
          <w:iCs/>
          <w:color w:val="000000" w:themeColor="text1"/>
          <w:szCs w:val="20"/>
          <w:lang w:val="en-US"/>
        </w:rPr>
        <w:t>in situ</w:t>
      </w:r>
      <w:r w:rsidRPr="00C01031">
        <w:rPr>
          <w:rFonts w:eastAsia="Batang" w:cs="Arial"/>
          <w:color w:val="000000" w:themeColor="text1"/>
          <w:szCs w:val="20"/>
          <w:lang w:val="en-US"/>
        </w:rPr>
        <w:t xml:space="preserve"> hybridization (FISH), chromogenic </w:t>
      </w:r>
      <w:r w:rsidRPr="00C01031">
        <w:rPr>
          <w:rFonts w:eastAsia="Batang" w:cs="Arial"/>
          <w:i/>
          <w:iCs/>
          <w:color w:val="000000" w:themeColor="text1"/>
          <w:szCs w:val="20"/>
          <w:lang w:val="en-US"/>
        </w:rPr>
        <w:t>in situ</w:t>
      </w:r>
      <w:r w:rsidRPr="00C01031">
        <w:rPr>
          <w:rFonts w:eastAsia="Batang" w:cs="Arial"/>
          <w:color w:val="000000" w:themeColor="text1"/>
          <w:szCs w:val="20"/>
          <w:lang w:val="en-US"/>
        </w:rPr>
        <w:t xml:space="preserve"> hybridization (CISH), or another validated </w:t>
      </w:r>
      <w:r w:rsidRPr="00C01031">
        <w:rPr>
          <w:rFonts w:eastAsia="Batang" w:cs="Arial"/>
          <w:i/>
          <w:iCs/>
          <w:color w:val="000000" w:themeColor="text1"/>
          <w:szCs w:val="20"/>
          <w:lang w:val="en-US"/>
        </w:rPr>
        <w:t>in situ</w:t>
      </w:r>
      <w:r w:rsidRPr="00C01031">
        <w:rPr>
          <w:rFonts w:eastAsia="Batang" w:cs="Arial"/>
          <w:color w:val="000000" w:themeColor="text1"/>
          <w:szCs w:val="20"/>
          <w:lang w:val="en-US"/>
        </w:rPr>
        <w:t xml:space="preserve"> hybridization (ISH) assay for the detection of </w:t>
      </w:r>
      <w:r w:rsidRPr="00C01031">
        <w:rPr>
          <w:rFonts w:eastAsia="Batang" w:cs="Arial"/>
          <w:i/>
          <w:color w:val="000000" w:themeColor="text1"/>
          <w:szCs w:val="20"/>
          <w:lang w:val="en-US"/>
        </w:rPr>
        <w:t>HER2</w:t>
      </w:r>
      <w:r w:rsidRPr="00C01031">
        <w:rPr>
          <w:rFonts w:eastAsia="Batang" w:cs="Arial"/>
          <w:color w:val="000000" w:themeColor="text1"/>
          <w:szCs w:val="20"/>
          <w:lang w:val="en-US"/>
        </w:rPr>
        <w:t xml:space="preserve"> gene expression</w:t>
      </w:r>
    </w:p>
    <w:p w14:paraId="049EC21E"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ER+ tumors</w:t>
      </w:r>
      <w:r w:rsidRPr="00C01031">
        <w:rPr>
          <w:rFonts w:eastAsia="Batang" w:cs="Arial"/>
          <w:color w:val="000000" w:themeColor="text1"/>
          <w:szCs w:val="20"/>
          <w:lang w:val="en-US"/>
        </w:rPr>
        <w:t>: defined as ≥10% positive tumor nuclei in the analyzed sample from either the primary or a metastatic site; ER+/progesterone receptor-positive (PR+) and ER+/progesterone receptor-negative (PR−) patients were eligible for study inclusion; patients with estrogen receptor-negative (ER−)/PR+ or ER−/PR− disease were ineligible</w:t>
      </w:r>
    </w:p>
    <w:p w14:paraId="5989B12B"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Women, aged ≥18 years, with metastatic breast cancer not amenable to curative treatment by surgery or radiotherapy</w:t>
      </w:r>
      <w:r w:rsidRPr="00C01031">
        <w:rPr>
          <w:rFonts w:eastAsia="Batang" w:cs="Arial"/>
          <w:color w:val="000000" w:themeColor="text1"/>
          <w:szCs w:val="20"/>
          <w:lang w:val="en-US"/>
        </w:rPr>
        <w:t>: Women of reproductive potential and their male partners agreed to use adequate contraception during treatment and for 6 months following the completion of radium-223 or placebo administration</w:t>
      </w:r>
    </w:p>
    <w:p w14:paraId="125EA846"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Premenopausal or postmenopausal patients</w:t>
      </w:r>
      <w:r w:rsidRPr="00C01031">
        <w:rPr>
          <w:rFonts w:eastAsia="Batang" w:cs="Arial"/>
          <w:color w:val="000000" w:themeColor="text1"/>
          <w:szCs w:val="20"/>
          <w:lang w:val="en-US"/>
        </w:rPr>
        <w:t>: In premenopausal patients, ovarian radiation or treatment with a luteinizing hormone-releasing hormone agonist/antagonist was permitted for induction of ovarian suppression if the plasma/serum estradiol assay was within the local laboratory premenopausal range at screening, performed within 7 days of randomization</w:t>
      </w:r>
    </w:p>
    <w:p w14:paraId="546A3D40"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Premenopausal patients with or without ovarian radiation or concomitant treatment with a luteinizing hormone-releasing hormone agonist/antagonist had a negative pregnancy test at screening and agreed to use an adequate method of contraception, as recommended by their treating physicians</w:t>
      </w:r>
    </w:p>
    <w:p w14:paraId="0ABCA675"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Postmenopausal status was defined by either:</w:t>
      </w:r>
    </w:p>
    <w:p w14:paraId="024A80B1" w14:textId="77777777" w:rsidR="0059437A" w:rsidRPr="00C01031" w:rsidRDefault="0059437A" w:rsidP="0059437A">
      <w:pPr>
        <w:numPr>
          <w:ilvl w:val="2"/>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Age ≥55 years and ≥1 year of amenorrhea or</w:t>
      </w:r>
    </w:p>
    <w:p w14:paraId="7F37C3E3" w14:textId="77777777" w:rsidR="0059437A" w:rsidRPr="00C01031" w:rsidRDefault="0059437A" w:rsidP="0059437A">
      <w:pPr>
        <w:numPr>
          <w:ilvl w:val="2"/>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Age &lt;55 years and ≥1 year of amenorrhea, with a plasma/serum estradiol assay within the local laboratory postmenopausal range, performed within 7 days of randomization or</w:t>
      </w:r>
    </w:p>
    <w:p w14:paraId="1962E783" w14:textId="77777777" w:rsidR="0059437A" w:rsidRPr="00C01031" w:rsidRDefault="0059437A" w:rsidP="0059437A">
      <w:pPr>
        <w:numPr>
          <w:ilvl w:val="2"/>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Bilateral ovariectomy</w:t>
      </w:r>
    </w:p>
    <w:p w14:paraId="0258435E"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Bone-dominant disease</w:t>
      </w:r>
      <w:r w:rsidRPr="00C01031">
        <w:rPr>
          <w:rFonts w:eastAsia="Batang" w:cs="Arial"/>
          <w:color w:val="000000" w:themeColor="text1"/>
          <w:szCs w:val="20"/>
          <w:lang w:val="en-US"/>
        </w:rPr>
        <w:t>: At least two skeletal metastases identified at baseline by bone scintigraphy and confirmed by computed tomography (CT)/magnetic resonance imaging (MRI); metastases in soft tissue (skin, subcutaneous tissue, muscle, fat, lymph nodes) and/or visceral metastases were permitted</w:t>
      </w:r>
      <w:bookmarkStart w:id="4" w:name="_GoBack"/>
      <w:bookmarkEnd w:id="4"/>
    </w:p>
    <w:p w14:paraId="0F1D1829"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Measurable disease or non-measurable but radiologically evaluable disease, according to Response Evaluation Criteria in Solid Tumors (RECIST) version 1.1</w:t>
      </w:r>
      <w:r w:rsidRPr="00C01031">
        <w:rPr>
          <w:rFonts w:eastAsia="Batang" w:cs="Arial"/>
          <w:color w:val="000000" w:themeColor="text1"/>
          <w:szCs w:val="20"/>
          <w:lang w:val="en-US"/>
        </w:rPr>
        <w:t>: All disease burden was assessed at baseline by CT or MRI of the chest, pelvis, abdomen, and any additional fields as needed; all patients also had to have a bone scan at baseline</w:t>
      </w:r>
    </w:p>
    <w:p w14:paraId="6A349A69"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CT/MRI and bone scans done as standard practice within 3 weeks before randomization were acceptable</w:t>
      </w:r>
    </w:p>
    <w:p w14:paraId="7F14A3DA"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Fluorodeoxyglucose (FDG)-positron emission tomography (PET), if performed as part of standard-of-care imaging, could be used as an adjunct to CT/MRI, in line with RECIST version 1.1 criteria; if FDG-PET/CT was conducted, the CT component of the scan could be used for tumor measurements only if the study site could document that the CT scan was of identical diagnostic quality to that of diagnostic CT</w:t>
      </w:r>
    </w:p>
    <w:p w14:paraId="55DEF01C"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 xml:space="preserve">FDG-PET/CT or </w:t>
      </w:r>
      <w:r w:rsidRPr="00C01031">
        <w:rPr>
          <w:rFonts w:eastAsia="Batang" w:cs="Arial"/>
          <w:color w:val="000000" w:themeColor="text1"/>
          <w:szCs w:val="20"/>
          <w:vertAlign w:val="superscript"/>
          <w:lang w:val="en-US"/>
        </w:rPr>
        <w:t>18</w:t>
      </w:r>
      <w:r w:rsidRPr="00C01031">
        <w:rPr>
          <w:rFonts w:eastAsia="Batang" w:cs="Arial"/>
          <w:color w:val="000000" w:themeColor="text1"/>
          <w:szCs w:val="20"/>
          <w:lang w:val="en-US"/>
        </w:rPr>
        <w:t>F-sodium fluoride PET/CT was acceptable as an alternative to technetium-99m bone scintigraphy if it was the standard of care at the institution and provided that the same bone-imaging modality was used throughout the study</w:t>
      </w:r>
    </w:p>
    <w:p w14:paraId="64AE3D35"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At least one line of prior hormonal therapy in the metastatic setting</w:t>
      </w:r>
      <w:r w:rsidRPr="00C01031">
        <w:rPr>
          <w:rFonts w:eastAsia="Batang" w:cs="Arial"/>
          <w:color w:val="000000" w:themeColor="text1"/>
          <w:szCs w:val="20"/>
          <w:lang w:val="en-US"/>
        </w:rPr>
        <w:t>: Any change of the hormone agent because of investigator-assessed progression was counted as a new line of therapy; a switch of hormone therapy from one agent to another due to toxicity or other reasons (e.g., patient preference), in the absence of progressive disease at the time of the switch, was counted as one line, even though two different agents were administered</w:t>
      </w:r>
    </w:p>
    <w:p w14:paraId="0B6F0EB2" w14:textId="77777777" w:rsidR="0059437A" w:rsidRPr="00C01031" w:rsidRDefault="0059437A" w:rsidP="0059437A">
      <w:pPr>
        <w:numPr>
          <w:ilvl w:val="0"/>
          <w:numId w:val="3"/>
        </w:numPr>
        <w:spacing w:line="480" w:lineRule="auto"/>
        <w:contextualSpacing/>
        <w:rPr>
          <w:rFonts w:eastAsia="Batang" w:cs="Arial"/>
          <w:color w:val="000000" w:themeColor="text1"/>
          <w:spacing w:val="-4"/>
          <w:szCs w:val="20"/>
          <w:lang w:val="en-US"/>
        </w:rPr>
      </w:pPr>
      <w:r w:rsidRPr="00C01031">
        <w:rPr>
          <w:rFonts w:eastAsia="Batang" w:cs="Arial"/>
          <w:i/>
          <w:iCs/>
          <w:color w:val="000000" w:themeColor="text1"/>
          <w:spacing w:val="-4"/>
          <w:szCs w:val="20"/>
          <w:lang w:val="en-US"/>
        </w:rPr>
        <w:t>One or two prior skeletal-related events (SREs)</w:t>
      </w:r>
      <w:r w:rsidRPr="00C01031">
        <w:rPr>
          <w:rFonts w:eastAsia="Batang" w:cs="Arial"/>
          <w:color w:val="000000" w:themeColor="text1"/>
          <w:spacing w:val="-4"/>
          <w:szCs w:val="20"/>
          <w:lang w:val="en-US"/>
        </w:rPr>
        <w:t>: defined as a need for external-beam radiation therapy (EBRT) to bone, pathologic bone fracture (excluding major trauma), spinal cord compression, or orthopedic surgery; patients with no prior SREs or more than two prior SREs were excluded</w:t>
      </w:r>
    </w:p>
    <w:p w14:paraId="3E93807B"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All prior SRE-related procedures had to have been administered before randomization</w:t>
      </w:r>
    </w:p>
    <w:p w14:paraId="3BB4C2E7"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SREs that occurred ≥21 days apart were defined as separate events, to ensure that linked events (e.g., surgery for fracture repair or multiple doses of radiation during a course of treatment) were not counted as separate events; bone pain that occurred at several anatomical locations and required separate EBRT sessions was counted as one event if the EBRT sessions were administered within 21 days of each other</w:t>
      </w:r>
    </w:p>
    <w:p w14:paraId="20A5F80E"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Bone health agents:</w:t>
      </w:r>
      <w:r w:rsidRPr="00C01031">
        <w:rPr>
          <w:rFonts w:eastAsia="Batang" w:cs="Arial"/>
          <w:color w:val="000000" w:themeColor="text1"/>
          <w:szCs w:val="20"/>
          <w:lang w:val="en-US"/>
        </w:rPr>
        <w:t xml:space="preserve"> Bisphosphonate or denosumab treatment for ≥1 month before the start of study treatment</w:t>
      </w:r>
    </w:p>
    <w:p w14:paraId="1A29E64A"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Eastern</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Cooperative</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Oncology</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Group</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(ECOG)</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performance</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status</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(PS)</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0 or</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1</w:t>
      </w:r>
    </w:p>
    <w:p w14:paraId="54745702"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Life</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expectancy</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≥6</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months</w:t>
      </w:r>
    </w:p>
    <w:p w14:paraId="0E3AD56D"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Laboratory requirements</w:t>
      </w:r>
      <w:r w:rsidRPr="00C01031">
        <w:rPr>
          <w:rFonts w:eastAsia="Batang" w:cs="Arial"/>
          <w:color w:val="000000" w:themeColor="text1"/>
          <w:szCs w:val="20"/>
          <w:lang w:val="en-US"/>
        </w:rPr>
        <w:t>:</w:t>
      </w:r>
    </w:p>
    <w:p w14:paraId="021A6715"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Absolute neutrophil count (ANC) ≥1.5 × 10</w:t>
      </w:r>
      <w:r w:rsidRPr="00C01031">
        <w:rPr>
          <w:rFonts w:eastAsia="Batang" w:cs="Arial"/>
          <w:color w:val="000000" w:themeColor="text1"/>
          <w:szCs w:val="20"/>
          <w:vertAlign w:val="superscript"/>
          <w:lang w:val="en-US"/>
        </w:rPr>
        <w:t>9</w:t>
      </w:r>
      <w:r w:rsidRPr="00C01031">
        <w:rPr>
          <w:rFonts w:eastAsia="Batang" w:cs="Arial"/>
          <w:color w:val="000000" w:themeColor="text1"/>
          <w:szCs w:val="20"/>
          <w:lang w:val="en-US"/>
        </w:rPr>
        <w:t>/l</w:t>
      </w:r>
    </w:p>
    <w:p w14:paraId="49F131BF" w14:textId="77777777" w:rsidR="0059437A" w:rsidRPr="00C01031" w:rsidRDefault="0059437A" w:rsidP="0059437A">
      <w:pPr>
        <w:numPr>
          <w:ilvl w:val="1"/>
          <w:numId w:val="3"/>
        </w:numPr>
        <w:spacing w:line="480" w:lineRule="auto"/>
        <w:contextualSpacing/>
        <w:rPr>
          <w:rFonts w:eastAsia="Batang" w:cs="Arial"/>
          <w:color w:val="000000" w:themeColor="text1"/>
          <w:spacing w:val="-4"/>
          <w:szCs w:val="20"/>
          <w:lang w:val="en-US"/>
        </w:rPr>
      </w:pPr>
      <w:r w:rsidRPr="00C01031">
        <w:rPr>
          <w:rFonts w:eastAsia="Batang" w:cs="Arial"/>
          <w:color w:val="000000" w:themeColor="text1"/>
          <w:spacing w:val="-4"/>
          <w:szCs w:val="20"/>
          <w:lang w:val="en-US"/>
        </w:rPr>
        <w:t>Platelet count ≥100 × 10</w:t>
      </w:r>
      <w:r w:rsidRPr="00C01031">
        <w:rPr>
          <w:rFonts w:eastAsia="Batang" w:cs="Arial"/>
          <w:color w:val="000000" w:themeColor="text1"/>
          <w:spacing w:val="-4"/>
          <w:szCs w:val="20"/>
          <w:vertAlign w:val="superscript"/>
          <w:lang w:val="en-US"/>
        </w:rPr>
        <w:t>9</w:t>
      </w:r>
      <w:r w:rsidRPr="00C01031">
        <w:rPr>
          <w:rFonts w:eastAsia="Batang" w:cs="Arial"/>
          <w:color w:val="000000" w:themeColor="text1"/>
          <w:spacing w:val="-4"/>
          <w:szCs w:val="20"/>
          <w:lang w:val="en-US"/>
        </w:rPr>
        <w:t>/l, without platelet transfusion within 4 weeks before randomization</w:t>
      </w:r>
    </w:p>
    <w:p w14:paraId="450E512B"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Hemoglobin (Hb) ≥9.0 g/dL (90 g/l; 5.6 mmol/l) without transfusion or erythropoietin within 4 weeks before randomization</w:t>
      </w:r>
    </w:p>
    <w:p w14:paraId="514CB4DD"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Total bilirubin level ≤1.5 × institutional upper limit of normal (ULN), except for patients with documented Gilbert disease</w:t>
      </w:r>
    </w:p>
    <w:p w14:paraId="06C35EC0"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Aspartate aminotransferase (AST) and alanine aminotransferase (ALT) ≤2.5 × institutional ULN</w:t>
      </w:r>
    </w:p>
    <w:p w14:paraId="1016A4C6"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Creatinine ≤1.5 × ULN</w:t>
      </w:r>
    </w:p>
    <w:p w14:paraId="4FBBFC2C" w14:textId="77777777" w:rsidR="0059437A" w:rsidRPr="00C01031" w:rsidRDefault="0059437A" w:rsidP="0059437A">
      <w:pPr>
        <w:numPr>
          <w:ilvl w:val="2"/>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Estimated glomerular filtration rate ≥30 ml/min/1.73 m</w:t>
      </w:r>
      <w:r w:rsidRPr="00C01031">
        <w:rPr>
          <w:rFonts w:eastAsia="Batang" w:cs="Arial"/>
          <w:color w:val="000000" w:themeColor="text1"/>
          <w:szCs w:val="20"/>
          <w:vertAlign w:val="superscript"/>
          <w:lang w:val="en-US"/>
        </w:rPr>
        <w:t>2</w:t>
      </w:r>
      <w:r w:rsidRPr="00C01031">
        <w:rPr>
          <w:rFonts w:eastAsia="Batang" w:cs="Arial"/>
          <w:color w:val="000000" w:themeColor="text1"/>
          <w:szCs w:val="20"/>
          <w:lang w:val="en-US"/>
        </w:rPr>
        <w:t>, according to the Modification of Diet in Renal Disease-abbreviated formula</w:t>
      </w:r>
    </w:p>
    <w:p w14:paraId="79C5FF52"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International normalized ratio (INR) of prothrombin time (PT), partial thromboplastin time (PTT), or activated PTT ≤1.5 × ULN at study entry</w:t>
      </w:r>
    </w:p>
    <w:p w14:paraId="3BE0D6BD" w14:textId="77777777" w:rsidR="0059437A" w:rsidRPr="00C01031" w:rsidRDefault="0059437A" w:rsidP="0059437A">
      <w:pPr>
        <w:numPr>
          <w:ilvl w:val="2"/>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Patients treated with warfarin, heparin, enoxaparin, rivaroxaban, dabigatran, apixaban, or aspirin (e.g., ≤100 mg daily) could participate in the study if no underlying abnormality in coagulation parameters was known; weekly evaluation of INR/PTT was required until stability was achieved for anticoagulants that required monitoring according to local labels</w:t>
      </w:r>
    </w:p>
    <w:p w14:paraId="3B9AE481"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Serum albumin &gt;30 g/l</w:t>
      </w:r>
    </w:p>
    <w:p w14:paraId="403D0C85" w14:textId="77777777" w:rsidR="0059437A" w:rsidRPr="00C01031" w:rsidRDefault="0059437A" w:rsidP="0059437A">
      <w:pPr>
        <w:numPr>
          <w:ilvl w:val="1"/>
          <w:numId w:val="3"/>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Pulse oximetry O</w:t>
      </w:r>
      <w:r w:rsidRPr="00C01031">
        <w:rPr>
          <w:rFonts w:eastAsia="Batang" w:cs="Arial"/>
          <w:color w:val="000000" w:themeColor="text1"/>
          <w:szCs w:val="20"/>
          <w:vertAlign w:val="subscript"/>
          <w:lang w:val="en-US"/>
        </w:rPr>
        <w:t>2</w:t>
      </w:r>
      <w:r w:rsidRPr="00C01031">
        <w:rPr>
          <w:rFonts w:eastAsia="Batang" w:cs="Arial"/>
          <w:color w:val="000000" w:themeColor="text1"/>
          <w:szCs w:val="20"/>
          <w:lang w:val="en-US"/>
        </w:rPr>
        <w:t xml:space="preserve"> saturation &gt;92%, if lung metastases were present</w:t>
      </w:r>
    </w:p>
    <w:p w14:paraId="01161420" w14:textId="77777777" w:rsidR="0059437A" w:rsidRPr="00C01031" w:rsidRDefault="0059437A" w:rsidP="0059437A">
      <w:pPr>
        <w:numPr>
          <w:ilvl w:val="0"/>
          <w:numId w:val="3"/>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Ability to swallow oral</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medication</w:t>
      </w:r>
    </w:p>
    <w:p w14:paraId="470EBFE1" w14:textId="77777777" w:rsidR="0059437A" w:rsidRPr="00C01031" w:rsidRDefault="0059437A" w:rsidP="0059437A">
      <w:pPr>
        <w:keepNext/>
        <w:spacing w:line="480" w:lineRule="auto"/>
        <w:rPr>
          <w:rFonts w:eastAsia="Batang" w:cs="Arial"/>
          <w:b/>
          <w:bCs/>
          <w:i/>
          <w:iCs/>
          <w:color w:val="000000" w:themeColor="text1"/>
          <w:szCs w:val="20"/>
          <w:lang w:val="en-US"/>
        </w:rPr>
      </w:pPr>
    </w:p>
    <w:p w14:paraId="1BE3F3AF" w14:textId="77777777" w:rsidR="0059437A" w:rsidRPr="00C01031" w:rsidRDefault="0059437A" w:rsidP="0059437A">
      <w:pPr>
        <w:keepNext/>
        <w:spacing w:line="480" w:lineRule="auto"/>
        <w:rPr>
          <w:rFonts w:eastAsia="Batang" w:cs="Arial"/>
          <w:b/>
          <w:bCs/>
          <w:i/>
          <w:iCs/>
          <w:color w:val="000000" w:themeColor="text1"/>
          <w:szCs w:val="20"/>
          <w:lang w:val="en-US"/>
        </w:rPr>
      </w:pPr>
      <w:r w:rsidRPr="00C01031">
        <w:rPr>
          <w:rFonts w:eastAsia="Batang" w:cs="Arial"/>
          <w:b/>
          <w:bCs/>
          <w:i/>
          <w:iCs/>
          <w:color w:val="000000" w:themeColor="text1"/>
          <w:szCs w:val="20"/>
          <w:lang w:val="en-US"/>
        </w:rPr>
        <w:t>Study A-specific inclusion criterion</w:t>
      </w:r>
    </w:p>
    <w:p w14:paraId="13083075" w14:textId="77777777" w:rsidR="0059437A" w:rsidRPr="00C01031" w:rsidRDefault="0059437A" w:rsidP="0059437A">
      <w:pPr>
        <w:numPr>
          <w:ilvl w:val="0"/>
          <w:numId w:val="5"/>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Eligibility for further standard-of-care endocrine therapy</w:t>
      </w:r>
      <w:r w:rsidRPr="00C01031">
        <w:rPr>
          <w:rFonts w:eastAsia="Batang" w:cs="Arial"/>
          <w:color w:val="000000" w:themeColor="text1"/>
          <w:szCs w:val="20"/>
          <w:lang w:val="en-US"/>
        </w:rPr>
        <w:t xml:space="preserve"> with any of the following, administered as a second or later line of hormone therapy in the metastatic setting:</w:t>
      </w:r>
    </w:p>
    <w:p w14:paraId="3C37AE9A" w14:textId="77777777" w:rsidR="0059437A" w:rsidRPr="00C01031" w:rsidRDefault="0059437A" w:rsidP="0059437A">
      <w:pPr>
        <w:numPr>
          <w:ilvl w:val="1"/>
          <w:numId w:val="5"/>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Selective ER modulators, such as tamoxifen or toremifene</w:t>
      </w:r>
    </w:p>
    <w:p w14:paraId="3F322954" w14:textId="77777777" w:rsidR="0059437A" w:rsidRPr="00C01031" w:rsidRDefault="0059437A" w:rsidP="0059437A">
      <w:pPr>
        <w:numPr>
          <w:ilvl w:val="1"/>
          <w:numId w:val="5"/>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Nonsteroidal aromatase inhibitors, such as anastrozole or letrozole</w:t>
      </w:r>
    </w:p>
    <w:p w14:paraId="02685E20" w14:textId="77777777" w:rsidR="0059437A" w:rsidRPr="00C01031" w:rsidRDefault="0059437A" w:rsidP="0059437A">
      <w:pPr>
        <w:numPr>
          <w:ilvl w:val="1"/>
          <w:numId w:val="5"/>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Steroidal aromatase inhibitors, such as exemestane</w:t>
      </w:r>
    </w:p>
    <w:p w14:paraId="78EFA699" w14:textId="77777777" w:rsidR="0059437A" w:rsidRPr="00C01031" w:rsidRDefault="0059437A" w:rsidP="0059437A">
      <w:pPr>
        <w:numPr>
          <w:ilvl w:val="1"/>
          <w:numId w:val="5"/>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ER downregulators, such as fulvestrant</w:t>
      </w:r>
    </w:p>
    <w:p w14:paraId="1CD72589" w14:textId="77777777" w:rsidR="0059437A" w:rsidRPr="00C01031" w:rsidRDefault="0059437A" w:rsidP="0059437A">
      <w:pPr>
        <w:spacing w:line="480" w:lineRule="auto"/>
        <w:ind w:left="720"/>
        <w:rPr>
          <w:rFonts w:eastAsia="Batang" w:cs="Arial"/>
          <w:color w:val="000000" w:themeColor="text1"/>
          <w:szCs w:val="20"/>
          <w:lang w:val="en-US"/>
        </w:rPr>
      </w:pPr>
      <w:r w:rsidRPr="00C01031">
        <w:rPr>
          <w:rFonts w:eastAsia="Batang" w:cs="Arial"/>
          <w:color w:val="000000" w:themeColor="text1"/>
          <w:szCs w:val="20"/>
          <w:lang w:val="en-US"/>
        </w:rPr>
        <w:t>Patients started treatment with the single hormone agent either within 15 days before randomization or after randomization, but before or simultaneously with the first injection of radium-223 or placebo</w:t>
      </w:r>
    </w:p>
    <w:p w14:paraId="04C7BD2F" w14:textId="77777777" w:rsidR="0059437A" w:rsidRPr="00C01031" w:rsidRDefault="0059437A" w:rsidP="0059437A">
      <w:pPr>
        <w:spacing w:line="480" w:lineRule="auto"/>
        <w:rPr>
          <w:rFonts w:eastAsia="Batang" w:cs="Arial"/>
          <w:color w:val="000000" w:themeColor="text1"/>
          <w:szCs w:val="20"/>
          <w:lang w:val="en-US"/>
        </w:rPr>
      </w:pPr>
    </w:p>
    <w:p w14:paraId="7DB16154" w14:textId="77777777" w:rsidR="0059437A" w:rsidRPr="00C01031" w:rsidRDefault="0059437A" w:rsidP="0059437A">
      <w:pPr>
        <w:keepNext/>
        <w:spacing w:line="480" w:lineRule="auto"/>
        <w:rPr>
          <w:rFonts w:eastAsia="Batang" w:cs="Arial"/>
          <w:b/>
          <w:bCs/>
          <w:i/>
          <w:iCs/>
          <w:color w:val="000000" w:themeColor="text1"/>
          <w:szCs w:val="20"/>
          <w:lang w:val="en-US"/>
        </w:rPr>
      </w:pPr>
      <w:r w:rsidRPr="00C01031">
        <w:rPr>
          <w:rFonts w:eastAsia="Batang" w:cs="Arial"/>
          <w:b/>
          <w:bCs/>
          <w:i/>
          <w:iCs/>
          <w:color w:val="000000" w:themeColor="text1"/>
          <w:szCs w:val="20"/>
          <w:lang w:val="en-US"/>
        </w:rPr>
        <w:t>Study B-specific inclusion criteria</w:t>
      </w:r>
    </w:p>
    <w:p w14:paraId="18EFC8A2" w14:textId="77777777" w:rsidR="0059437A" w:rsidRPr="00C01031" w:rsidRDefault="0059437A" w:rsidP="0059437A">
      <w:pPr>
        <w:numPr>
          <w:ilvl w:val="0"/>
          <w:numId w:val="6"/>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 xml:space="preserve">Recurrent or progressive disease following treatment </w:t>
      </w:r>
      <w:r w:rsidRPr="00C01031">
        <w:rPr>
          <w:rFonts w:eastAsia="Batang" w:cs="Arial"/>
          <w:color w:val="000000" w:themeColor="text1"/>
          <w:szCs w:val="20"/>
          <w:lang w:val="en-US"/>
        </w:rPr>
        <w:t>with a nonsteroidal aromatase inhibitor (anastrozole or letrozole) in an adjuvant or metastatic setting</w:t>
      </w:r>
    </w:p>
    <w:p w14:paraId="41F09EBB" w14:textId="77777777" w:rsidR="0059437A" w:rsidRPr="00C01031" w:rsidRDefault="0059437A" w:rsidP="0059437A">
      <w:pPr>
        <w:numPr>
          <w:ilvl w:val="0"/>
          <w:numId w:val="6"/>
        </w:numPr>
        <w:spacing w:line="480" w:lineRule="auto"/>
        <w:contextualSpacing/>
        <w:rPr>
          <w:rFonts w:eastAsia="Batang" w:cs="Arial"/>
          <w:color w:val="000000" w:themeColor="text1"/>
          <w:spacing w:val="-4"/>
          <w:szCs w:val="20"/>
          <w:lang w:val="en-US"/>
        </w:rPr>
      </w:pPr>
      <w:r w:rsidRPr="00C01031">
        <w:rPr>
          <w:rFonts w:eastAsia="Batang" w:cs="Arial"/>
          <w:i/>
          <w:iCs/>
          <w:color w:val="000000" w:themeColor="text1"/>
          <w:spacing w:val="-4"/>
          <w:szCs w:val="20"/>
          <w:lang w:val="en-US"/>
        </w:rPr>
        <w:t>Eligibility, on the investigator’s assessment and according to the local label, for treatment with exemestane and everolimus</w:t>
      </w:r>
      <w:r w:rsidRPr="00C01031">
        <w:rPr>
          <w:rFonts w:eastAsia="Batang" w:cs="Arial"/>
          <w:color w:val="000000" w:themeColor="text1"/>
          <w:spacing w:val="-4"/>
          <w:szCs w:val="20"/>
          <w:lang w:val="en-US"/>
        </w:rPr>
        <w:t xml:space="preserve"> as a second or later line of hormone therapy in a metastatic setting</w:t>
      </w:r>
    </w:p>
    <w:p w14:paraId="47064865" w14:textId="77777777" w:rsidR="0059437A" w:rsidRPr="00C01031" w:rsidRDefault="0059437A" w:rsidP="0059437A">
      <w:pPr>
        <w:spacing w:line="480" w:lineRule="auto"/>
        <w:rPr>
          <w:rFonts w:eastAsia="Batang" w:cs="Arial"/>
          <w:b/>
          <w:bCs/>
          <w:color w:val="000000" w:themeColor="text1"/>
          <w:szCs w:val="20"/>
          <w:lang w:val="en-US"/>
        </w:rPr>
      </w:pPr>
    </w:p>
    <w:p w14:paraId="57142A13" w14:textId="77777777" w:rsidR="0059437A" w:rsidRPr="00C01031" w:rsidRDefault="0059437A" w:rsidP="00CE3621">
      <w:pPr>
        <w:pStyle w:val="Head2"/>
        <w:rPr>
          <w:color w:val="000000" w:themeColor="text1"/>
        </w:rPr>
      </w:pPr>
      <w:bookmarkStart w:id="5" w:name="_Toc131600505"/>
      <w:r w:rsidRPr="00C01031">
        <w:rPr>
          <w:color w:val="000000" w:themeColor="text1"/>
        </w:rPr>
        <w:t>Exclusion criteria</w:t>
      </w:r>
      <w:bookmarkEnd w:id="5"/>
    </w:p>
    <w:p w14:paraId="3B9EFD82" w14:textId="77777777" w:rsidR="0059437A" w:rsidRPr="00C01031" w:rsidRDefault="0059437A" w:rsidP="0059437A">
      <w:pPr>
        <w:keepNext/>
        <w:spacing w:line="480" w:lineRule="auto"/>
        <w:rPr>
          <w:rFonts w:eastAsia="Batang" w:cs="Arial"/>
          <w:b/>
          <w:bCs/>
          <w:i/>
          <w:iCs/>
          <w:color w:val="000000" w:themeColor="text1"/>
          <w:szCs w:val="20"/>
          <w:lang w:val="en-US"/>
        </w:rPr>
      </w:pPr>
      <w:r w:rsidRPr="00C01031">
        <w:rPr>
          <w:rFonts w:eastAsia="Batang" w:cs="Arial"/>
          <w:b/>
          <w:bCs/>
          <w:i/>
          <w:iCs/>
          <w:color w:val="000000" w:themeColor="text1"/>
          <w:szCs w:val="20"/>
          <w:lang w:val="en-US"/>
        </w:rPr>
        <w:t>Both studies</w:t>
      </w:r>
    </w:p>
    <w:p w14:paraId="5D703F90" w14:textId="77777777" w:rsidR="0059437A" w:rsidRPr="00C01031" w:rsidRDefault="0059437A" w:rsidP="0059437A">
      <w:pPr>
        <w:spacing w:line="480" w:lineRule="auto"/>
        <w:rPr>
          <w:rFonts w:eastAsia="Batang" w:cs="Arial"/>
          <w:color w:val="000000" w:themeColor="text1"/>
          <w:szCs w:val="20"/>
          <w:lang w:val="en-US"/>
        </w:rPr>
      </w:pPr>
      <w:r w:rsidRPr="00C01031">
        <w:rPr>
          <w:rFonts w:eastAsia="Batang" w:cs="Arial"/>
          <w:color w:val="000000" w:themeColor="text1"/>
          <w:szCs w:val="20"/>
          <w:lang w:val="en-US"/>
        </w:rPr>
        <w:t>Patients who met any of the following criteria were not eligible to participate in the studies.</w:t>
      </w:r>
    </w:p>
    <w:p w14:paraId="36436143"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HER2-positive breast cancer</w:t>
      </w:r>
      <w:r w:rsidRPr="00C01031">
        <w:rPr>
          <w:rFonts w:eastAsia="Batang" w:cs="Arial"/>
          <w:color w:val="000000" w:themeColor="text1"/>
          <w:szCs w:val="20"/>
          <w:lang w:val="en-US"/>
        </w:rPr>
        <w:t>: IHC 3+, positive FISH/CISH/other ISH-validated assay; equivocal or unknown HER2 status</w:t>
      </w:r>
    </w:p>
    <w:p w14:paraId="51F71B09" w14:textId="77777777" w:rsidR="0059437A" w:rsidRPr="00C01031" w:rsidRDefault="0059437A" w:rsidP="0059437A">
      <w:pPr>
        <w:numPr>
          <w:ilvl w:val="1"/>
          <w:numId w:val="4"/>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 xml:space="preserve">Patients with IHC 3+ could not be chosen, regardless of their FISH/CISH/other ISH-validated assay status; patients with positive FISH/CISH/other ISH-validated assay status also could not be chosen, irrespective of the IHC findings; patients with IHC 2+ were ineligible if no negative FISH/CISH/other ISH-validated assay for detection of </w:t>
      </w:r>
      <w:r w:rsidRPr="00C01031">
        <w:rPr>
          <w:rFonts w:eastAsia="Batang" w:cs="Arial"/>
          <w:i/>
          <w:color w:val="000000" w:themeColor="text1"/>
          <w:szCs w:val="20"/>
          <w:lang w:val="en-US"/>
        </w:rPr>
        <w:t>HER2</w:t>
      </w:r>
      <w:r w:rsidRPr="00C01031">
        <w:rPr>
          <w:rFonts w:eastAsia="Batang" w:cs="Arial"/>
          <w:color w:val="000000" w:themeColor="text1"/>
          <w:szCs w:val="20"/>
          <w:lang w:val="en-US"/>
        </w:rPr>
        <w:t xml:space="preserve"> gene expression was available</w:t>
      </w:r>
    </w:p>
    <w:p w14:paraId="0FD4FDFE"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Everolimus therapy</w:t>
      </w:r>
      <w:r w:rsidRPr="00C01031">
        <w:rPr>
          <w:rFonts w:eastAsia="Batang" w:cs="Arial"/>
          <w:color w:val="000000" w:themeColor="text1"/>
          <w:szCs w:val="20"/>
          <w:lang w:val="en-US"/>
        </w:rPr>
        <w:t>: Candidates for</w:t>
      </w:r>
      <w:r w:rsidRPr="00C01031">
        <w:rPr>
          <w:rFonts w:eastAsia="Batang" w:cs="Arial"/>
          <w:i/>
          <w:iCs/>
          <w:color w:val="000000" w:themeColor="text1"/>
          <w:szCs w:val="20"/>
          <w:lang w:val="en-US"/>
        </w:rPr>
        <w:t xml:space="preserve"> </w:t>
      </w:r>
      <w:r w:rsidRPr="00C01031">
        <w:rPr>
          <w:rFonts w:eastAsia="Batang" w:cs="Arial"/>
          <w:color w:val="000000" w:themeColor="text1"/>
          <w:szCs w:val="20"/>
          <w:lang w:val="en-US"/>
        </w:rPr>
        <w:t>everolimus as the current intervention for their metastatic breast cancer, in the opinion of the treating investigator (Study A) or prior or current everolimus therapy (Study B)</w:t>
      </w:r>
    </w:p>
    <w:p w14:paraId="7920A4F4" w14:textId="77777777" w:rsidR="0059437A" w:rsidRPr="00C01031" w:rsidRDefault="0059437A" w:rsidP="0059437A">
      <w:pPr>
        <w:numPr>
          <w:ilvl w:val="0"/>
          <w:numId w:val="4"/>
        </w:numPr>
        <w:spacing w:line="480" w:lineRule="auto"/>
        <w:contextualSpacing/>
        <w:rPr>
          <w:rFonts w:eastAsia="Batang" w:cs="Arial"/>
          <w:i/>
          <w:iCs/>
          <w:color w:val="000000" w:themeColor="text1"/>
          <w:szCs w:val="20"/>
          <w:lang w:val="en-US"/>
        </w:rPr>
      </w:pPr>
      <w:r w:rsidRPr="00C01031">
        <w:rPr>
          <w:rFonts w:eastAsia="Batang" w:cs="Arial"/>
          <w:i/>
          <w:iCs/>
          <w:color w:val="000000" w:themeColor="text1"/>
          <w:szCs w:val="20"/>
          <w:lang w:val="en-US"/>
        </w:rPr>
        <w:t>Inflammatory breast cancer</w:t>
      </w:r>
    </w:p>
    <w:p w14:paraId="746520DE" w14:textId="77777777" w:rsidR="0059437A" w:rsidRPr="00C01031" w:rsidRDefault="0059437A" w:rsidP="0059437A">
      <w:pPr>
        <w:numPr>
          <w:ilvl w:val="0"/>
          <w:numId w:val="4"/>
        </w:numPr>
        <w:spacing w:line="480" w:lineRule="auto"/>
        <w:contextualSpacing/>
        <w:rPr>
          <w:rFonts w:eastAsia="Batang" w:cs="Arial"/>
          <w:color w:val="000000" w:themeColor="text1"/>
          <w:spacing w:val="-4"/>
          <w:szCs w:val="20"/>
          <w:lang w:val="en-US"/>
        </w:rPr>
      </w:pPr>
      <w:r w:rsidRPr="00C01031">
        <w:rPr>
          <w:rFonts w:eastAsia="Batang" w:cs="Arial"/>
          <w:i/>
          <w:iCs/>
          <w:color w:val="000000" w:themeColor="text1"/>
          <w:spacing w:val="-4"/>
          <w:szCs w:val="20"/>
          <w:lang w:val="en-US"/>
        </w:rPr>
        <w:t>Chemotherapy for metastatic disease</w:t>
      </w:r>
      <w:r w:rsidRPr="00C01031">
        <w:rPr>
          <w:rFonts w:eastAsia="Batang" w:cs="Arial"/>
          <w:color w:val="000000" w:themeColor="text1"/>
          <w:spacing w:val="-4"/>
          <w:szCs w:val="20"/>
          <w:lang w:val="en-US"/>
        </w:rPr>
        <w:t>: prior chemotherapy or, in the opinion of the treating investigator, appropriate candidates for chemotherapy as the current intervention for their metastatic breast cancer; chemotherapy administered for adjuvant/neoadjuvant disease was acceptable</w:t>
      </w:r>
    </w:p>
    <w:p w14:paraId="66AAEB25"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Previous untreated or concurrent cancer</w:t>
      </w:r>
      <w:r w:rsidRPr="00C01031">
        <w:rPr>
          <w:rFonts w:eastAsia="Batang" w:cs="Arial"/>
          <w:color w:val="000000" w:themeColor="text1"/>
          <w:szCs w:val="20"/>
          <w:lang w:val="en-US"/>
        </w:rPr>
        <w:t xml:space="preserve"> that was distinct in the primary site or histology from the cancer under study, except treated basal cell carcinoma or superficial bladder tumor (Ta and Tis, American Joint Committee on Cancer, 7th edition). Patients surviving a cancer that was curatively treated and without evidence of disease for &gt;3 years before enrollment could be included. All cancer treatments must have been completed ≥3 years before study entry [i.e., signature date of the informed consent form (ICF)]</w:t>
      </w:r>
    </w:p>
    <w:p w14:paraId="460BC614"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Patients with known, or a history of, brain metastases or leptomeningeal disease</w:t>
      </w:r>
      <w:r w:rsidRPr="00C01031">
        <w:rPr>
          <w:rFonts w:eastAsia="Batang" w:cs="Arial"/>
          <w:color w:val="000000" w:themeColor="text1"/>
          <w:szCs w:val="20"/>
          <w:lang w:val="en-US"/>
        </w:rPr>
        <w:t>: Patients with neurologic symptoms had to have contrast CT/MRI of the brain within 28 days before randomization to exclude active brain metastases; imaging of the central nervous system was otherwise not required</w:t>
      </w:r>
    </w:p>
    <w:p w14:paraId="4CBACCB9"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Imminent or established untreated spinal cord compression</w:t>
      </w:r>
      <w:r w:rsidRPr="00C01031">
        <w:rPr>
          <w:rFonts w:eastAsia="Batang" w:cs="Arial"/>
          <w:color w:val="000000" w:themeColor="text1"/>
          <w:szCs w:val="20"/>
          <w:lang w:val="en-US"/>
        </w:rPr>
        <w:t>, based on clinical findings and/or MRI; following treatment of spinal cord compression, patients could be eligible for inclusion if all other eligibility criteria were satisfied</w:t>
      </w:r>
    </w:p>
    <w:p w14:paraId="354CBEC8" w14:textId="77777777" w:rsidR="0059437A" w:rsidRPr="00C01031" w:rsidRDefault="0059437A" w:rsidP="0059437A">
      <w:pPr>
        <w:numPr>
          <w:ilvl w:val="0"/>
          <w:numId w:val="4"/>
        </w:numPr>
        <w:spacing w:line="480" w:lineRule="auto"/>
        <w:contextualSpacing/>
        <w:rPr>
          <w:rFonts w:eastAsia="Batang" w:cs="Arial"/>
          <w:i/>
          <w:iCs/>
          <w:color w:val="000000" w:themeColor="text1"/>
          <w:szCs w:val="20"/>
          <w:lang w:val="en-US"/>
        </w:rPr>
      </w:pPr>
      <w:r w:rsidRPr="00C01031">
        <w:rPr>
          <w:rFonts w:eastAsia="Batang" w:cs="Arial"/>
          <w:i/>
          <w:iCs/>
          <w:color w:val="000000" w:themeColor="text1"/>
          <w:szCs w:val="20"/>
          <w:lang w:val="en-US"/>
        </w:rPr>
        <w:t>Prior treatment with radium-223</w:t>
      </w:r>
    </w:p>
    <w:p w14:paraId="5C3FD5DF"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Prior hemibody external radiotherapy</w:t>
      </w:r>
      <w:r w:rsidRPr="00C01031">
        <w:rPr>
          <w:rFonts w:eastAsia="Batang" w:cs="Arial"/>
          <w:color w:val="000000" w:themeColor="text1"/>
          <w:szCs w:val="20"/>
          <w:lang w:val="en-US"/>
        </w:rPr>
        <w:t>: Patients who received other types of prior external radiotherapy could be included, if bone marrow function was assessed and met the protocol requirements for Hb, ANC, and platelets</w:t>
      </w:r>
    </w:p>
    <w:p w14:paraId="17FCB656" w14:textId="77777777" w:rsidR="0059437A" w:rsidRPr="00C01031" w:rsidRDefault="0059437A" w:rsidP="0059437A">
      <w:pPr>
        <w:numPr>
          <w:ilvl w:val="0"/>
          <w:numId w:val="4"/>
        </w:numPr>
        <w:spacing w:line="480" w:lineRule="auto"/>
        <w:contextualSpacing/>
        <w:rPr>
          <w:rFonts w:eastAsia="Batang" w:cs="Arial"/>
          <w:color w:val="000000" w:themeColor="text1"/>
          <w:spacing w:val="-4"/>
          <w:szCs w:val="20"/>
          <w:lang w:val="en-US"/>
        </w:rPr>
      </w:pPr>
      <w:r w:rsidRPr="00C01031">
        <w:rPr>
          <w:rFonts w:eastAsia="Batang" w:cs="Arial"/>
          <w:i/>
          <w:iCs/>
          <w:color w:val="000000" w:themeColor="text1"/>
          <w:spacing w:val="-4"/>
          <w:szCs w:val="20"/>
          <w:lang w:val="en-US"/>
        </w:rPr>
        <w:t>Prior systemic radiotherapy</w:t>
      </w:r>
      <w:r w:rsidRPr="00C01031">
        <w:rPr>
          <w:rFonts w:eastAsia="Batang" w:cs="Arial"/>
          <w:color w:val="000000" w:themeColor="text1"/>
          <w:spacing w:val="-4"/>
          <w:szCs w:val="20"/>
          <w:lang w:val="en-US"/>
        </w:rPr>
        <w:t xml:space="preserve"> with strontium-89, samarium-153, rhenium-186, or rhenium-188</w:t>
      </w:r>
    </w:p>
    <w:p w14:paraId="54EBD16A"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Eastern Cooperative Oncology Group performance status (ECOG PS)</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≥2</w:t>
      </w:r>
    </w:p>
    <w:p w14:paraId="75CDB6FB"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Blood transfusions, platelet transfusions, or use of erythropoietin</w:t>
      </w:r>
      <w:r w:rsidRPr="00C01031">
        <w:rPr>
          <w:rFonts w:eastAsia="Batang" w:cs="Arial"/>
          <w:color w:val="000000" w:themeColor="text1"/>
          <w:szCs w:val="20"/>
          <w:lang w:val="en-US"/>
        </w:rPr>
        <w:t xml:space="preserve"> within 4 weeks before randomization</w:t>
      </w:r>
    </w:p>
    <w:p w14:paraId="6FF1B577"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Use of biologic response modifiers</w:t>
      </w:r>
      <w:r w:rsidRPr="00C01031">
        <w:rPr>
          <w:rFonts w:eastAsia="Batang" w:cs="Arial"/>
          <w:color w:val="000000" w:themeColor="text1"/>
          <w:szCs w:val="20"/>
          <w:lang w:val="en-US"/>
        </w:rPr>
        <w:t>, such as granulocyte macrophage-colony stimulating factor or granulocyte-colony stimulating factor, within 4 weeks before randomization</w:t>
      </w:r>
    </w:p>
    <w:p w14:paraId="26CB80DB"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Administration of an investigational drug or any anticancer treatment</w:t>
      </w:r>
      <w:r w:rsidRPr="00C01031">
        <w:rPr>
          <w:rFonts w:eastAsia="Batang" w:cs="Arial"/>
          <w:color w:val="000000" w:themeColor="text1"/>
          <w:szCs w:val="20"/>
          <w:lang w:val="en-US"/>
        </w:rPr>
        <w:t xml:space="preserve"> within 4 weeks before randomization</w:t>
      </w:r>
    </w:p>
    <w:p w14:paraId="681B1751"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Chronic conditions associated with non-malignant abnormal bone growth</w:t>
      </w:r>
      <w:r w:rsidRPr="00C01031">
        <w:rPr>
          <w:rFonts w:eastAsia="Batang" w:cs="Arial"/>
          <w:color w:val="000000" w:themeColor="text1"/>
          <w:szCs w:val="20"/>
          <w:lang w:val="en-US"/>
        </w:rPr>
        <w:t xml:space="preserve"> (e.g., confirmed Paget’s disease of bone)</w:t>
      </w:r>
    </w:p>
    <w:p w14:paraId="725A5C62"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Any other serious illness or medical condition,</w:t>
      </w:r>
      <w:r w:rsidRPr="00C01031">
        <w:rPr>
          <w:rFonts w:eastAsia="Batang" w:cs="Arial"/>
          <w:color w:val="000000" w:themeColor="text1"/>
          <w:szCs w:val="20"/>
          <w:lang w:val="en-US"/>
        </w:rPr>
        <w:t xml:space="preserve"> such as, but not limited to:</w:t>
      </w:r>
    </w:p>
    <w:p w14:paraId="0F971344" w14:textId="77777777" w:rsidR="0059437A" w:rsidRPr="00C01031" w:rsidRDefault="0059437A" w:rsidP="0059437A">
      <w:pPr>
        <w:numPr>
          <w:ilvl w:val="1"/>
          <w:numId w:val="4"/>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Any uncontrolled infection</w:t>
      </w:r>
    </w:p>
    <w:p w14:paraId="31CACE54" w14:textId="77777777" w:rsidR="0059437A" w:rsidRPr="00C01031" w:rsidRDefault="0059437A" w:rsidP="0059437A">
      <w:pPr>
        <w:numPr>
          <w:ilvl w:val="1"/>
          <w:numId w:val="4"/>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New York Heart Association class III or IV cardiac failure</w:t>
      </w:r>
    </w:p>
    <w:p w14:paraId="4C5A2FF3" w14:textId="77777777" w:rsidR="0059437A" w:rsidRPr="00C01031" w:rsidRDefault="0059437A" w:rsidP="0059437A">
      <w:pPr>
        <w:numPr>
          <w:ilvl w:val="1"/>
          <w:numId w:val="4"/>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Crohn’s disease or ulcerative colitis</w:t>
      </w:r>
    </w:p>
    <w:p w14:paraId="3AEE6966" w14:textId="77777777" w:rsidR="0059437A" w:rsidRPr="00C01031" w:rsidRDefault="0059437A" w:rsidP="0059437A">
      <w:pPr>
        <w:numPr>
          <w:ilvl w:val="1"/>
          <w:numId w:val="4"/>
        </w:numPr>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Bone marrow dysplasia</w:t>
      </w:r>
    </w:p>
    <w:p w14:paraId="674E4C03" w14:textId="77777777" w:rsidR="0059437A" w:rsidRPr="00C01031" w:rsidRDefault="0059437A" w:rsidP="0059437A">
      <w:pPr>
        <w:numPr>
          <w:ilvl w:val="0"/>
          <w:numId w:val="4"/>
        </w:numPr>
        <w:spacing w:line="480" w:lineRule="auto"/>
        <w:contextualSpacing/>
        <w:rPr>
          <w:rFonts w:eastAsia="Batang" w:cs="Arial"/>
          <w:i/>
          <w:iCs/>
          <w:color w:val="000000" w:themeColor="text1"/>
          <w:szCs w:val="20"/>
          <w:lang w:val="en-US"/>
        </w:rPr>
      </w:pPr>
      <w:r w:rsidRPr="00C01031">
        <w:rPr>
          <w:rFonts w:eastAsia="Batang" w:cs="Arial"/>
          <w:i/>
          <w:iCs/>
          <w:color w:val="000000" w:themeColor="text1"/>
          <w:szCs w:val="20"/>
          <w:lang w:val="en-US"/>
        </w:rPr>
        <w:t>Previous assignment to treatment in this study</w:t>
      </w:r>
    </w:p>
    <w:p w14:paraId="41C706C0"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Breastfeeding</w:t>
      </w:r>
    </w:p>
    <w:p w14:paraId="0B5AD0AA"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Hypersensitivity</w:t>
      </w:r>
      <w:r w:rsidRPr="00C01031">
        <w:rPr>
          <w:rFonts w:eastAsia="Batang" w:cs="Arial"/>
          <w:color w:val="000000" w:themeColor="text1"/>
          <w:szCs w:val="20"/>
          <w:lang w:val="en-US"/>
        </w:rPr>
        <w:t xml:space="preserve"> to any substance used in this study (e.g., radium-223, exemestane, everolimus, or other rapamycin derivatives) or its excipients</w:t>
      </w:r>
    </w:p>
    <w:p w14:paraId="3603C63A" w14:textId="77777777" w:rsidR="0059437A" w:rsidRPr="00C01031" w:rsidRDefault="0059437A" w:rsidP="0059437A">
      <w:pPr>
        <w:numPr>
          <w:ilvl w:val="0"/>
          <w:numId w:val="4"/>
        </w:numPr>
        <w:spacing w:line="480" w:lineRule="auto"/>
        <w:contextualSpacing/>
        <w:rPr>
          <w:rFonts w:eastAsia="Batang" w:cs="Arial"/>
          <w:i/>
          <w:iCs/>
          <w:color w:val="000000" w:themeColor="text1"/>
          <w:szCs w:val="20"/>
          <w:lang w:val="en-US"/>
        </w:rPr>
      </w:pPr>
      <w:r w:rsidRPr="00C01031">
        <w:rPr>
          <w:rFonts w:eastAsia="Batang" w:cs="Arial"/>
          <w:i/>
          <w:iCs/>
          <w:color w:val="000000" w:themeColor="text1"/>
          <w:szCs w:val="20"/>
          <w:lang w:val="en-US"/>
        </w:rPr>
        <w:t>Osteonecrosis of the jaw</w:t>
      </w:r>
    </w:p>
    <w:p w14:paraId="49D868F3"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Immediately life-threatening visceral disease</w:t>
      </w:r>
      <w:r w:rsidRPr="00C01031">
        <w:rPr>
          <w:rFonts w:eastAsia="Batang" w:cs="Arial"/>
          <w:color w:val="000000" w:themeColor="text1"/>
          <w:szCs w:val="20"/>
          <w:lang w:val="en-US"/>
        </w:rPr>
        <w:t>, for which chemotherapy was the preferred treatment option</w:t>
      </w:r>
    </w:p>
    <w:p w14:paraId="0E3F0FDE"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Lymphangitic</w:t>
      </w:r>
      <w:r w:rsidRPr="00C01031">
        <w:rPr>
          <w:rFonts w:eastAsia="Batang" w:cs="Arial"/>
          <w:color w:val="000000" w:themeColor="text1"/>
          <w:szCs w:val="20"/>
          <w:lang w:val="en-US"/>
        </w:rPr>
        <w:t xml:space="preserve"> </w:t>
      </w:r>
      <w:r w:rsidRPr="00C01031">
        <w:rPr>
          <w:rFonts w:eastAsia="Batang" w:cs="Arial"/>
          <w:i/>
          <w:iCs/>
          <w:color w:val="000000" w:themeColor="text1"/>
          <w:szCs w:val="20"/>
          <w:lang w:val="en-US"/>
        </w:rPr>
        <w:t>carcinomatosis</w:t>
      </w:r>
    </w:p>
    <w:p w14:paraId="2450661B" w14:textId="77777777" w:rsidR="0059437A" w:rsidRPr="00C01031" w:rsidRDefault="0059437A" w:rsidP="0059437A">
      <w:pPr>
        <w:numPr>
          <w:ilvl w:val="0"/>
          <w:numId w:val="4"/>
        </w:numPr>
        <w:spacing w:line="480" w:lineRule="auto"/>
        <w:contextualSpacing/>
        <w:rPr>
          <w:rFonts w:eastAsia="Batang" w:cs="Arial"/>
          <w:color w:val="000000" w:themeColor="text1"/>
          <w:szCs w:val="20"/>
          <w:lang w:val="en-US"/>
        </w:rPr>
      </w:pPr>
      <w:r w:rsidRPr="00C01031">
        <w:rPr>
          <w:rFonts w:eastAsia="Batang" w:cs="Arial"/>
          <w:i/>
          <w:iCs/>
          <w:color w:val="000000" w:themeColor="text1"/>
          <w:szCs w:val="20"/>
          <w:lang w:val="en-US"/>
        </w:rPr>
        <w:t>Ascites requiring paracentesis</w:t>
      </w:r>
      <w:r w:rsidRPr="00C01031">
        <w:rPr>
          <w:rFonts w:eastAsia="Batang" w:cs="Arial"/>
          <w:color w:val="000000" w:themeColor="text1"/>
          <w:szCs w:val="20"/>
          <w:lang w:val="en-US"/>
        </w:rPr>
        <w:t xml:space="preserve"> within 2 weeks before study entry (i.e., signature date of the ICF) or during the screening period</w:t>
      </w:r>
    </w:p>
    <w:p w14:paraId="3B69E4F6"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All local-label-specific criteria for the standard-of-care hormonal treatment, bisphosphonates, and denosumab applied. Patients were treated according to the local standard-of-care requirements.</w:t>
      </w:r>
    </w:p>
    <w:p w14:paraId="68819252" w14:textId="77777777" w:rsidR="0059437A" w:rsidRPr="00C01031" w:rsidRDefault="0059437A" w:rsidP="0059437A">
      <w:pPr>
        <w:snapToGrid w:val="0"/>
        <w:spacing w:line="480" w:lineRule="auto"/>
        <w:rPr>
          <w:rFonts w:eastAsia="Batang" w:cs="Arial"/>
          <w:color w:val="000000" w:themeColor="text1"/>
          <w:szCs w:val="20"/>
          <w:lang w:val="en-US"/>
        </w:rPr>
      </w:pPr>
    </w:p>
    <w:p w14:paraId="4DD755A4" w14:textId="77777777" w:rsidR="0059437A" w:rsidRPr="00C01031" w:rsidRDefault="0059437A" w:rsidP="00CE3621">
      <w:pPr>
        <w:pStyle w:val="Head2"/>
        <w:rPr>
          <w:color w:val="000000" w:themeColor="text1"/>
        </w:rPr>
      </w:pPr>
      <w:bookmarkStart w:id="6" w:name="_Toc131600506"/>
      <w:r w:rsidRPr="00C01031">
        <w:rPr>
          <w:color w:val="000000" w:themeColor="text1"/>
        </w:rPr>
        <w:t>Study interventions</w:t>
      </w:r>
      <w:bookmarkEnd w:id="6"/>
      <w:r w:rsidRPr="00C01031">
        <w:rPr>
          <w:color w:val="000000" w:themeColor="text1"/>
        </w:rPr>
        <w:t xml:space="preserve"> </w:t>
      </w:r>
    </w:p>
    <w:p w14:paraId="58FD4619" w14:textId="77777777" w:rsidR="0059437A" w:rsidRPr="00C01031" w:rsidRDefault="0059437A" w:rsidP="0059437A">
      <w:pPr>
        <w:keepNext/>
        <w:spacing w:line="480" w:lineRule="auto"/>
        <w:rPr>
          <w:rFonts w:eastAsia="Batang" w:cs="Arial"/>
          <w:b/>
          <w:bCs/>
          <w:i/>
          <w:iCs/>
          <w:color w:val="000000" w:themeColor="text1"/>
          <w:szCs w:val="20"/>
          <w:lang w:val="en-US"/>
        </w:rPr>
      </w:pPr>
      <w:r w:rsidRPr="00C01031">
        <w:rPr>
          <w:rFonts w:eastAsia="Batang" w:cs="Arial"/>
          <w:b/>
          <w:bCs/>
          <w:i/>
          <w:iCs/>
          <w:color w:val="000000" w:themeColor="text1"/>
          <w:szCs w:val="20"/>
          <w:lang w:val="en-US"/>
        </w:rPr>
        <w:t>Both studies</w:t>
      </w:r>
    </w:p>
    <w:p w14:paraId="07771EE7"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All study drugs were labeled according to the requirements of local law and legislation. Label text was approved according to the sponsor’s agreed procedures, and a copy of the labels was made available to the study site upon request. For all study drugs provided by the sponsor, a system of numbering in accordance with all requirements of Good Manufacturing Practice was used, ensuring that each dose of study drug could be traced back to the respective bulk source of the ingredients. Lists linking all numbering levels were maintained by the sponsor’s clinical supplies quality assurance group. For all sponsor-supplied study drugs, lists linking all numbering levels were maintained by the sponsor.</w:t>
      </w:r>
    </w:p>
    <w:p w14:paraId="7FE93405" w14:textId="77777777" w:rsidR="0059437A" w:rsidRPr="00C01031" w:rsidRDefault="0059437A" w:rsidP="0059437A">
      <w:pPr>
        <w:snapToGrid w:val="0"/>
        <w:spacing w:line="480" w:lineRule="auto"/>
        <w:rPr>
          <w:rFonts w:eastAsia="Batang" w:cs="Arial"/>
          <w:i/>
          <w:iCs/>
          <w:color w:val="000000" w:themeColor="text1"/>
          <w:szCs w:val="20"/>
          <w:lang w:val="en-US"/>
        </w:rPr>
      </w:pPr>
    </w:p>
    <w:p w14:paraId="307D952F" w14:textId="77777777" w:rsidR="0059437A" w:rsidRPr="00C01031" w:rsidRDefault="0059437A" w:rsidP="0059437A">
      <w:pPr>
        <w:snapToGrid w:val="0"/>
        <w:spacing w:line="480" w:lineRule="auto"/>
        <w:rPr>
          <w:rFonts w:eastAsia="Batang" w:cs="Arial"/>
          <w:i/>
          <w:iCs/>
          <w:color w:val="000000" w:themeColor="text1"/>
          <w:szCs w:val="20"/>
          <w:lang w:val="en-US"/>
        </w:rPr>
      </w:pPr>
      <w:r w:rsidRPr="00C01031">
        <w:rPr>
          <w:rFonts w:eastAsia="Batang" w:cs="Arial"/>
          <w:i/>
          <w:iCs/>
          <w:color w:val="000000" w:themeColor="text1"/>
          <w:szCs w:val="20"/>
          <w:lang w:val="en-US"/>
        </w:rPr>
        <w:t>Radium-223 dichloride</w:t>
      </w:r>
    </w:p>
    <w:p w14:paraId="5CD0FF2B" w14:textId="77777777" w:rsidR="0059437A" w:rsidRPr="00C01031" w:rsidRDefault="0059437A" w:rsidP="0059437A">
      <w:pPr>
        <w:snapToGrid w:val="0"/>
        <w:spacing w:line="480" w:lineRule="auto"/>
        <w:rPr>
          <w:rFonts w:eastAsia="Batang" w:cs="Arial"/>
          <w:color w:val="000000" w:themeColor="text1"/>
          <w:spacing w:val="-4"/>
          <w:szCs w:val="20"/>
          <w:lang w:val="en-US"/>
        </w:rPr>
      </w:pPr>
      <w:r w:rsidRPr="00C01031">
        <w:rPr>
          <w:rFonts w:eastAsia="Batang" w:cs="Arial"/>
          <w:color w:val="000000" w:themeColor="text1"/>
          <w:spacing w:val="-4"/>
          <w:szCs w:val="20"/>
          <w:lang w:val="en-US"/>
        </w:rPr>
        <w:t>The alpha particle-emitting radiopharmaceutical radium-223, manufactured by Bayer HealthCare, was a sterile, non-pyrogenic, clear, and colorless aqueous solution of radium-223 dichloride for intravenous administration. Radium-223 dichloride was produced according to Good Manufacturing Practice and was delivered in a glass vial, ready to use, and with a certified activity. Radium-223 dichloride had a physical half-life of 11.4 days. The product was isotonic and had a pH of 6.0–8.0. The radioactive concentration at the reference date was 1100 kBq/ml. The product had a precalibration of 14 days. When administered on a day other than the reference day, the volume was corrected according to the physical decay table supplied with each shipment. The radiopharmaceutical was shipped in a lead container as a Type A radioactive package, according to international transportation guidelines for radioactive materials. The volume per vial was 6 ml, corresponding to 6 MBq at the calibration reference day. Radium-223 dichloride had a shelf life of 28 days from the production day when stored at ambient temperature. The shelf life was demonstrated for temperatures from cold storage (2–8°C) up to 40°C; product quality was not jeopardized by freezing. Study sites in the USA could have a patient-ready dose (PRD) prepared by a radiopharmacy (Cardinal Health), with doses delivered to the study sites in prefilled syringes. Unless otherwise agreed, in cases where study drug had been ordered, the time window for administration was within 3 days of the planned treatment day. If administration was postponed for &gt;3 days, replacement of the drug order was required.</w:t>
      </w:r>
    </w:p>
    <w:p w14:paraId="58D9FF51" w14:textId="77777777" w:rsidR="0059437A" w:rsidRPr="00C01031" w:rsidRDefault="0059437A" w:rsidP="0059437A">
      <w:pPr>
        <w:snapToGrid w:val="0"/>
        <w:spacing w:line="480" w:lineRule="auto"/>
        <w:rPr>
          <w:rFonts w:eastAsia="Batang" w:cs="Arial"/>
          <w:color w:val="000000" w:themeColor="text1"/>
          <w:szCs w:val="20"/>
          <w:u w:val="single"/>
          <w:lang w:val="en-US"/>
        </w:rPr>
      </w:pPr>
    </w:p>
    <w:p w14:paraId="3E24B971"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Drug administration</w:t>
      </w:r>
    </w:p>
    <w:p w14:paraId="21EAF6EC"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Written information about radium-223 and instructions about handling and injection of radioactive material were provided to study personnel. In general, the administration of radioactive drugs involves a potential risk for third parties, due to radiation from patients and possible contamination from spilled urine or feces. When radium-223 was injected intravenously into a patient, the risk of external radiation exposure to third parties was extremely low, due to the short range of the alpha particles (&lt;100 μm) and the low portion of beta and gamma radiation. Thus, the product could be administered on an outpatient basis. To minimize the risk of contamination, patients and caregivers received oral and written instructions regarding hygiene precautions following administration of a radioactive drug, according to the investigational study site radiation protection guidelines. These instructions were given to all patients, as neither the principal investigator nor the patients knew the assignment to radium­223 or placebo injections.</w:t>
      </w:r>
    </w:p>
    <w:p w14:paraId="4E0F9187" w14:textId="77777777" w:rsidR="0059437A" w:rsidRPr="00C01031" w:rsidRDefault="0059437A" w:rsidP="0059437A">
      <w:pPr>
        <w:spacing w:line="480" w:lineRule="auto"/>
        <w:ind w:firstLine="567"/>
        <w:rPr>
          <w:rFonts w:eastAsia="Batang" w:cs="Arial"/>
          <w:color w:val="000000" w:themeColor="text1"/>
          <w:szCs w:val="20"/>
          <w:lang w:val="en-US"/>
        </w:rPr>
      </w:pPr>
      <w:r w:rsidRPr="00C01031">
        <w:rPr>
          <w:rFonts w:eastAsia="Batang" w:cs="Arial"/>
          <w:color w:val="000000" w:themeColor="text1"/>
          <w:szCs w:val="20"/>
          <w:lang w:val="en-US"/>
        </w:rPr>
        <w:t>The study medication was administered as a slow bolus intravenous injection. The actual radioactivity administered was within the tolerance limits of ±10% of the calculated radioactivity. Every effort was made to administer the full dosing regimen, and single dose level adjustments of radium-223 or placebo were not permitted. After administration, the equipment used in connection with preparation and administration of the study drug was treated as radioactive waste and disposed of in accordance with hospital procedure for the handling of radioactive material and according to local laws. Written information about radium-223 dichloride and instructions for the handling and injection of radioactive materials were provided to study personnel.</w:t>
      </w:r>
    </w:p>
    <w:p w14:paraId="464EC10F" w14:textId="77777777" w:rsidR="0059437A" w:rsidRPr="00C01031" w:rsidRDefault="0059437A" w:rsidP="0059437A">
      <w:pPr>
        <w:snapToGrid w:val="0"/>
        <w:spacing w:line="480" w:lineRule="auto"/>
        <w:rPr>
          <w:rFonts w:eastAsia="Batang" w:cs="Arial"/>
          <w:color w:val="000000" w:themeColor="text1"/>
          <w:szCs w:val="20"/>
          <w:u w:val="single"/>
          <w:lang w:val="en-US"/>
        </w:rPr>
      </w:pPr>
    </w:p>
    <w:p w14:paraId="56512E32"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Dose calibration</w:t>
      </w:r>
    </w:p>
    <w:p w14:paraId="03661487" w14:textId="77777777" w:rsidR="0059437A" w:rsidRPr="00C01031" w:rsidRDefault="0059437A" w:rsidP="0059437A">
      <w:pPr>
        <w:snapToGrid w:val="0"/>
        <w:spacing w:line="480" w:lineRule="auto"/>
        <w:rPr>
          <w:rFonts w:eastAsia="Batang" w:cs="Arial"/>
          <w:color w:val="000000" w:themeColor="text1"/>
          <w:spacing w:val="-4"/>
          <w:szCs w:val="20"/>
          <w:lang w:val="en-US"/>
        </w:rPr>
      </w:pPr>
      <w:r w:rsidRPr="00C01031">
        <w:rPr>
          <w:rFonts w:eastAsia="Batang" w:cs="Arial"/>
          <w:color w:val="000000" w:themeColor="text1"/>
          <w:spacing w:val="-4"/>
          <w:szCs w:val="20"/>
          <w:lang w:val="en-US"/>
        </w:rPr>
        <w:t>Radium-223 was measured in a normal dose calibrator instrument. When all required written approvals for the use and handling of radium-223 from the Radiation Protection Agency for the specific site had been received by the sponsor, a vial of radium-223 dichloride for technical use was sent to the study site. Different clinical study sites have dose calibrators from different suppliers; thus, the isotope calibration factor differed from site to site. Consequently, each site performed the radium-223 dial setting on their relevant dose calibrators if no isotope calibration factor for radium-223 was provided by the vendor of the dose calibrator. For dial setting, the clinical study site received a sealed vial or a prefilled syringe containing a radium-223 solution for calibration only. The vial or syringe was identical to the vials/syringes used for study treatment. The amount of radium-223 in the vial/syringe was stated on the label. Instructions for the dial setting, including the calibration log form, were enclosed with the dispatch of the calibration sample.</w:t>
      </w:r>
    </w:p>
    <w:p w14:paraId="7E2E22C8" w14:textId="77777777" w:rsidR="0059437A" w:rsidRPr="00C01031" w:rsidRDefault="0059437A" w:rsidP="0059437A">
      <w:pPr>
        <w:snapToGrid w:val="0"/>
        <w:spacing w:line="480" w:lineRule="auto"/>
        <w:rPr>
          <w:rFonts w:eastAsia="Batang" w:cs="Arial"/>
          <w:color w:val="000000" w:themeColor="text1"/>
          <w:szCs w:val="20"/>
          <w:u w:val="single"/>
          <w:lang w:val="en-US"/>
        </w:rPr>
      </w:pPr>
    </w:p>
    <w:p w14:paraId="4AF94525" w14:textId="77777777" w:rsidR="0059437A" w:rsidRPr="00C01031" w:rsidRDefault="0059437A" w:rsidP="0059437A">
      <w:pPr>
        <w:suppressLineNumbers/>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Dose handling</w:t>
      </w:r>
    </w:p>
    <w:p w14:paraId="57DE8B42"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At least two unblinded study personnel were nominated at each study site. The primary dedicated unblinded person (“the unblinded person”), who had the responsibility delegated from the principal investigator, was responsible for the safe handling and storage of radium-223 dichloride and placebo control. The unblinded person was also responsible for correctly receiving and recording the delivery of radium-223 dichloride. At least one deputy unblinded person was also nominated. Radium-223 was handled by individuals who were qualified by training and experience in the safe handling of radionuclides. The radium-223 vials or PRDs were stored inside their lead containers in a secure facility. The study drug was used within 28 days of production or before the expiry date specified for PRDs. Control measurements of both the radium-223 dichloride vial (before and after dispensing) and syringes (before and after administration) were performed as part of the clinical study documentation. Because PRDs were prepared at the country depot, relevant procedures were recorded by the country depot staff. All administrations of radium-223 dichloride were based on the certified activity of radium-223 at the reference date. All documentation that contained unblinded information was kept by the unblinded persons and not shared with the other study site personnel during the conduct of the study.</w:t>
      </w:r>
    </w:p>
    <w:p w14:paraId="0F91559F" w14:textId="77777777" w:rsidR="0059437A" w:rsidRPr="00C01031" w:rsidRDefault="0059437A" w:rsidP="0059437A">
      <w:pPr>
        <w:snapToGrid w:val="0"/>
        <w:spacing w:line="480" w:lineRule="auto"/>
        <w:rPr>
          <w:rFonts w:eastAsia="Batang" w:cs="Arial"/>
          <w:color w:val="000000" w:themeColor="text1"/>
          <w:szCs w:val="20"/>
          <w:u w:val="single"/>
          <w:lang w:val="en-US"/>
        </w:rPr>
      </w:pPr>
    </w:p>
    <w:p w14:paraId="558E64CA"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Dose calculation</w:t>
      </w:r>
    </w:p>
    <w:p w14:paraId="52BD83C8"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The dosage of radium-223 dichloride was 55 kBq/kg body weight. The total activity to be injected was calculated volumetrically using the patient’s body weight (kg) within 5 days of injection, the 55 kBq/kg dosage level, and the decay correction factor (DK) to correct for physical decay of radium-223. A table with DKs according to physical decay of the study medication was provided with each vial of radium-223 dichloride. The total amount to be administered to a patient (volume to be drawn into the syringe) was calculated according to the recommended formula:</w:t>
      </w:r>
    </w:p>
    <w:p w14:paraId="4B7566CC" w14:textId="045D70D9" w:rsidR="0059437A" w:rsidRPr="00C01031" w:rsidRDefault="008F1301" w:rsidP="0059437A">
      <w:pPr>
        <w:snapToGrid w:val="0"/>
        <w:spacing w:line="480" w:lineRule="auto"/>
        <w:rPr>
          <w:rFonts w:eastAsia="Batang" w:cs="Arial"/>
          <w:color w:val="000000" w:themeColor="text1"/>
          <w:szCs w:val="20"/>
          <w:lang w:val="en-US"/>
        </w:rPr>
      </w:pPr>
      <m:oMathPara>
        <m:oMathParaPr>
          <m:jc m:val="left"/>
        </m:oMathParaPr>
        <m:oMath>
          <m:r>
            <w:rPr>
              <w:rFonts w:ascii="Cambria Math" w:hAnsi="Cambria Math"/>
              <w:color w:val="000000" w:themeColor="text1"/>
              <w:lang w:val="en-US"/>
            </w:rPr>
            <m:t xml:space="preserve">Volume to be injected </m:t>
          </m:r>
          <m:d>
            <m:dPr>
              <m:ctrlPr>
                <w:rPr>
                  <w:rFonts w:ascii="Cambria Math" w:hAnsi="Cambria Math"/>
                  <w:i/>
                  <w:color w:val="000000" w:themeColor="text1"/>
                  <w:lang w:val="en-US"/>
                </w:rPr>
              </m:ctrlPr>
            </m:dPr>
            <m:e>
              <m:r>
                <w:rPr>
                  <w:rFonts w:ascii="Cambria Math" w:hAnsi="Cambria Math"/>
                  <w:color w:val="000000" w:themeColor="text1"/>
                  <w:lang w:val="en-US"/>
                </w:rPr>
                <m:t>mL</m:t>
              </m:r>
            </m:e>
          </m:d>
          <m:r>
            <w:rPr>
              <w:rFonts w:ascii="Cambria Math" w:hAnsi="Cambria Math"/>
              <w:color w:val="000000" w:themeColor="text1"/>
              <w:lang w:val="en-US"/>
            </w:rPr>
            <m:t>=</m:t>
          </m:r>
          <m:f>
            <m:fPr>
              <m:ctrlPr>
                <w:rPr>
                  <w:rFonts w:ascii="Cambria Math" w:hAnsi="Cambria Math"/>
                  <w:i/>
                  <w:color w:val="000000" w:themeColor="text1"/>
                  <w:lang w:val="en-US"/>
                </w:rPr>
              </m:ctrlPr>
            </m:fPr>
            <m:num>
              <m:d>
                <m:dPr>
                  <m:begChr m:val="["/>
                  <m:endChr m:val="]"/>
                  <m:ctrlPr>
                    <w:rPr>
                      <w:rFonts w:ascii="Cambria Math" w:hAnsi="Cambria Math"/>
                      <w:i/>
                      <w:color w:val="000000" w:themeColor="text1"/>
                      <w:lang w:val="en-US"/>
                    </w:rPr>
                  </m:ctrlPr>
                </m:dPr>
                <m:e>
                  <m:r>
                    <w:rPr>
                      <w:rFonts w:ascii="Cambria Math" w:hAnsi="Cambria Math"/>
                      <w:color w:val="000000" w:themeColor="text1"/>
                      <w:lang w:val="en-US"/>
                    </w:rPr>
                    <m:t xml:space="preserve">Bodyweight </m:t>
                  </m:r>
                  <m:d>
                    <m:dPr>
                      <m:ctrlPr>
                        <w:rPr>
                          <w:rFonts w:ascii="Cambria Math" w:hAnsi="Cambria Math"/>
                          <w:i/>
                          <w:color w:val="000000" w:themeColor="text1"/>
                          <w:lang w:val="en-US"/>
                        </w:rPr>
                      </m:ctrlPr>
                    </m:dPr>
                    <m:e>
                      <m:r>
                        <w:rPr>
                          <w:rFonts w:ascii="Cambria Math" w:hAnsi="Cambria Math"/>
                          <w:color w:val="000000" w:themeColor="text1"/>
                          <w:lang w:val="en-US"/>
                        </w:rPr>
                        <m:t>kg</m:t>
                      </m:r>
                    </m:e>
                  </m:d>
                  <m:r>
                    <w:rPr>
                      <w:rFonts w:ascii="Cambria Math" w:hAnsi="Cambria Math"/>
                      <w:color w:val="000000" w:themeColor="text1"/>
                      <w:lang w:val="en-US"/>
                    </w:rPr>
                    <m:t xml:space="preserve"> × 55 kBq/kg</m:t>
                  </m:r>
                </m:e>
              </m:d>
            </m:num>
            <m:den>
              <m:d>
                <m:dPr>
                  <m:begChr m:val="["/>
                  <m:endChr m:val="]"/>
                  <m:ctrlPr>
                    <w:rPr>
                      <w:rFonts w:ascii="Cambria Math" w:hAnsi="Cambria Math"/>
                      <w:i/>
                      <w:color w:val="000000" w:themeColor="text1"/>
                      <w:lang w:val="en-US"/>
                    </w:rPr>
                  </m:ctrlPr>
                </m:dPr>
                <m:e>
                  <m:r>
                    <w:rPr>
                      <w:rFonts w:ascii="Cambria Math" w:hAnsi="Cambria Math"/>
                      <w:color w:val="000000" w:themeColor="text1"/>
                      <w:lang w:val="en-US"/>
                    </w:rPr>
                    <m:t>DK × 1100 kBq/mL</m:t>
                  </m:r>
                </m:e>
              </m:d>
            </m:den>
          </m:f>
        </m:oMath>
      </m:oMathPara>
    </w:p>
    <w:p w14:paraId="71F58376" w14:textId="77777777" w:rsidR="0059437A" w:rsidRPr="00C01031" w:rsidRDefault="0059437A" w:rsidP="0059437A">
      <w:pPr>
        <w:snapToGrid w:val="0"/>
        <w:spacing w:line="480" w:lineRule="auto"/>
        <w:ind w:firstLine="567"/>
        <w:rPr>
          <w:rFonts w:eastAsia="Batang" w:cs="Arial"/>
          <w:color w:val="000000" w:themeColor="text1"/>
          <w:szCs w:val="20"/>
          <w:lang w:val="en-US"/>
        </w:rPr>
      </w:pPr>
      <w:r w:rsidRPr="00C01031">
        <w:rPr>
          <w:rFonts w:eastAsia="Batang" w:cs="Arial"/>
          <w:color w:val="000000" w:themeColor="text1"/>
          <w:szCs w:val="20"/>
          <w:lang w:val="en-US"/>
        </w:rPr>
        <w:t>Site-specific volume calculation methods were acceptable as well if the patient dose was 55 kBq/kg. Data regarding activity, calculations, and volume to be injected were recorded in the investigational medicinal product (IMP) preparation log and in the study electronic data capture tool (Rave; Medidata, New York, NY, USA) by the unblinded person. This requirement applied both to doses prepared at the study site and to doses prepared by off-site vendors.</w:t>
      </w:r>
    </w:p>
    <w:p w14:paraId="72C14086" w14:textId="77777777" w:rsidR="0059437A" w:rsidRPr="00C01031" w:rsidRDefault="0059437A" w:rsidP="0059437A">
      <w:pPr>
        <w:snapToGrid w:val="0"/>
        <w:spacing w:line="480" w:lineRule="auto"/>
        <w:rPr>
          <w:rFonts w:eastAsia="Batang" w:cs="Arial"/>
          <w:color w:val="000000" w:themeColor="text1"/>
          <w:szCs w:val="20"/>
          <w:u w:val="single"/>
          <w:lang w:val="en-US"/>
        </w:rPr>
      </w:pPr>
    </w:p>
    <w:p w14:paraId="7AD53BDA"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Dose preparation</w:t>
      </w:r>
    </w:p>
    <w:p w14:paraId="61661F0B"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To keep the treating physician blinded to the assignment of study medication, the unblinded person (e.g., from the hospital pharmacy or nuclear medicine department) was responsible for calculating the dose and blinding the syringe. Data regarding activity and volume to be injected were recorded in the IMP preparation log and in the appropriate electronic case record form (eCRF), both of which were unavailable to the treating physician. Copies of the vial label and syringe serial number were attached with each entry in the IMP preparation log. Additional written instructions for study drug administration for blinded and unblinded personnel were provided. Personnel used appropriate protective clothing and equipment (laboratory coats, medical gloves/protective glasses) during syringe filling and application to prevent contamination with the radioactive solution and to reduce radiation exposure. Sites adhered to all relevant radiation safety regulations, as prescribed by local authorities administering the site radiation licenses.</w:t>
      </w:r>
    </w:p>
    <w:p w14:paraId="25C1C4C9" w14:textId="77777777" w:rsidR="0059437A" w:rsidRPr="00C01031" w:rsidRDefault="0059437A" w:rsidP="0059437A">
      <w:pPr>
        <w:snapToGrid w:val="0"/>
        <w:spacing w:line="480" w:lineRule="auto"/>
        <w:ind w:firstLine="567"/>
        <w:rPr>
          <w:rFonts w:eastAsia="Batang" w:cs="Arial"/>
          <w:color w:val="000000" w:themeColor="text1"/>
          <w:szCs w:val="20"/>
          <w:lang w:val="en-US"/>
        </w:rPr>
      </w:pPr>
      <w:r w:rsidRPr="00C01031">
        <w:rPr>
          <w:rFonts w:eastAsia="Batang" w:cs="Arial"/>
          <w:color w:val="000000" w:themeColor="text1"/>
          <w:szCs w:val="20"/>
          <w:lang w:val="en-US"/>
        </w:rPr>
        <w:t>Filling of the syringe took place in a safety bench or similar cabinet in the radiopharmacy/nuclear medicine department. The individual responsible for study drug preparation drew the correct volume of study drug into a syringe. The size of the syringe was chosen according to the applied volume to reach the required dosing accuracy. In some regions, a third-party vendor was used to prepare the injections to be used by study sites. Radium-223 dichloride was not diluted or mixed with any solutions. If the vials were stored in a refrigerator, they were left at room temperature for 1 h before use, because cold material was not to be injected into patients. To maintain traceability, each patient was assigned one syringe label set with a unique serial number that was linked to the vial/batch received with the preparation and blinded administration of the syringe.</w:t>
      </w:r>
    </w:p>
    <w:p w14:paraId="15A71A0E" w14:textId="77777777" w:rsidR="0059437A" w:rsidRPr="00C01031" w:rsidRDefault="0059437A" w:rsidP="0059437A">
      <w:pPr>
        <w:snapToGrid w:val="0"/>
        <w:spacing w:line="480" w:lineRule="auto"/>
        <w:ind w:firstLine="720"/>
        <w:rPr>
          <w:rFonts w:eastAsia="Batang" w:cs="Arial"/>
          <w:color w:val="000000" w:themeColor="text1"/>
          <w:szCs w:val="20"/>
          <w:lang w:val="en-US"/>
        </w:rPr>
      </w:pPr>
    </w:p>
    <w:p w14:paraId="469F460E" w14:textId="77777777" w:rsidR="0059437A" w:rsidRPr="00C01031" w:rsidRDefault="0059437A" w:rsidP="0059437A">
      <w:pPr>
        <w:snapToGrid w:val="0"/>
        <w:spacing w:line="480" w:lineRule="auto"/>
        <w:rPr>
          <w:rFonts w:eastAsia="Batang" w:cs="Arial"/>
          <w:i/>
          <w:iCs/>
          <w:color w:val="000000" w:themeColor="text1"/>
          <w:szCs w:val="20"/>
          <w:lang w:val="en-US"/>
        </w:rPr>
      </w:pPr>
      <w:r w:rsidRPr="00C01031">
        <w:rPr>
          <w:rFonts w:eastAsia="Batang" w:cs="Arial"/>
          <w:i/>
          <w:iCs/>
          <w:color w:val="000000" w:themeColor="text1"/>
          <w:szCs w:val="20"/>
          <w:lang w:val="en-US"/>
        </w:rPr>
        <w:t>Placebo</w:t>
      </w:r>
    </w:p>
    <w:p w14:paraId="674F5F0D"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Isotonic saline solution (0.9% sodium chloride solution for injection) was provided by the study site. Traceability of the respective manufacturers and batches was maintained in the respective preparation documentation and drug accountability logs. For saline solution provided to patients from the study site’s commercial supply, it was required at minimum that the assignment, batch numbers, and expiry dates were recorded. The use of saline was recorded, and documentation was retained at the study site with a copy provided for the sponsor study file.</w:t>
      </w:r>
    </w:p>
    <w:p w14:paraId="6AFE5900" w14:textId="77777777" w:rsidR="0059437A" w:rsidRPr="00C01031" w:rsidRDefault="0059437A" w:rsidP="0059437A">
      <w:pPr>
        <w:snapToGrid w:val="0"/>
        <w:spacing w:line="480" w:lineRule="auto"/>
        <w:ind w:firstLine="567"/>
        <w:rPr>
          <w:rFonts w:eastAsia="Batang" w:cs="Arial"/>
          <w:color w:val="000000" w:themeColor="text1"/>
          <w:spacing w:val="-4"/>
          <w:szCs w:val="20"/>
          <w:lang w:val="en-US"/>
        </w:rPr>
      </w:pPr>
      <w:r w:rsidRPr="00C01031">
        <w:rPr>
          <w:rFonts w:eastAsia="Batang" w:cs="Arial"/>
          <w:color w:val="000000" w:themeColor="text1"/>
          <w:spacing w:val="-4"/>
          <w:szCs w:val="20"/>
          <w:lang w:val="en-US"/>
        </w:rPr>
        <w:t>The volume of saline solution to be injected was provided by the interactive voice/web response system (IXRS) based on each patient’s body weight. Data regarding the saline batch number and the volume to be injected were recorded in Rave. Each syringe containing isotonic saline solution was prepared in the same way as for the active treatment, including the use of unique serial numbers on the syringe.</w:t>
      </w:r>
    </w:p>
    <w:p w14:paraId="3AA948B1" w14:textId="77777777" w:rsidR="0059437A" w:rsidRPr="00C01031" w:rsidRDefault="0059437A" w:rsidP="0059437A">
      <w:pPr>
        <w:spacing w:line="480" w:lineRule="auto"/>
        <w:rPr>
          <w:rFonts w:eastAsia="Batang" w:cs="Arial"/>
          <w:i/>
          <w:iCs/>
          <w:color w:val="000000" w:themeColor="text1"/>
          <w:szCs w:val="20"/>
          <w:lang w:val="en-US"/>
        </w:rPr>
      </w:pPr>
    </w:p>
    <w:p w14:paraId="0B56732A" w14:textId="77777777" w:rsidR="0059437A" w:rsidRPr="00C01031" w:rsidRDefault="0059437A" w:rsidP="0059437A">
      <w:pPr>
        <w:spacing w:line="480" w:lineRule="auto"/>
        <w:rPr>
          <w:rFonts w:eastAsia="Batang" w:cs="Arial"/>
          <w:i/>
          <w:iCs/>
          <w:color w:val="000000" w:themeColor="text1"/>
          <w:szCs w:val="20"/>
          <w:lang w:val="en-US"/>
        </w:rPr>
      </w:pPr>
      <w:r w:rsidRPr="00C01031">
        <w:rPr>
          <w:rFonts w:eastAsia="Batang" w:cs="Arial"/>
          <w:i/>
          <w:iCs/>
          <w:color w:val="000000" w:themeColor="text1"/>
          <w:szCs w:val="20"/>
          <w:lang w:val="en-US"/>
        </w:rPr>
        <w:t>Dose adjustments, delays, and discontinuations</w:t>
      </w:r>
    </w:p>
    <w:p w14:paraId="0E8CC2F7" w14:textId="77777777"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Radium-223 or placebo administration could be delayed for up to 4 weeks (maximum 8 weeks between two injections) for recovery from adverse events (AEs). If administration had to be delayed for &gt;4 weeks, radium-223 or placebo administration was discontinued. AEs were reported and graded according to National Cancer Institute Common Terminology Criteria for AEs (NCI-CTCAE) version 4.03.</w:t>
      </w:r>
    </w:p>
    <w:p w14:paraId="492033C1" w14:textId="77777777" w:rsidR="0059437A" w:rsidRPr="00C01031" w:rsidRDefault="0059437A" w:rsidP="0059437A">
      <w:pPr>
        <w:spacing w:line="480" w:lineRule="auto"/>
        <w:rPr>
          <w:rFonts w:eastAsia="Batang" w:cs="Arial"/>
          <w:b/>
          <w:bCs/>
          <w:color w:val="000000" w:themeColor="text1"/>
          <w:szCs w:val="20"/>
          <w:lang w:val="en-US"/>
        </w:rPr>
      </w:pPr>
    </w:p>
    <w:p w14:paraId="736E4B87" w14:textId="77777777" w:rsidR="0059437A" w:rsidRPr="00C01031" w:rsidRDefault="0059437A" w:rsidP="00CE3621">
      <w:pPr>
        <w:pStyle w:val="Head2"/>
        <w:rPr>
          <w:color w:val="000000" w:themeColor="text1"/>
        </w:rPr>
      </w:pPr>
      <w:bookmarkStart w:id="7" w:name="_Toc131600507"/>
      <w:r w:rsidRPr="00C01031">
        <w:rPr>
          <w:color w:val="000000" w:themeColor="text1"/>
        </w:rPr>
        <w:t>Safety assessments</w:t>
      </w:r>
      <w:bookmarkEnd w:id="7"/>
    </w:p>
    <w:p w14:paraId="695460C4" w14:textId="77777777" w:rsidR="0059437A" w:rsidRPr="00C01031" w:rsidRDefault="0059437A" w:rsidP="0059437A">
      <w:pPr>
        <w:snapToGrid w:val="0"/>
        <w:spacing w:line="480" w:lineRule="auto"/>
        <w:rPr>
          <w:rFonts w:eastAsia="Batang" w:cs="Arial"/>
          <w:color w:val="000000" w:themeColor="text1"/>
          <w:spacing w:val="-4"/>
          <w:szCs w:val="20"/>
          <w:lang w:val="en-US"/>
        </w:rPr>
      </w:pPr>
      <w:r w:rsidRPr="00C01031">
        <w:rPr>
          <w:rFonts w:eastAsia="Batang" w:cs="Arial"/>
          <w:color w:val="000000" w:themeColor="text1"/>
          <w:spacing w:val="-4"/>
          <w:szCs w:val="20"/>
          <w:lang w:val="en-US"/>
        </w:rPr>
        <w:t>All patients who received at least one dose of study drug were valid for safety analysis. All AEs were reported, and severity graded, using NCI-CTCAE version 4.03. The following safety variables were evaluated:</w:t>
      </w:r>
    </w:p>
    <w:p w14:paraId="6511409A" w14:textId="77777777" w:rsidR="0059437A" w:rsidRPr="00C01031" w:rsidRDefault="0059437A" w:rsidP="0059437A">
      <w:pPr>
        <w:numPr>
          <w:ilvl w:val="0"/>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AEs recorded on an ongoing basis throughout the study</w:t>
      </w:r>
    </w:p>
    <w:p w14:paraId="61E84862" w14:textId="77777777" w:rsidR="0059437A" w:rsidRPr="00C01031" w:rsidRDefault="0059437A" w:rsidP="0059437A">
      <w:pPr>
        <w:numPr>
          <w:ilvl w:val="1"/>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An AE was any untoward medical occurrence [i.e., any unfavorable and unintended sign (including abnormal laboratory findings), symptom, or disease] in a patient after providing written informed consent for study participation; therefore, an AE may or may not be temporally or causally associated with the use of a medicinal (investigational) product. A surgical procedure that was planned before the start of the study by any physician treating the patient was not recorded as an AE (however, the condition for which the surgery was required was considered to be an AE)</w:t>
      </w:r>
    </w:p>
    <w:p w14:paraId="272DBBC8" w14:textId="77777777" w:rsidR="0059437A" w:rsidRPr="00C01031" w:rsidRDefault="0059437A" w:rsidP="0059437A">
      <w:pPr>
        <w:numPr>
          <w:ilvl w:val="1"/>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 serious AE (SAE) was classified as any untoward medical occurrence that, at any dose, met any of the following criteria:</w:t>
      </w:r>
    </w:p>
    <w:p w14:paraId="2089BBE1" w14:textId="77777777" w:rsidR="0059437A" w:rsidRPr="00C01031" w:rsidRDefault="0059437A" w:rsidP="0059437A">
      <w:pPr>
        <w:numPr>
          <w:ilvl w:val="2"/>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Resulted in death</w:t>
      </w:r>
    </w:p>
    <w:p w14:paraId="5EF96082" w14:textId="77777777" w:rsidR="0059437A" w:rsidRPr="00C01031" w:rsidRDefault="0059437A" w:rsidP="0059437A">
      <w:pPr>
        <w:numPr>
          <w:ilvl w:val="2"/>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Was life-threatening; the term “life-threatening” referred to an event for which the patient was at risk of death at the time of the event; it did not refer to an event that, if more severe, might have caused death</w:t>
      </w:r>
    </w:p>
    <w:p w14:paraId="1FF836CB" w14:textId="77777777" w:rsidR="0059437A" w:rsidRPr="00C01031" w:rsidRDefault="0059437A" w:rsidP="0059437A">
      <w:pPr>
        <w:numPr>
          <w:ilvl w:val="2"/>
          <w:numId w:val="7"/>
        </w:numPr>
        <w:snapToGrid w:val="0"/>
        <w:spacing w:line="480" w:lineRule="auto"/>
        <w:contextualSpacing/>
        <w:rPr>
          <w:rFonts w:eastAsia="Batang" w:cs="Arial"/>
          <w:color w:val="000000" w:themeColor="text1"/>
          <w:spacing w:val="-4"/>
          <w:szCs w:val="20"/>
          <w:lang w:val="en-US"/>
        </w:rPr>
      </w:pPr>
      <w:r w:rsidRPr="00C01031">
        <w:rPr>
          <w:rFonts w:eastAsia="Batang" w:cs="Arial"/>
          <w:color w:val="000000" w:themeColor="text1"/>
          <w:spacing w:val="-4"/>
          <w:szCs w:val="20"/>
          <w:lang w:val="en-US"/>
        </w:rPr>
        <w:t>Required inpatient hospitalization or prolongation of existing hospitalization. Such hospitalization was not regarded as an SAE if at least one of the following exceptions were met: the admission resulted in a hospital stay of &lt;12 h; the admission was preplanned (i.e., elective or scheduled surgery arranged before study start); the admission was not associated with an AE (e.g., social hospitalization for purposes of respite care). However, invasive treatment during any hospitalization fulfilled the criterion of “medically important” and, as such, was reportable as an SAE, dependent on clinical judgment. In addition, where local regulatory authorities specifically required a more stringent definition, the local regulation took precedence</w:t>
      </w:r>
    </w:p>
    <w:p w14:paraId="105ABBE0" w14:textId="77777777" w:rsidR="0059437A" w:rsidRPr="00C01031" w:rsidRDefault="0059437A" w:rsidP="0059437A">
      <w:pPr>
        <w:numPr>
          <w:ilvl w:val="2"/>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Resulted in persistent or significant disability or incapacity; disability meant a substantial disruption of a person’s ability to conduct normal life functions</w:t>
      </w:r>
    </w:p>
    <w:p w14:paraId="03E647B6" w14:textId="77777777" w:rsidR="0059437A" w:rsidRPr="00C01031" w:rsidRDefault="0059437A" w:rsidP="0059437A">
      <w:pPr>
        <w:numPr>
          <w:ilvl w:val="2"/>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Was a congenital anomaly or birth defect</w:t>
      </w:r>
    </w:p>
    <w:p w14:paraId="3459C199" w14:textId="77777777" w:rsidR="0059437A" w:rsidRPr="00C01031" w:rsidRDefault="0059437A" w:rsidP="0059437A">
      <w:pPr>
        <w:numPr>
          <w:ilvl w:val="2"/>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Was another medically important serious event, as judged by the investigator</w:t>
      </w:r>
    </w:p>
    <w:p w14:paraId="7264D210" w14:textId="77777777" w:rsidR="0059437A" w:rsidRPr="00C01031" w:rsidRDefault="0059437A" w:rsidP="0059437A">
      <w:pPr>
        <w:numPr>
          <w:ilvl w:val="2"/>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Was an occurrence of any additional malignancies, including acute myeloid leukemia, or hematologic conditions, such as myelodysplastic syndrome, aplastic anemia, or myelofibrosis (regardless of the investigator’s causality assessment). If disease progression led to signs and symptoms that met the criteria for seriousness (e.g., hospitalization), the associated signs and symptoms, not the underlying cause, were reported as SAEs (i.e., “progressive disease” was not recorded as an SAE); in this case, disease progression was mentioned on the SAE form as an “alternative explanation”</w:t>
      </w:r>
    </w:p>
    <w:p w14:paraId="20DB9498" w14:textId="77777777" w:rsidR="0059437A" w:rsidRPr="00C01031" w:rsidRDefault="0059437A" w:rsidP="0059437A">
      <w:pPr>
        <w:numPr>
          <w:ilvl w:val="1"/>
          <w:numId w:val="7"/>
        </w:numPr>
        <w:snapToGrid w:val="0"/>
        <w:spacing w:line="480" w:lineRule="auto"/>
        <w:contextualSpacing/>
        <w:rPr>
          <w:rFonts w:eastAsia="Batang" w:cs="Arial"/>
          <w:color w:val="000000" w:themeColor="text1"/>
          <w:szCs w:val="20"/>
          <w:lang w:val="en-US"/>
        </w:rPr>
      </w:pPr>
      <w:r w:rsidRPr="00C01031">
        <w:rPr>
          <w:rFonts w:eastAsia="Batang" w:cs="Arial"/>
          <w:color w:val="000000" w:themeColor="text1"/>
          <w:szCs w:val="20"/>
          <w:lang w:val="en-US"/>
        </w:rPr>
        <w:t>Any isolated laboratory abnormality that met the criteria for NCI-CTCAE grade 4 classification was not reportable as an SAE unless the investigator assessed that the event met standard International Conference on Harmonization criteria for an SAE; all laboratory abnormalities, including NCI-CTCAE grade 4 abnormalities, were documented on the laboratory eCRF (including values reported from local laboratories)</w:t>
      </w:r>
    </w:p>
    <w:p w14:paraId="22E04A89" w14:textId="77777777" w:rsidR="0059437A" w:rsidRPr="00C01031" w:rsidRDefault="0059437A" w:rsidP="0059437A">
      <w:pPr>
        <w:keepNext/>
        <w:numPr>
          <w:ilvl w:val="0"/>
          <w:numId w:val="7"/>
        </w:numPr>
        <w:suppressLineNumbers/>
        <w:snapToGrid w:val="0"/>
        <w:spacing w:line="480" w:lineRule="auto"/>
        <w:ind w:left="714" w:hanging="357"/>
        <w:contextualSpacing/>
        <w:rPr>
          <w:rFonts w:eastAsia="Batang" w:cs="Arial"/>
          <w:color w:val="000000" w:themeColor="text1"/>
          <w:szCs w:val="20"/>
          <w:lang w:val="en-US"/>
        </w:rPr>
      </w:pPr>
      <w:r w:rsidRPr="00C01031">
        <w:rPr>
          <w:rFonts w:eastAsia="Batang" w:cs="Arial"/>
          <w:color w:val="000000" w:themeColor="text1"/>
          <w:szCs w:val="20"/>
          <w:lang w:val="en-US"/>
        </w:rPr>
        <w:t>Causal relationship of AE to study drug</w:t>
      </w:r>
    </w:p>
    <w:p w14:paraId="11982FE8" w14:textId="77777777" w:rsidR="0059437A" w:rsidRPr="00C01031" w:rsidRDefault="0059437A" w:rsidP="0059437A">
      <w:pPr>
        <w:numPr>
          <w:ilvl w:val="1"/>
          <w:numId w:val="7"/>
        </w:numPr>
        <w:snapToGrid w:val="0"/>
        <w:spacing w:line="480" w:lineRule="auto"/>
        <w:contextualSpacing/>
        <w:rPr>
          <w:rFonts w:eastAsia="Batang" w:cs="Arial"/>
          <w:color w:val="000000" w:themeColor="text1"/>
          <w:spacing w:val="-4"/>
          <w:szCs w:val="20"/>
          <w:lang w:val="en-US"/>
        </w:rPr>
      </w:pPr>
      <w:r w:rsidRPr="00C01031">
        <w:rPr>
          <w:rFonts w:eastAsia="Batang" w:cs="Arial"/>
          <w:color w:val="000000" w:themeColor="text1"/>
          <w:spacing w:val="-4"/>
          <w:szCs w:val="20"/>
          <w:lang w:val="en-US"/>
        </w:rPr>
        <w:t>Assessment of the causal relationship between an AE and treatment administration was a clinical decision based on all available information when the eCRF was completed; the assessment was based on whether there was a “reasonable causal relationship” to the study treatment in question; potential causal relationships of the backbone hormone treatment, bisphosphonates, denosumab, or other concomitant medication were also collected</w:t>
      </w:r>
    </w:p>
    <w:p w14:paraId="16728B5C" w14:textId="77777777" w:rsidR="0059437A" w:rsidRPr="00C01031" w:rsidRDefault="0059437A" w:rsidP="0059437A">
      <w:pPr>
        <w:numPr>
          <w:ilvl w:val="0"/>
          <w:numId w:val="7"/>
        </w:numPr>
        <w:snapToGrid w:val="0"/>
        <w:spacing w:line="480" w:lineRule="auto"/>
        <w:ind w:left="714" w:hanging="357"/>
        <w:rPr>
          <w:rFonts w:eastAsia="Batang" w:cs="Arial"/>
          <w:color w:val="000000" w:themeColor="text1"/>
          <w:szCs w:val="20"/>
          <w:lang w:val="en-US"/>
        </w:rPr>
      </w:pPr>
      <w:r w:rsidRPr="00C01031">
        <w:rPr>
          <w:rFonts w:eastAsia="Batang" w:cs="Arial"/>
          <w:color w:val="000000" w:themeColor="text1"/>
          <w:szCs w:val="20"/>
          <w:lang w:val="en-US"/>
        </w:rPr>
        <w:t>Safety variables included the analysis of acute and long-term effects; the appearance of new primary malignancies; hematopoietic reserve for tolerability of subsequent chemotherapy; and bone fractures and bone-associated events, including during long-term follow-up, regardless of the investigator’s causality assessment; other safety variables included vital signs (blood pressure, body weight, heart rate, respiratory rate, and body temperature), physical examination findings, electrocardiogram data, and ECOG PS score</w:t>
      </w:r>
    </w:p>
    <w:p w14:paraId="4359051D" w14:textId="77777777" w:rsidR="0059437A" w:rsidRPr="00C01031" w:rsidRDefault="0059437A" w:rsidP="0059437A">
      <w:pPr>
        <w:numPr>
          <w:ilvl w:val="0"/>
          <w:numId w:val="7"/>
        </w:numPr>
        <w:spacing w:line="480" w:lineRule="auto"/>
        <w:ind w:hanging="357"/>
        <w:contextualSpacing/>
        <w:rPr>
          <w:rFonts w:eastAsia="Batang" w:cs="Arial"/>
          <w:color w:val="000000" w:themeColor="text1"/>
          <w:szCs w:val="20"/>
          <w:lang w:val="en-US"/>
        </w:rPr>
      </w:pPr>
      <w:r w:rsidRPr="00C01031">
        <w:rPr>
          <w:rFonts w:eastAsia="Batang" w:cs="Arial"/>
          <w:color w:val="000000" w:themeColor="text1"/>
          <w:szCs w:val="20"/>
          <w:lang w:val="en-US"/>
        </w:rPr>
        <w:t>Laboratory assessments:</w:t>
      </w:r>
    </w:p>
    <w:p w14:paraId="49260852" w14:textId="77777777" w:rsidR="0059437A" w:rsidRPr="00C01031" w:rsidRDefault="0059437A" w:rsidP="0059437A">
      <w:pPr>
        <w:numPr>
          <w:ilvl w:val="1"/>
          <w:numId w:val="7"/>
        </w:numPr>
        <w:spacing w:line="480" w:lineRule="auto"/>
        <w:ind w:hanging="357"/>
        <w:contextualSpacing/>
        <w:rPr>
          <w:rFonts w:eastAsia="Batang" w:cs="Arial"/>
          <w:color w:val="000000" w:themeColor="text1"/>
          <w:szCs w:val="20"/>
          <w:lang w:val="en-US"/>
        </w:rPr>
      </w:pPr>
      <w:r w:rsidRPr="00C01031">
        <w:rPr>
          <w:rFonts w:eastAsia="Batang" w:cs="Arial"/>
          <w:color w:val="000000" w:themeColor="text1"/>
          <w:szCs w:val="20"/>
          <w:lang w:val="en-US"/>
        </w:rPr>
        <w:t>Hematology: hematocrit, Hb, platelet count, red blood cell count, white blood cell count, and white blood cell differential</w:t>
      </w:r>
    </w:p>
    <w:p w14:paraId="531A0303" w14:textId="77777777" w:rsidR="0059437A" w:rsidRPr="00C01031" w:rsidRDefault="0059437A" w:rsidP="0059437A">
      <w:pPr>
        <w:numPr>
          <w:ilvl w:val="1"/>
          <w:numId w:val="7"/>
        </w:numPr>
        <w:spacing w:line="480" w:lineRule="auto"/>
        <w:ind w:hanging="357"/>
        <w:contextualSpacing/>
        <w:rPr>
          <w:rFonts w:eastAsia="Batang" w:cs="Arial"/>
          <w:color w:val="000000" w:themeColor="text1"/>
          <w:szCs w:val="20"/>
          <w:lang w:val="en-US"/>
        </w:rPr>
      </w:pPr>
      <w:r w:rsidRPr="00C01031">
        <w:rPr>
          <w:rFonts w:eastAsia="Batang" w:cs="Arial"/>
          <w:color w:val="000000" w:themeColor="text1"/>
          <w:szCs w:val="20"/>
          <w:lang w:val="en-US"/>
        </w:rPr>
        <w:t>Clinical chemistry: sodium, potassium, chloride, calcium, total cholesterol, ALT, AST, lactate dehydrogenase, bone ALP, serum creatinine, phosphate, blood urea nitrogen, total bilirubin, and albumin</w:t>
      </w:r>
    </w:p>
    <w:p w14:paraId="27F26009" w14:textId="77777777" w:rsidR="0059437A" w:rsidRPr="00C01031" w:rsidRDefault="0059437A" w:rsidP="0059437A">
      <w:pPr>
        <w:numPr>
          <w:ilvl w:val="1"/>
          <w:numId w:val="7"/>
        </w:numPr>
        <w:spacing w:line="480" w:lineRule="auto"/>
        <w:ind w:hanging="357"/>
        <w:contextualSpacing/>
        <w:rPr>
          <w:rFonts w:eastAsia="Batang" w:cs="Arial"/>
          <w:color w:val="000000" w:themeColor="text1"/>
          <w:szCs w:val="20"/>
          <w:lang w:val="en-US"/>
        </w:rPr>
      </w:pPr>
      <w:r w:rsidRPr="00C01031">
        <w:rPr>
          <w:rFonts w:eastAsia="Batang" w:cs="Arial"/>
          <w:color w:val="000000" w:themeColor="text1"/>
          <w:szCs w:val="20"/>
          <w:lang w:val="en-US"/>
        </w:rPr>
        <w:t>A coagulation panel: PT, PTT, and INR</w:t>
      </w:r>
    </w:p>
    <w:p w14:paraId="185AF9DC" w14:textId="77777777" w:rsidR="0059437A" w:rsidRPr="00C01031" w:rsidRDefault="0059437A" w:rsidP="0059437A">
      <w:pPr>
        <w:spacing w:line="480" w:lineRule="auto"/>
        <w:rPr>
          <w:rFonts w:eastAsia="Batang" w:cs="Arial"/>
          <w:i/>
          <w:iCs/>
          <w:color w:val="000000" w:themeColor="text1"/>
          <w:szCs w:val="20"/>
          <w:lang w:val="en-US"/>
        </w:rPr>
      </w:pPr>
    </w:p>
    <w:p w14:paraId="7530366C" w14:textId="77777777" w:rsidR="0059437A" w:rsidRPr="00C01031" w:rsidRDefault="0059437A" w:rsidP="0059437A">
      <w:pPr>
        <w:spacing w:line="480" w:lineRule="auto"/>
        <w:rPr>
          <w:rFonts w:eastAsia="Batang" w:cs="Arial"/>
          <w:b/>
          <w:bCs/>
          <w:i/>
          <w:iCs/>
          <w:color w:val="000000" w:themeColor="text1"/>
          <w:szCs w:val="20"/>
          <w:lang w:val="en-US"/>
        </w:rPr>
      </w:pPr>
      <w:r w:rsidRPr="00C01031">
        <w:rPr>
          <w:rFonts w:eastAsia="Batang" w:cs="Arial"/>
          <w:b/>
          <w:bCs/>
          <w:i/>
          <w:iCs/>
          <w:color w:val="000000" w:themeColor="text1"/>
          <w:szCs w:val="20"/>
          <w:lang w:val="en-US"/>
        </w:rPr>
        <w:t>Documentation and assessment of AEs</w:t>
      </w:r>
    </w:p>
    <w:p w14:paraId="55A4D4B4" w14:textId="499A0D11" w:rsidR="0059437A" w:rsidRPr="00C01031" w:rsidRDefault="0059437A" w:rsidP="0059437A">
      <w:pPr>
        <w:snapToGrid w:val="0"/>
        <w:spacing w:line="480" w:lineRule="auto"/>
        <w:rPr>
          <w:rFonts w:eastAsia="Batang" w:cs="Arial"/>
          <w:color w:val="000000" w:themeColor="text1"/>
          <w:szCs w:val="20"/>
          <w:lang w:val="en-US"/>
        </w:rPr>
      </w:pPr>
      <w:r w:rsidRPr="00C01031">
        <w:rPr>
          <w:rFonts w:eastAsia="Batang" w:cs="Arial"/>
          <w:color w:val="000000" w:themeColor="text1"/>
          <w:szCs w:val="20"/>
          <w:lang w:val="en-US"/>
        </w:rPr>
        <w:t xml:space="preserve">All AEs that occurred from the time when the patient signed the ICF up to 30 days after the last dose of study medication were recorded on the eCRF. Treatment-emergent AEs (TEAEs) and all SAEs that occurred during the treatment period and up to 30 days after the last administration of </w:t>
      </w:r>
      <w:r w:rsidR="005943E8" w:rsidRPr="00C01031">
        <w:rPr>
          <w:rFonts w:eastAsia="Batang" w:cs="Arial"/>
          <w:color w:val="000000" w:themeColor="text1"/>
          <w:szCs w:val="20"/>
          <w:lang w:val="en-US"/>
        </w:rPr>
        <w:t>any study medication (</w:t>
      </w:r>
      <w:r w:rsidRPr="00C01031">
        <w:rPr>
          <w:rFonts w:eastAsia="Batang" w:cs="Arial"/>
          <w:color w:val="000000" w:themeColor="text1"/>
          <w:szCs w:val="20"/>
          <w:lang w:val="en-US"/>
        </w:rPr>
        <w:t>radium-223</w:t>
      </w:r>
      <w:r w:rsidR="005943E8" w:rsidRPr="00C01031">
        <w:rPr>
          <w:rFonts w:eastAsia="Batang" w:cs="Arial"/>
          <w:color w:val="000000" w:themeColor="text1"/>
          <w:szCs w:val="20"/>
          <w:lang w:val="en-US"/>
        </w:rPr>
        <w:t>/</w:t>
      </w:r>
      <w:r w:rsidRPr="00C01031">
        <w:rPr>
          <w:rFonts w:eastAsia="Batang" w:cs="Arial"/>
          <w:color w:val="000000" w:themeColor="text1"/>
          <w:szCs w:val="20"/>
          <w:lang w:val="en-US"/>
        </w:rPr>
        <w:t>placebo</w:t>
      </w:r>
      <w:r w:rsidR="005943E8" w:rsidRPr="00C01031">
        <w:rPr>
          <w:rFonts w:eastAsia="Batang" w:cs="Arial"/>
          <w:color w:val="000000" w:themeColor="text1"/>
          <w:szCs w:val="20"/>
          <w:lang w:val="en-US"/>
        </w:rPr>
        <w:t>,</w:t>
      </w:r>
      <w:r w:rsidRPr="00C01031">
        <w:rPr>
          <w:rFonts w:eastAsia="Batang" w:cs="Arial"/>
          <w:color w:val="000000" w:themeColor="text1"/>
          <w:szCs w:val="20"/>
          <w:lang w:val="en-US"/>
        </w:rPr>
        <w:t xml:space="preserve"> </w:t>
      </w:r>
      <w:r w:rsidR="005943E8" w:rsidRPr="00C01031">
        <w:rPr>
          <w:rFonts w:eastAsia="Batang" w:cs="Arial"/>
          <w:color w:val="000000" w:themeColor="text1"/>
          <w:szCs w:val="20"/>
          <w:lang w:val="en-US"/>
        </w:rPr>
        <w:t xml:space="preserve">exemestane, or everolimus) </w:t>
      </w:r>
      <w:r w:rsidRPr="00C01031">
        <w:rPr>
          <w:rFonts w:eastAsia="Batang" w:cs="Arial"/>
          <w:color w:val="000000" w:themeColor="text1"/>
          <w:szCs w:val="20"/>
          <w:lang w:val="en-US"/>
        </w:rPr>
        <w:t xml:space="preserve">were reported on the appropriate eCRF. All SAEs that occurred during the treatment period and up to 30 days after the last administration of </w:t>
      </w:r>
      <w:r w:rsidR="005943E8" w:rsidRPr="00C01031">
        <w:rPr>
          <w:rFonts w:eastAsia="Batang" w:cs="Arial"/>
          <w:color w:val="000000" w:themeColor="text1"/>
          <w:szCs w:val="20"/>
          <w:lang w:val="en-US"/>
        </w:rPr>
        <w:t xml:space="preserve">study medication </w:t>
      </w:r>
      <w:r w:rsidRPr="00C01031">
        <w:rPr>
          <w:rFonts w:eastAsia="Batang" w:cs="Arial"/>
          <w:color w:val="000000" w:themeColor="text1"/>
          <w:szCs w:val="20"/>
          <w:lang w:val="en-US"/>
        </w:rPr>
        <w:t>were reported immediately (within 24 h of the investigator’s awareness) in the appropriate eCRF. If more than one AE occurred, each event was recorded separately. All AEs and SAEs were followed until resolution, or as clinically required. All AEs and SAEs occurring beyond 30 days after the last dose of study treatment were documented and reported, if considered related to study medication or to study-related procedures.</w:t>
      </w:r>
    </w:p>
    <w:p w14:paraId="2F80E6D1" w14:textId="77777777" w:rsidR="0059437A" w:rsidRPr="00C01031" w:rsidRDefault="0059437A" w:rsidP="0059437A">
      <w:pPr>
        <w:spacing w:line="480" w:lineRule="auto"/>
        <w:ind w:firstLine="567"/>
        <w:rPr>
          <w:rFonts w:eastAsia="Batang" w:cs="Arial"/>
          <w:color w:val="000000" w:themeColor="text1"/>
          <w:szCs w:val="20"/>
          <w:lang w:val="en-US"/>
        </w:rPr>
      </w:pPr>
      <w:r w:rsidRPr="00C01031">
        <w:rPr>
          <w:rFonts w:eastAsia="Batang" w:cs="Arial"/>
          <w:color w:val="000000" w:themeColor="text1"/>
          <w:szCs w:val="20"/>
          <w:lang w:val="en-US"/>
        </w:rPr>
        <w:t>Patients who received cytotoxic chemotherapy during the follow-up period were observed for the development of febrile neutropenia and hemorrhage during and for up to 6 months after chemotherapy. Occurrence of these AEs was documented and reported if considered related to the chemotherapy. All occurrences of additional malignancies, including acute myeloid leukemia, and hematologic conditions, such as myelodysplastic syndrome, aplastic anemia, and myelofibrosis, were reported as SAEs, regardless of the investigator’s assessment.</w:t>
      </w:r>
    </w:p>
    <w:p w14:paraId="7F23A934" w14:textId="77777777" w:rsidR="0059437A" w:rsidRPr="00C01031" w:rsidRDefault="0059437A" w:rsidP="0059437A">
      <w:pPr>
        <w:spacing w:line="480" w:lineRule="auto"/>
        <w:ind w:firstLine="567"/>
        <w:rPr>
          <w:rFonts w:eastAsia="Batang" w:cs="Arial"/>
          <w:color w:val="000000" w:themeColor="text1"/>
          <w:szCs w:val="20"/>
          <w:lang w:val="en-US"/>
        </w:rPr>
      </w:pPr>
      <w:r w:rsidRPr="00C01031">
        <w:rPr>
          <w:rFonts w:eastAsia="Batang" w:cs="Arial"/>
          <w:color w:val="000000" w:themeColor="text1"/>
          <w:szCs w:val="20"/>
          <w:lang w:val="en-US"/>
        </w:rPr>
        <w:t>Relevant symptoms related to symptomatic skeletal events were captured as AEs or SAEs as appropriate, regardless of the relationship to study drug, from the date of first dose until the end of active follow-up. All bone fractures and bone-associated events (e.g., osteoporosis) were collected as either AEs or SAEs as appropriate, regardless of the investigator’s causality assessment.</w:t>
      </w:r>
    </w:p>
    <w:p w14:paraId="161F2275" w14:textId="77777777" w:rsidR="0059437A" w:rsidRPr="00C01031" w:rsidRDefault="0059437A" w:rsidP="0059437A">
      <w:pPr>
        <w:spacing w:line="480" w:lineRule="auto"/>
        <w:ind w:firstLine="567"/>
        <w:rPr>
          <w:rFonts w:eastAsia="Batang" w:cs="Arial"/>
          <w:color w:val="000000" w:themeColor="text1"/>
          <w:szCs w:val="20"/>
          <w:lang w:val="en-US"/>
        </w:rPr>
      </w:pPr>
      <w:r w:rsidRPr="00C01031">
        <w:rPr>
          <w:rFonts w:eastAsia="Batang" w:cs="Arial"/>
          <w:color w:val="000000" w:themeColor="text1"/>
          <w:szCs w:val="20"/>
          <w:lang w:val="en-US"/>
        </w:rPr>
        <w:t>AEs were reported spontaneously by the patient or elicited through open (non-leading) questioning during each visit to the clinic, and at completion of the active follow-up period without clinic visits. As far as possible, all AEs were described by their duration (start and stop date), severity (graded according to the NCI-CTCAE version 4.03), relationship to treatment, and the need for other specific therapy. All information was recorded in the source documentation and eCRF.</w:t>
      </w:r>
    </w:p>
    <w:p w14:paraId="4379B201" w14:textId="77777777" w:rsidR="0059437A" w:rsidRPr="00C01031" w:rsidRDefault="0059437A" w:rsidP="0059437A">
      <w:pPr>
        <w:spacing w:line="480" w:lineRule="auto"/>
        <w:ind w:firstLine="567"/>
        <w:rPr>
          <w:rFonts w:eastAsia="Batang" w:cs="Arial"/>
          <w:color w:val="000000" w:themeColor="text1"/>
          <w:szCs w:val="20"/>
          <w:lang w:val="en-US"/>
        </w:rPr>
      </w:pPr>
      <w:r w:rsidRPr="00C01031">
        <w:rPr>
          <w:rFonts w:eastAsia="Batang" w:cs="Arial"/>
          <w:color w:val="000000" w:themeColor="text1"/>
          <w:szCs w:val="20"/>
          <w:lang w:val="en-US"/>
        </w:rPr>
        <w:t>Laboratory test abnormalities considered clinically relevant (e.g., abnormalities that caused the patient to withdraw from the study), that required treatment, that caused clinical manifestations, or that were judged as relevant by the investigator were reported as an AE. Each event was described in detail, with start and stop dates (onset and resolution of event), severity, temporal and causal relationship to the investigational product and/or protocol-related procedures, potential other factors (e.g., comorbidities, comedications), therapeutic action taken, result of the therapeutic action, and ultimate outcome of the AE. The investigator’s assessments of AEs and laboratory results with grades and causality assessments were documented and retained in the source documentation. If more than one AE occurred, each event was recorded separately. All AEs and SAEs were followed until resolution, or as clinically required.</w:t>
      </w:r>
    </w:p>
    <w:p w14:paraId="2EAE9F7D" w14:textId="77777777" w:rsidR="0059437A" w:rsidRPr="00C01031" w:rsidRDefault="0059437A" w:rsidP="0059437A">
      <w:pPr>
        <w:spacing w:line="480" w:lineRule="auto"/>
        <w:rPr>
          <w:rFonts w:eastAsia="Batang" w:cs="Arial"/>
          <w:color w:val="000000" w:themeColor="text1"/>
          <w:szCs w:val="20"/>
          <w:lang w:val="en-US"/>
        </w:rPr>
      </w:pPr>
    </w:p>
    <w:p w14:paraId="7C29510D" w14:textId="77777777" w:rsidR="0059437A" w:rsidRPr="00C01031" w:rsidRDefault="0059437A" w:rsidP="00CE3621">
      <w:pPr>
        <w:pStyle w:val="Head2"/>
        <w:rPr>
          <w:color w:val="000000" w:themeColor="text1"/>
        </w:rPr>
      </w:pPr>
      <w:bookmarkStart w:id="8" w:name="_Toc131600508"/>
      <w:r w:rsidRPr="00C01031">
        <w:rPr>
          <w:color w:val="000000" w:themeColor="text1"/>
        </w:rPr>
        <w:t>Randomization</w:t>
      </w:r>
      <w:bookmarkEnd w:id="8"/>
    </w:p>
    <w:p w14:paraId="58176D56" w14:textId="77777777" w:rsidR="0059437A" w:rsidRPr="00C01031" w:rsidRDefault="0059437A" w:rsidP="0059437A">
      <w:pPr>
        <w:snapToGrid w:val="0"/>
        <w:spacing w:line="480" w:lineRule="auto"/>
        <w:rPr>
          <w:rFonts w:eastAsia="Batang" w:cs="Arial"/>
          <w:color w:val="000000" w:themeColor="text1"/>
          <w:spacing w:val="-4"/>
          <w:szCs w:val="20"/>
          <w:lang w:val="en-US"/>
        </w:rPr>
      </w:pPr>
      <w:r w:rsidRPr="00C01031">
        <w:rPr>
          <w:rFonts w:eastAsia="Batang" w:cs="Arial"/>
          <w:color w:val="000000" w:themeColor="text1"/>
          <w:spacing w:val="-4"/>
          <w:szCs w:val="20"/>
          <w:lang w:val="en-US"/>
        </w:rPr>
        <w:t>For random assignment of radium-223 or placebo administration, a computer-generated randomization list was prepared by the sponsor and provided to the IXRS. The IXRS assigned each eligible patient a randomization number and the respective treatment in a ratio of 1:1 to radium-223 or placebo. Randomization was stratified by study ID in the pooled analysis; by geographic region [Europe (including Israel) and North America versus Asia] and previous lines of endocrine therapy in the metastatic setting (one versus two or more) in both studies; and by prior SREs (one versus two) in Study A or visceral metastases (present versus absent) in Study B. The IXRS provided the randomization number but not the assigned treatment to the caller (i.e., blinded personnel). A confirmation e-mail containing the randomization number was sent to unblinded personnel, who then logged into the IXRS to discover the treatment arm assigned to the patient. Unblinded personnel were responsible for preparing the study drug for the patient for the first administration. In the USA only, if a patient was allocated to radium-223, an unblinded person faxed the shipment request to Cardinal Health for a prefilled syringe. The timing for the drug order was based on the planned patient visit date. If the patient was allocated to placebo, the unblinded person at the study site was responsible for providing saline solution corresponding to the IXRS treatment day. This information was not made available before the IXRS treatment day, to avoid unblinding of the patient and blinded study personnel. Subsequent orders for each study drug administration were made by a call to the IXRS from the study site on the date of the previous injection. If, after ordering, the order needed to be canceled or amended, the investigator contacted their monitor immediately.</w:t>
      </w:r>
    </w:p>
    <w:p w14:paraId="15CA61C6" w14:textId="77777777" w:rsidR="0059437A" w:rsidRPr="00C01031" w:rsidRDefault="0059437A" w:rsidP="0059437A">
      <w:pPr>
        <w:spacing w:line="480" w:lineRule="auto"/>
        <w:rPr>
          <w:rFonts w:eastAsia="Batang" w:cs="Arial"/>
          <w:b/>
          <w:bCs/>
          <w:color w:val="000000" w:themeColor="text1"/>
          <w:szCs w:val="20"/>
          <w:lang w:val="en-US"/>
        </w:rPr>
      </w:pPr>
    </w:p>
    <w:p w14:paraId="1015A121" w14:textId="77777777" w:rsidR="0059437A" w:rsidRPr="00C01031" w:rsidRDefault="0059437A" w:rsidP="00CE3621">
      <w:pPr>
        <w:pStyle w:val="Head2"/>
        <w:rPr>
          <w:color w:val="000000" w:themeColor="text1"/>
        </w:rPr>
      </w:pPr>
      <w:bookmarkStart w:id="9" w:name="_Toc131600509"/>
      <w:r w:rsidRPr="00C01031">
        <w:rPr>
          <w:color w:val="000000" w:themeColor="text1"/>
        </w:rPr>
        <w:t>Blinding</w:t>
      </w:r>
      <w:bookmarkEnd w:id="9"/>
    </w:p>
    <w:p w14:paraId="28D32B4F" w14:textId="77777777" w:rsidR="0059437A" w:rsidRPr="00C01031" w:rsidRDefault="0059437A" w:rsidP="0059437A">
      <w:pPr>
        <w:snapToGrid w:val="0"/>
        <w:spacing w:line="480" w:lineRule="auto"/>
        <w:rPr>
          <w:rFonts w:eastAsia="Batang" w:cs="Arial"/>
          <w:color w:val="000000" w:themeColor="text1"/>
          <w:spacing w:val="-4"/>
          <w:szCs w:val="20"/>
          <w:lang w:val="en-US"/>
        </w:rPr>
      </w:pPr>
      <w:r w:rsidRPr="00C01031">
        <w:rPr>
          <w:rFonts w:eastAsia="Batang" w:cs="Arial"/>
          <w:color w:val="000000" w:themeColor="text1"/>
          <w:spacing w:val="-4"/>
          <w:szCs w:val="20"/>
          <w:lang w:val="en-US"/>
        </w:rPr>
        <w:t>Every effort was made to maintain study blinding. Patients were randomized to receive radium­223 or placebo in a double-blind fashion. All patients also received appropriate backbone standard-of-care hormonal therapy, which was locally sourced by the site and was provided in an open-label format. Because of the nature of radium-223, two or more people in each study site’s nuclear medicine department were unblinded to the treatment assigned to patients. One of these unblinded individuals served as a back-up for the other. To maintain the study blind for hospital personnel who provided treatment to each patient, the unblinded person at the study site was responsible for filling the syringe with the correct amount of radium-223 or placebo (saline solution) and labeling it. Both radium-223 and placebo were clear solutions; thus, syringes with radium-223 and placebo could not be visually distinguished. The person performing the study drug administration was blinded to the treatment allocation. Patients were not told whether they had received radium-223 or placebo. All treating physicians, clinical staff, patients, and sponsor personnel were blinded to the treatment to which a patient was randomized, except for named representatives who performed the verification of drug accountability at study sites and drug ordering.</w:t>
      </w:r>
    </w:p>
    <w:p w14:paraId="483131A4" w14:textId="77777777" w:rsidR="0038016C" w:rsidRPr="00C01031" w:rsidRDefault="0038016C" w:rsidP="0038016C">
      <w:pPr>
        <w:snapToGrid w:val="0"/>
        <w:spacing w:line="480" w:lineRule="auto"/>
        <w:rPr>
          <w:rFonts w:eastAsia="Batang" w:cs="Arial"/>
          <w:color w:val="000000" w:themeColor="text1"/>
          <w:spacing w:val="-4"/>
          <w:szCs w:val="20"/>
          <w:lang w:val="en-US"/>
        </w:rPr>
      </w:pPr>
    </w:p>
    <w:p w14:paraId="224A4668" w14:textId="77777777" w:rsidR="0038016C" w:rsidRPr="00C01031" w:rsidRDefault="0038016C" w:rsidP="0038016C">
      <w:pPr>
        <w:pStyle w:val="Head2"/>
        <w:rPr>
          <w:color w:val="000000" w:themeColor="text1"/>
        </w:rPr>
      </w:pPr>
      <w:bookmarkStart w:id="10" w:name="_Toc131600510"/>
      <w:r w:rsidRPr="00C01031">
        <w:rPr>
          <w:color w:val="000000" w:themeColor="text1"/>
        </w:rPr>
        <w:t>Study termination</w:t>
      </w:r>
      <w:bookmarkEnd w:id="10"/>
    </w:p>
    <w:p w14:paraId="5D194245" w14:textId="26F23554" w:rsidR="00E57495" w:rsidRPr="00C01031" w:rsidRDefault="00FA1783" w:rsidP="00E57495">
      <w:pPr>
        <w:snapToGrid w:val="0"/>
        <w:spacing w:line="480" w:lineRule="auto"/>
        <w:rPr>
          <w:rFonts w:eastAsia="Batang" w:cs="Arial"/>
          <w:color w:val="000000" w:themeColor="text1"/>
          <w:spacing w:val="-4"/>
          <w:szCs w:val="20"/>
          <w:lang w:val="en-US"/>
        </w:rPr>
      </w:pPr>
      <w:r w:rsidRPr="00C01031">
        <w:rPr>
          <w:color w:val="000000" w:themeColor="text1"/>
          <w:lang w:val="en-US"/>
        </w:rPr>
        <w:t xml:space="preserve">An administrative interim analysis of </w:t>
      </w:r>
      <w:r w:rsidR="00805963" w:rsidRPr="00C01031">
        <w:rPr>
          <w:color w:val="000000" w:themeColor="text1"/>
          <w:lang w:val="en-US"/>
        </w:rPr>
        <w:t xml:space="preserve">efficacy and safety </w:t>
      </w:r>
      <w:r w:rsidRPr="00C01031">
        <w:rPr>
          <w:color w:val="000000" w:themeColor="text1"/>
          <w:lang w:val="en-US"/>
        </w:rPr>
        <w:t xml:space="preserve">was conducted </w:t>
      </w:r>
      <w:r w:rsidR="007604A8" w:rsidRPr="00C01031">
        <w:rPr>
          <w:rFonts w:eastAsia="Batang" w:cs="Arial"/>
          <w:color w:val="000000" w:themeColor="text1"/>
          <w:spacing w:val="-4"/>
          <w:szCs w:val="20"/>
          <w:lang w:val="en-US"/>
        </w:rPr>
        <w:t xml:space="preserve">on December 5, 2017 </w:t>
      </w:r>
      <w:r w:rsidRPr="00C01031">
        <w:rPr>
          <w:color w:val="000000" w:themeColor="text1"/>
          <w:lang w:val="en-US"/>
        </w:rPr>
        <w:t xml:space="preserve">to inform phase 3 development plans for radium-223 in breast cancer. </w:t>
      </w:r>
      <w:r w:rsidR="00D54E94" w:rsidRPr="00C01031">
        <w:rPr>
          <w:color w:val="000000" w:themeColor="text1"/>
          <w:lang w:val="en-US"/>
        </w:rPr>
        <w:t>T</w:t>
      </w:r>
      <w:r w:rsidRPr="00C01031">
        <w:rPr>
          <w:rFonts w:eastAsia="Batang" w:cs="Arial"/>
          <w:color w:val="000000" w:themeColor="text1"/>
          <w:spacing w:val="-4"/>
          <w:szCs w:val="20"/>
          <w:lang w:val="en-US"/>
        </w:rPr>
        <w:t xml:space="preserve">he </w:t>
      </w:r>
      <w:r w:rsidR="00E57495" w:rsidRPr="00C01031">
        <w:rPr>
          <w:rFonts w:eastAsia="Batang" w:cs="Arial"/>
          <w:color w:val="000000" w:themeColor="text1"/>
          <w:spacing w:val="-4"/>
          <w:szCs w:val="20"/>
          <w:lang w:val="en-US"/>
        </w:rPr>
        <w:t xml:space="preserve">interim data review was added by Protocol Amendment 7 of Study A, to be </w:t>
      </w:r>
      <w:r w:rsidR="003C565A" w:rsidRPr="00C01031">
        <w:rPr>
          <w:rFonts w:eastAsia="Batang" w:cs="Arial"/>
          <w:color w:val="000000" w:themeColor="text1"/>
          <w:spacing w:val="-4"/>
          <w:szCs w:val="20"/>
          <w:lang w:val="en-US"/>
        </w:rPr>
        <w:t>performed</w:t>
      </w:r>
      <w:r w:rsidR="00E57495" w:rsidRPr="00C01031">
        <w:rPr>
          <w:rFonts w:eastAsia="Batang" w:cs="Arial"/>
          <w:color w:val="000000" w:themeColor="text1"/>
          <w:spacing w:val="-4"/>
          <w:szCs w:val="20"/>
          <w:lang w:val="en-US"/>
        </w:rPr>
        <w:t xml:space="preserve"> when approximately 40 radiological progression-free survival (rPFS) events had occurred. </w:t>
      </w:r>
      <w:r w:rsidRPr="00C01031">
        <w:rPr>
          <w:rFonts w:eastAsia="Batang" w:cs="Arial"/>
          <w:color w:val="000000" w:themeColor="text1"/>
          <w:spacing w:val="-4"/>
          <w:szCs w:val="20"/>
          <w:lang w:val="en-US"/>
        </w:rPr>
        <w:t xml:space="preserve">The </w:t>
      </w:r>
      <w:r w:rsidR="00E57495" w:rsidRPr="00C01031">
        <w:rPr>
          <w:rFonts w:eastAsia="Batang" w:cs="Arial"/>
          <w:color w:val="000000" w:themeColor="text1"/>
          <w:spacing w:val="-4"/>
          <w:szCs w:val="20"/>
          <w:lang w:val="en-US"/>
        </w:rPr>
        <w:t xml:space="preserve">interim data review was added by Protocol Amendment 8 of Study B, to be performed when a minimum of 80 rPFS events had been reached. </w:t>
      </w:r>
      <w:r w:rsidR="00753513" w:rsidRPr="00C01031">
        <w:rPr>
          <w:rFonts w:eastAsia="Batang" w:cs="Arial"/>
          <w:color w:val="000000" w:themeColor="text1"/>
          <w:spacing w:val="-4"/>
          <w:szCs w:val="20"/>
          <w:lang w:val="en-US"/>
        </w:rPr>
        <w:t>Enrollment was halted while this review was undertaken.</w:t>
      </w:r>
    </w:p>
    <w:p w14:paraId="00963003" w14:textId="2D1040B6" w:rsidR="00E57495" w:rsidRPr="00C01031" w:rsidRDefault="00E57495" w:rsidP="00596DFD">
      <w:pPr>
        <w:snapToGrid w:val="0"/>
        <w:spacing w:line="480" w:lineRule="auto"/>
        <w:rPr>
          <w:color w:val="000000" w:themeColor="text1"/>
          <w:lang w:val="en-US"/>
        </w:rPr>
      </w:pPr>
    </w:p>
    <w:p w14:paraId="066F2E4A" w14:textId="4C5E9AE7" w:rsidR="00B82D91" w:rsidRPr="00C01031" w:rsidRDefault="00596DFD" w:rsidP="00B82D91">
      <w:pPr>
        <w:snapToGrid w:val="0"/>
        <w:spacing w:line="480" w:lineRule="auto"/>
        <w:rPr>
          <w:rFonts w:eastAsia="Batang" w:cs="Arial"/>
          <w:color w:val="000000" w:themeColor="text1"/>
          <w:spacing w:val="-4"/>
          <w:szCs w:val="20"/>
          <w:lang w:val="en-US"/>
        </w:rPr>
      </w:pPr>
      <w:r w:rsidRPr="00C01031">
        <w:rPr>
          <w:color w:val="000000" w:themeColor="text1"/>
          <w:lang w:val="en-US"/>
        </w:rPr>
        <w:t>An independent team of statisticians generated unblinded statistical outputs</w:t>
      </w:r>
      <w:r w:rsidR="00F26D45" w:rsidRPr="00C01031">
        <w:rPr>
          <w:color w:val="000000" w:themeColor="text1"/>
          <w:lang w:val="en-US"/>
        </w:rPr>
        <w:t xml:space="preserve"> based on </w:t>
      </w:r>
      <w:r w:rsidR="003B523C" w:rsidRPr="00C01031">
        <w:rPr>
          <w:rFonts w:eastAsia="Batang" w:cs="Arial"/>
          <w:color w:val="000000" w:themeColor="text1"/>
          <w:spacing w:val="-4"/>
          <w:szCs w:val="20"/>
          <w:lang w:val="en-US"/>
        </w:rPr>
        <w:t xml:space="preserve">pooled </w:t>
      </w:r>
      <w:r w:rsidR="00B311A1" w:rsidRPr="00C01031">
        <w:rPr>
          <w:rFonts w:eastAsia="Batang" w:cs="Arial"/>
          <w:color w:val="000000" w:themeColor="text1"/>
          <w:spacing w:val="-4"/>
          <w:szCs w:val="20"/>
          <w:lang w:val="en-US"/>
        </w:rPr>
        <w:t xml:space="preserve">data from </w:t>
      </w:r>
      <w:r w:rsidR="003B523C" w:rsidRPr="00C01031">
        <w:rPr>
          <w:rFonts w:eastAsia="Batang" w:cs="Arial"/>
          <w:color w:val="000000" w:themeColor="text1"/>
          <w:spacing w:val="-4"/>
          <w:szCs w:val="20"/>
          <w:lang w:val="en-US"/>
        </w:rPr>
        <w:t>Study A and Study B</w:t>
      </w:r>
      <w:r w:rsidR="00865530" w:rsidRPr="00C01031">
        <w:rPr>
          <w:color w:val="000000" w:themeColor="text1"/>
          <w:lang w:val="en-US"/>
        </w:rPr>
        <w:t>, which were revi</w:t>
      </w:r>
      <w:r w:rsidR="006F3058" w:rsidRPr="00C01031">
        <w:rPr>
          <w:color w:val="000000" w:themeColor="text1"/>
          <w:lang w:val="en-US"/>
        </w:rPr>
        <w:t>ew</w:t>
      </w:r>
      <w:r w:rsidR="00865530" w:rsidRPr="00C01031">
        <w:rPr>
          <w:color w:val="000000" w:themeColor="text1"/>
          <w:lang w:val="en-US"/>
        </w:rPr>
        <w:t>ed by</w:t>
      </w:r>
      <w:r w:rsidRPr="00C01031">
        <w:rPr>
          <w:color w:val="000000" w:themeColor="text1"/>
          <w:lang w:val="en-US"/>
        </w:rPr>
        <w:t xml:space="preserve"> </w:t>
      </w:r>
      <w:r w:rsidR="00865530" w:rsidRPr="00C01031">
        <w:rPr>
          <w:color w:val="000000" w:themeColor="text1"/>
          <w:lang w:val="en-US"/>
        </w:rPr>
        <w:t>a</w:t>
      </w:r>
      <w:r w:rsidRPr="00C01031">
        <w:rPr>
          <w:color w:val="000000" w:themeColor="text1"/>
          <w:lang w:val="en-US"/>
        </w:rPr>
        <w:t xml:space="preserve">n internal data review committee (IDRC), independent of the study team. The IDRC decision </w:t>
      </w:r>
      <w:r w:rsidR="00865530" w:rsidRPr="00C01031">
        <w:rPr>
          <w:color w:val="000000" w:themeColor="text1"/>
          <w:lang w:val="en-US"/>
        </w:rPr>
        <w:t xml:space="preserve">on whether to proceed to phase 3 </w:t>
      </w:r>
      <w:r w:rsidRPr="00C01031">
        <w:rPr>
          <w:color w:val="000000" w:themeColor="text1"/>
          <w:lang w:val="en-US"/>
        </w:rPr>
        <w:t xml:space="preserve">was based on predefined efficacy criteria laid out in its operational plan and not based on a safety signal. </w:t>
      </w:r>
      <w:r w:rsidR="00D62E1F" w:rsidRPr="00C01031">
        <w:rPr>
          <w:color w:val="000000" w:themeColor="text1"/>
          <w:lang w:val="en-US"/>
        </w:rPr>
        <w:t>A</w:t>
      </w:r>
      <w:r w:rsidR="00D62E1F" w:rsidRPr="00C01031">
        <w:rPr>
          <w:rFonts w:eastAsia="Batang" w:cs="Arial"/>
          <w:color w:val="000000" w:themeColor="text1"/>
          <w:spacing w:val="-4"/>
          <w:szCs w:val="20"/>
          <w:lang w:val="en-US"/>
        </w:rPr>
        <w:t>s prespecified in the IDRC operational plan</w:t>
      </w:r>
      <w:r w:rsidR="006F3058" w:rsidRPr="00C01031">
        <w:rPr>
          <w:color w:val="000000" w:themeColor="text1"/>
          <w:lang w:val="en-US"/>
        </w:rPr>
        <w:t>, s</w:t>
      </w:r>
      <w:r w:rsidR="00B82D91" w:rsidRPr="00C01031">
        <w:rPr>
          <w:rFonts w:eastAsia="Batang" w:cs="Arial"/>
          <w:color w:val="000000" w:themeColor="text1"/>
          <w:spacing w:val="-4"/>
          <w:szCs w:val="20"/>
          <w:lang w:val="en-US"/>
        </w:rPr>
        <w:t>tatistical testing</w:t>
      </w:r>
      <w:bookmarkStart w:id="11" w:name="_Hlk130757530"/>
      <w:r w:rsidR="00B82D91" w:rsidRPr="00C01031">
        <w:rPr>
          <w:rFonts w:eastAsia="Batang" w:cs="Arial"/>
          <w:color w:val="000000" w:themeColor="text1"/>
          <w:spacing w:val="-4"/>
          <w:szCs w:val="20"/>
          <w:lang w:val="en-US"/>
        </w:rPr>
        <w:t xml:space="preserve"> </w:t>
      </w:r>
      <w:bookmarkEnd w:id="11"/>
      <w:r w:rsidR="00B82D91" w:rsidRPr="00C01031">
        <w:rPr>
          <w:rFonts w:eastAsia="Batang" w:cs="Arial"/>
          <w:color w:val="000000" w:themeColor="text1"/>
          <w:spacing w:val="-4"/>
          <w:szCs w:val="20"/>
          <w:lang w:val="en-US"/>
        </w:rPr>
        <w:t>was performed for symptomatic skeletal event-free survival (primary endpoint) and rPFS. Because the review was not intended to assess futility or superiority of the individual studies, no alpha adjustment, beta spending, or power adjustment was applied for this interim analysis.</w:t>
      </w:r>
      <w:r w:rsidR="00D15B12" w:rsidRPr="00C01031">
        <w:rPr>
          <w:rFonts w:eastAsia="Batang" w:cs="Arial"/>
          <w:color w:val="000000" w:themeColor="text1"/>
          <w:spacing w:val="-4"/>
          <w:szCs w:val="20"/>
          <w:lang w:val="en-US"/>
        </w:rPr>
        <w:t xml:space="preserve"> </w:t>
      </w:r>
      <w:r w:rsidR="00600891" w:rsidRPr="00C01031">
        <w:rPr>
          <w:rFonts w:eastAsia="Batang" w:cs="Arial"/>
          <w:color w:val="000000" w:themeColor="text1"/>
          <w:spacing w:val="-4"/>
          <w:szCs w:val="20"/>
          <w:lang w:val="en-US"/>
        </w:rPr>
        <w:t>However, a</w:t>
      </w:r>
      <w:r w:rsidR="00D15B12" w:rsidRPr="00C01031">
        <w:rPr>
          <w:rFonts w:eastAsia="Batang" w:cs="Arial"/>
          <w:color w:val="000000" w:themeColor="text1"/>
          <w:spacing w:val="-4"/>
          <w:szCs w:val="20"/>
          <w:lang w:val="en-US"/>
        </w:rPr>
        <w:t xml:space="preserve">fter the IDRC review, as a result of </w:t>
      </w:r>
      <w:r w:rsidR="004B79B1" w:rsidRPr="00C01031">
        <w:rPr>
          <w:rFonts w:eastAsia="Batang" w:cs="Arial"/>
          <w:color w:val="000000" w:themeColor="text1"/>
          <w:spacing w:val="-4"/>
          <w:szCs w:val="20"/>
          <w:lang w:val="en-US"/>
        </w:rPr>
        <w:t xml:space="preserve">slow recruitment due to </w:t>
      </w:r>
      <w:r w:rsidR="00654F51" w:rsidRPr="00C01031">
        <w:rPr>
          <w:rFonts w:eastAsia="Batang" w:cs="Arial"/>
          <w:color w:val="000000" w:themeColor="text1"/>
          <w:spacing w:val="-4"/>
          <w:szCs w:val="20"/>
          <w:lang w:val="en-US"/>
        </w:rPr>
        <w:t xml:space="preserve">changes in the treatment landscape, </w:t>
      </w:r>
      <w:r w:rsidR="00B82D91" w:rsidRPr="00C01031">
        <w:rPr>
          <w:rFonts w:eastAsia="Batang" w:cs="Arial"/>
          <w:color w:val="000000" w:themeColor="text1"/>
          <w:spacing w:val="-4"/>
          <w:szCs w:val="20"/>
          <w:lang w:val="en-US"/>
        </w:rPr>
        <w:t>enrollment was not continued in either study.</w:t>
      </w:r>
    </w:p>
    <w:p w14:paraId="0E452EFE" w14:textId="77777777" w:rsidR="0059437A" w:rsidRPr="00C01031" w:rsidRDefault="0059437A" w:rsidP="00F25032">
      <w:pPr>
        <w:pStyle w:val="Head1"/>
        <w:rPr>
          <w:color w:val="000000" w:themeColor="text1"/>
        </w:rPr>
      </w:pPr>
      <w:r w:rsidRPr="00C01031">
        <w:rPr>
          <w:color w:val="000000" w:themeColor="text1"/>
          <w:spacing w:val="-4"/>
        </w:rPr>
        <w:br w:type="page"/>
      </w:r>
      <w:bookmarkStart w:id="12" w:name="_Toc131600511"/>
      <w:r w:rsidRPr="00C01031">
        <w:rPr>
          <w:color w:val="000000" w:themeColor="text1"/>
        </w:rPr>
        <w:t>Suppl</w:t>
      </w:r>
      <w:r w:rsidR="00834B08" w:rsidRPr="00C01031">
        <w:rPr>
          <w:color w:val="000000" w:themeColor="text1"/>
        </w:rPr>
        <w:t xml:space="preserve"> </w:t>
      </w:r>
      <w:r w:rsidRPr="00C01031">
        <w:rPr>
          <w:color w:val="000000" w:themeColor="text1"/>
        </w:rPr>
        <w:t>Table 1</w:t>
      </w:r>
      <w:r w:rsidR="00834B08" w:rsidRPr="00C01031">
        <w:rPr>
          <w:color w:val="000000" w:themeColor="text1"/>
        </w:rPr>
        <w:t xml:space="preserve"> </w:t>
      </w:r>
      <w:r w:rsidRPr="00C01031">
        <w:rPr>
          <w:b w:val="0"/>
          <w:bCs w:val="0"/>
          <w:color w:val="000000" w:themeColor="text1"/>
        </w:rPr>
        <w:t>Demographic and baseline characteristics: Study A</w:t>
      </w:r>
      <w:bookmarkEnd w:id="12"/>
      <w:r w:rsidRPr="00C01031">
        <w:rPr>
          <w:color w:val="000000" w:themeColor="text1"/>
        </w:rPr>
        <w:t xml:space="preserve"> </w:t>
      </w:r>
    </w:p>
    <w:tbl>
      <w:tblPr>
        <w:tblW w:w="5147" w:type="pct"/>
        <w:tblLayout w:type="fixed"/>
        <w:tblCellMar>
          <w:top w:w="113" w:type="dxa"/>
          <w:left w:w="57" w:type="dxa"/>
          <w:bottom w:w="113" w:type="dxa"/>
          <w:right w:w="57" w:type="dxa"/>
        </w:tblCellMar>
        <w:tblLook w:val="04A0" w:firstRow="1" w:lastRow="0" w:firstColumn="1" w:lastColumn="0" w:noHBand="0" w:noVBand="1"/>
      </w:tblPr>
      <w:tblGrid>
        <w:gridCol w:w="5669"/>
        <w:gridCol w:w="1984"/>
        <w:gridCol w:w="1984"/>
      </w:tblGrid>
      <w:tr w:rsidR="00C01031" w:rsidRPr="00C01031" w14:paraId="6450294A" w14:textId="77777777" w:rsidTr="0088050B">
        <w:trPr>
          <w:trHeight w:val="475"/>
        </w:trPr>
        <w:tc>
          <w:tcPr>
            <w:tcW w:w="5669" w:type="dxa"/>
            <w:tcBorders>
              <w:top w:val="single" w:sz="4" w:space="0" w:color="auto"/>
              <w:bottom w:val="single" w:sz="4" w:space="0" w:color="auto"/>
            </w:tcBorders>
            <w:shd w:val="clear" w:color="auto" w:fill="auto"/>
          </w:tcPr>
          <w:p w14:paraId="0F2872B6" w14:textId="77777777" w:rsidR="0059437A" w:rsidRPr="00C01031" w:rsidRDefault="0059437A" w:rsidP="0059437A">
            <w:pPr>
              <w:rPr>
                <w:rFonts w:eastAsia="Batang" w:cs="Arial"/>
                <w:color w:val="000000" w:themeColor="text1"/>
                <w:szCs w:val="20"/>
                <w:lang w:val="en-US"/>
              </w:rPr>
            </w:pPr>
            <w:r w:rsidRPr="00C01031">
              <w:rPr>
                <w:rFonts w:eastAsia="Batang" w:cs="Arial"/>
                <w:b/>
                <w:bCs/>
                <w:color w:val="000000" w:themeColor="text1"/>
                <w:szCs w:val="20"/>
                <w:lang w:val="en-US"/>
              </w:rPr>
              <w:t xml:space="preserve">Patient demographics and baseline characteristics (intention-to-treat population, </w:t>
            </w:r>
            <w:r w:rsidRPr="00C01031">
              <w:rPr>
                <w:b/>
                <w:bCs/>
                <w:i/>
                <w:iCs/>
                <w:color w:val="000000" w:themeColor="text1"/>
                <w:lang w:val="en-US"/>
              </w:rPr>
              <w:t>N</w:t>
            </w:r>
            <w:r w:rsidRPr="00C01031">
              <w:rPr>
                <w:rFonts w:eastAsia="Batang" w:cs="Arial"/>
                <w:b/>
                <w:bCs/>
                <w:color w:val="000000" w:themeColor="text1"/>
                <w:szCs w:val="20"/>
                <w:lang w:val="en-US"/>
              </w:rPr>
              <w:t xml:space="preserve"> = 99)</w:t>
            </w:r>
          </w:p>
        </w:tc>
        <w:tc>
          <w:tcPr>
            <w:tcW w:w="1984" w:type="dxa"/>
            <w:tcBorders>
              <w:top w:val="single" w:sz="4" w:space="0" w:color="auto"/>
              <w:bottom w:val="single" w:sz="4" w:space="0" w:color="auto"/>
            </w:tcBorders>
            <w:shd w:val="clear" w:color="auto" w:fill="auto"/>
          </w:tcPr>
          <w:p w14:paraId="1DC55895" w14:textId="77777777" w:rsidR="0059437A" w:rsidRPr="00C01031" w:rsidRDefault="0059437A" w:rsidP="0059437A">
            <w:pPr>
              <w:jc w:val="center"/>
              <w:rPr>
                <w:rFonts w:eastAsia="Batang" w:cs="Arial"/>
                <w:b/>
                <w:color w:val="000000" w:themeColor="text1"/>
                <w:szCs w:val="20"/>
                <w:lang w:val="en-US"/>
              </w:rPr>
            </w:pPr>
            <w:r w:rsidRPr="00C01031">
              <w:rPr>
                <w:rFonts w:eastAsia="Batang" w:cs="Arial"/>
                <w:b/>
                <w:color w:val="000000" w:themeColor="text1"/>
                <w:szCs w:val="20"/>
                <w:lang w:val="en-US"/>
              </w:rPr>
              <w:t>Radium-223 + endocrine therapy</w:t>
            </w:r>
            <w:r w:rsidRPr="00C01031">
              <w:rPr>
                <w:rFonts w:eastAsia="Batang" w:cs="Arial"/>
                <w:b/>
                <w:color w:val="000000" w:themeColor="text1"/>
                <w:szCs w:val="20"/>
                <w:lang w:val="en-US"/>
              </w:rPr>
              <w:br/>
              <w:t>(</w:t>
            </w:r>
            <w:r w:rsidRPr="00C01031">
              <w:rPr>
                <w:rFonts w:eastAsia="Batang" w:cs="Arial"/>
                <w:b/>
                <w:i/>
                <w:color w:val="000000" w:themeColor="text1"/>
                <w:szCs w:val="20"/>
                <w:lang w:val="en-US"/>
              </w:rPr>
              <w:t xml:space="preserve">n </w:t>
            </w:r>
            <w:r w:rsidRPr="00C01031">
              <w:rPr>
                <w:rFonts w:eastAsia="Batang" w:cs="Arial"/>
                <w:b/>
                <w:color w:val="000000" w:themeColor="text1"/>
                <w:szCs w:val="20"/>
                <w:lang w:val="en-US"/>
              </w:rPr>
              <w:t>= 49)</w:t>
            </w:r>
          </w:p>
        </w:tc>
        <w:tc>
          <w:tcPr>
            <w:tcW w:w="1984" w:type="dxa"/>
            <w:tcBorders>
              <w:top w:val="single" w:sz="4" w:space="0" w:color="auto"/>
              <w:bottom w:val="single" w:sz="4" w:space="0" w:color="auto"/>
            </w:tcBorders>
            <w:shd w:val="clear" w:color="auto" w:fill="auto"/>
          </w:tcPr>
          <w:p w14:paraId="36E402E7" w14:textId="77777777" w:rsidR="0059437A" w:rsidRPr="00C01031" w:rsidRDefault="0059437A" w:rsidP="0059437A">
            <w:pPr>
              <w:jc w:val="center"/>
              <w:rPr>
                <w:rFonts w:eastAsia="Batang" w:cs="Arial"/>
                <w:b/>
                <w:color w:val="000000" w:themeColor="text1"/>
                <w:szCs w:val="20"/>
                <w:lang w:val="en-US"/>
              </w:rPr>
            </w:pPr>
            <w:r w:rsidRPr="00C01031">
              <w:rPr>
                <w:rFonts w:eastAsia="Batang" w:cs="Arial"/>
                <w:b/>
                <w:color w:val="000000" w:themeColor="text1"/>
                <w:szCs w:val="20"/>
                <w:lang w:val="en-US"/>
              </w:rPr>
              <w:t>Placebo + endocrine therapy</w:t>
            </w:r>
            <w:r w:rsidRPr="00C01031">
              <w:rPr>
                <w:rFonts w:eastAsia="Batang" w:cs="Arial"/>
                <w:b/>
                <w:color w:val="000000" w:themeColor="text1"/>
                <w:szCs w:val="20"/>
                <w:lang w:val="en-US"/>
              </w:rPr>
              <w:br/>
              <w:t>(</w:t>
            </w:r>
            <w:r w:rsidRPr="00C01031">
              <w:rPr>
                <w:rFonts w:eastAsia="Batang" w:cs="Arial"/>
                <w:b/>
                <w:i/>
                <w:color w:val="000000" w:themeColor="text1"/>
                <w:szCs w:val="20"/>
                <w:lang w:val="en-US"/>
              </w:rPr>
              <w:t xml:space="preserve">n </w:t>
            </w:r>
            <w:r w:rsidRPr="00C01031">
              <w:rPr>
                <w:rFonts w:eastAsia="Batang" w:cs="Arial"/>
                <w:b/>
                <w:color w:val="000000" w:themeColor="text1"/>
                <w:szCs w:val="20"/>
                <w:lang w:val="en-US"/>
              </w:rPr>
              <w:t>= 50)</w:t>
            </w:r>
          </w:p>
        </w:tc>
      </w:tr>
      <w:tr w:rsidR="00C01031" w:rsidRPr="00C01031" w14:paraId="2612EB63" w14:textId="77777777" w:rsidTr="0088050B">
        <w:trPr>
          <w:trHeight w:val="238"/>
        </w:trPr>
        <w:tc>
          <w:tcPr>
            <w:tcW w:w="5669" w:type="dxa"/>
            <w:shd w:val="clear" w:color="auto" w:fill="auto"/>
          </w:tcPr>
          <w:p w14:paraId="724CDFC2"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Age at baseline, mean (SD), years</w:t>
            </w:r>
          </w:p>
        </w:tc>
        <w:tc>
          <w:tcPr>
            <w:tcW w:w="1984" w:type="dxa"/>
            <w:shd w:val="clear" w:color="auto" w:fill="auto"/>
          </w:tcPr>
          <w:p w14:paraId="0A311A8E"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57.1 (11.5)</w:t>
            </w:r>
          </w:p>
        </w:tc>
        <w:tc>
          <w:tcPr>
            <w:tcW w:w="1984" w:type="dxa"/>
            <w:shd w:val="clear" w:color="auto" w:fill="auto"/>
          </w:tcPr>
          <w:p w14:paraId="18D45D7B"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58.7 (12.0)</w:t>
            </w:r>
          </w:p>
        </w:tc>
      </w:tr>
      <w:tr w:rsidR="00C01031" w:rsidRPr="00C01031" w14:paraId="37E65047" w14:textId="77777777" w:rsidTr="0088050B">
        <w:trPr>
          <w:trHeight w:val="238"/>
        </w:trPr>
        <w:tc>
          <w:tcPr>
            <w:tcW w:w="5669" w:type="dxa"/>
            <w:shd w:val="clear" w:color="auto" w:fill="FFFFFF"/>
          </w:tcPr>
          <w:p w14:paraId="3EDCF52E"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Age group,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984" w:type="dxa"/>
            <w:shd w:val="clear" w:color="auto" w:fill="FFFFFF"/>
          </w:tcPr>
          <w:p w14:paraId="3DB6B2BD" w14:textId="77777777" w:rsidR="0059437A" w:rsidRPr="00C01031" w:rsidRDefault="0059437A" w:rsidP="0059437A">
            <w:pPr>
              <w:jc w:val="center"/>
              <w:rPr>
                <w:rFonts w:eastAsia="Batang" w:cs="Arial"/>
                <w:color w:val="000000" w:themeColor="text1"/>
                <w:szCs w:val="20"/>
                <w:lang w:val="en-US"/>
              </w:rPr>
            </w:pPr>
          </w:p>
        </w:tc>
        <w:tc>
          <w:tcPr>
            <w:tcW w:w="1984" w:type="dxa"/>
            <w:shd w:val="clear" w:color="auto" w:fill="FFFFFF"/>
          </w:tcPr>
          <w:p w14:paraId="24F3CC03" w14:textId="77777777" w:rsidR="0059437A" w:rsidRPr="00C01031" w:rsidRDefault="0059437A" w:rsidP="0059437A">
            <w:pPr>
              <w:jc w:val="center"/>
              <w:rPr>
                <w:rFonts w:eastAsia="Batang" w:cs="Arial"/>
                <w:color w:val="000000" w:themeColor="text1"/>
                <w:szCs w:val="20"/>
                <w:lang w:val="en-US"/>
              </w:rPr>
            </w:pPr>
          </w:p>
        </w:tc>
      </w:tr>
      <w:tr w:rsidR="00C01031" w:rsidRPr="00C01031" w14:paraId="57B2F29A" w14:textId="77777777" w:rsidTr="0088050B">
        <w:trPr>
          <w:trHeight w:val="238"/>
        </w:trPr>
        <w:tc>
          <w:tcPr>
            <w:tcW w:w="5669" w:type="dxa"/>
            <w:shd w:val="clear" w:color="auto" w:fill="FFFFFF"/>
          </w:tcPr>
          <w:p w14:paraId="19A28EAF"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&lt;55 years</w:t>
            </w:r>
          </w:p>
        </w:tc>
        <w:tc>
          <w:tcPr>
            <w:tcW w:w="1984" w:type="dxa"/>
            <w:shd w:val="clear" w:color="auto" w:fill="FFFFFF"/>
          </w:tcPr>
          <w:p w14:paraId="0C488FB7"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19 (38.8)</w:t>
            </w:r>
          </w:p>
        </w:tc>
        <w:tc>
          <w:tcPr>
            <w:tcW w:w="1984" w:type="dxa"/>
            <w:shd w:val="clear" w:color="auto" w:fill="FFFFFF"/>
          </w:tcPr>
          <w:p w14:paraId="56BE258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19 (38.0)</w:t>
            </w:r>
          </w:p>
        </w:tc>
      </w:tr>
      <w:tr w:rsidR="00C01031" w:rsidRPr="00C01031" w14:paraId="7BD63E9D" w14:textId="77777777" w:rsidTr="0088050B">
        <w:trPr>
          <w:trHeight w:val="238"/>
        </w:trPr>
        <w:tc>
          <w:tcPr>
            <w:tcW w:w="5669" w:type="dxa"/>
            <w:shd w:val="clear" w:color="auto" w:fill="FFFFFF"/>
          </w:tcPr>
          <w:p w14:paraId="0711E520"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≥55 years</w:t>
            </w:r>
          </w:p>
        </w:tc>
        <w:tc>
          <w:tcPr>
            <w:tcW w:w="1984" w:type="dxa"/>
            <w:shd w:val="clear" w:color="auto" w:fill="FFFFFF"/>
          </w:tcPr>
          <w:p w14:paraId="548FB4AC"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30 (61.2)</w:t>
            </w:r>
          </w:p>
        </w:tc>
        <w:tc>
          <w:tcPr>
            <w:tcW w:w="1984" w:type="dxa"/>
            <w:shd w:val="clear" w:color="auto" w:fill="FFFFFF"/>
          </w:tcPr>
          <w:p w14:paraId="2812FF3B"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31 (62.0)</w:t>
            </w:r>
          </w:p>
        </w:tc>
      </w:tr>
      <w:tr w:rsidR="00C01031" w:rsidRPr="00C01031" w14:paraId="24AA8E19" w14:textId="77777777" w:rsidTr="0088050B">
        <w:trPr>
          <w:trHeight w:val="238"/>
        </w:trPr>
        <w:tc>
          <w:tcPr>
            <w:tcW w:w="5669" w:type="dxa"/>
            <w:shd w:val="clear" w:color="auto" w:fill="FFFFFF"/>
          </w:tcPr>
          <w:p w14:paraId="652D187A"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ECOG performance status at baseline,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984" w:type="dxa"/>
            <w:shd w:val="clear" w:color="auto" w:fill="FFFFFF"/>
          </w:tcPr>
          <w:p w14:paraId="0E10DB83" w14:textId="77777777" w:rsidR="0059437A" w:rsidRPr="00C01031" w:rsidRDefault="0059437A" w:rsidP="0059437A">
            <w:pPr>
              <w:jc w:val="center"/>
              <w:rPr>
                <w:rFonts w:eastAsia="Batang" w:cs="Arial"/>
                <w:color w:val="000000" w:themeColor="text1"/>
                <w:szCs w:val="20"/>
                <w:lang w:val="en-US"/>
              </w:rPr>
            </w:pPr>
          </w:p>
        </w:tc>
        <w:tc>
          <w:tcPr>
            <w:tcW w:w="1984" w:type="dxa"/>
            <w:shd w:val="clear" w:color="auto" w:fill="FFFFFF"/>
          </w:tcPr>
          <w:p w14:paraId="37C1E63D" w14:textId="77777777" w:rsidR="0059437A" w:rsidRPr="00C01031" w:rsidRDefault="0059437A" w:rsidP="0059437A">
            <w:pPr>
              <w:jc w:val="center"/>
              <w:rPr>
                <w:rFonts w:eastAsia="Batang" w:cs="Arial"/>
                <w:color w:val="000000" w:themeColor="text1"/>
                <w:szCs w:val="20"/>
                <w:lang w:val="en-US"/>
              </w:rPr>
            </w:pPr>
          </w:p>
        </w:tc>
      </w:tr>
      <w:tr w:rsidR="00C01031" w:rsidRPr="00C01031" w14:paraId="677C2907" w14:textId="77777777" w:rsidTr="0088050B">
        <w:trPr>
          <w:trHeight w:val="238"/>
        </w:trPr>
        <w:tc>
          <w:tcPr>
            <w:tcW w:w="5669" w:type="dxa"/>
            <w:shd w:val="clear" w:color="auto" w:fill="FFFFFF"/>
          </w:tcPr>
          <w:p w14:paraId="3E1A2A0D"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0</w:t>
            </w:r>
          </w:p>
        </w:tc>
        <w:tc>
          <w:tcPr>
            <w:tcW w:w="1984" w:type="dxa"/>
            <w:shd w:val="clear" w:color="auto" w:fill="FFFFFF"/>
          </w:tcPr>
          <w:p w14:paraId="0CCC0DD1"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25 (51.0)</w:t>
            </w:r>
          </w:p>
        </w:tc>
        <w:tc>
          <w:tcPr>
            <w:tcW w:w="1984" w:type="dxa"/>
            <w:shd w:val="clear" w:color="auto" w:fill="FFFFFF"/>
          </w:tcPr>
          <w:p w14:paraId="0B3ABD48"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20 (40.0)</w:t>
            </w:r>
          </w:p>
        </w:tc>
      </w:tr>
      <w:tr w:rsidR="00C01031" w:rsidRPr="00C01031" w14:paraId="3995F2C4" w14:textId="77777777" w:rsidTr="0088050B">
        <w:trPr>
          <w:trHeight w:val="238"/>
        </w:trPr>
        <w:tc>
          <w:tcPr>
            <w:tcW w:w="5669" w:type="dxa"/>
            <w:shd w:val="clear" w:color="auto" w:fill="FFFFFF"/>
          </w:tcPr>
          <w:p w14:paraId="213EE263"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1</w:t>
            </w:r>
          </w:p>
        </w:tc>
        <w:tc>
          <w:tcPr>
            <w:tcW w:w="1984" w:type="dxa"/>
            <w:shd w:val="clear" w:color="auto" w:fill="FFFFFF"/>
          </w:tcPr>
          <w:p w14:paraId="047FB893"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24 (49.0)</w:t>
            </w:r>
          </w:p>
        </w:tc>
        <w:tc>
          <w:tcPr>
            <w:tcW w:w="1984" w:type="dxa"/>
            <w:shd w:val="clear" w:color="auto" w:fill="FFFFFF"/>
          </w:tcPr>
          <w:p w14:paraId="32D89341"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30 (60.0)</w:t>
            </w:r>
          </w:p>
        </w:tc>
      </w:tr>
      <w:tr w:rsidR="00C01031" w:rsidRPr="00C01031" w14:paraId="5BA679D6" w14:textId="77777777" w:rsidTr="0088050B">
        <w:trPr>
          <w:trHeight w:val="238"/>
        </w:trPr>
        <w:tc>
          <w:tcPr>
            <w:tcW w:w="5669" w:type="dxa"/>
            <w:shd w:val="clear" w:color="auto" w:fill="auto"/>
          </w:tcPr>
          <w:p w14:paraId="488F0DFD"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Menopausal status at baseline,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984" w:type="dxa"/>
            <w:shd w:val="clear" w:color="auto" w:fill="auto"/>
          </w:tcPr>
          <w:p w14:paraId="33187302" w14:textId="77777777" w:rsidR="0059437A" w:rsidRPr="00C01031" w:rsidRDefault="0059437A" w:rsidP="0059437A">
            <w:pPr>
              <w:jc w:val="center"/>
              <w:rPr>
                <w:rFonts w:eastAsia="Batang" w:cs="Arial"/>
                <w:color w:val="000000" w:themeColor="text1"/>
                <w:szCs w:val="20"/>
                <w:lang w:val="en-US"/>
              </w:rPr>
            </w:pPr>
          </w:p>
        </w:tc>
        <w:tc>
          <w:tcPr>
            <w:tcW w:w="1984" w:type="dxa"/>
            <w:shd w:val="clear" w:color="auto" w:fill="auto"/>
          </w:tcPr>
          <w:p w14:paraId="4C00F43C" w14:textId="77777777" w:rsidR="0059437A" w:rsidRPr="00C01031" w:rsidRDefault="0059437A" w:rsidP="0059437A">
            <w:pPr>
              <w:jc w:val="center"/>
              <w:rPr>
                <w:rFonts w:eastAsia="Batang" w:cs="Arial"/>
                <w:color w:val="000000" w:themeColor="text1"/>
                <w:szCs w:val="20"/>
                <w:lang w:val="en-US"/>
              </w:rPr>
            </w:pPr>
          </w:p>
        </w:tc>
      </w:tr>
      <w:tr w:rsidR="00C01031" w:rsidRPr="00C01031" w14:paraId="5DC9A2EA" w14:textId="77777777" w:rsidTr="0088050B">
        <w:trPr>
          <w:trHeight w:val="238"/>
        </w:trPr>
        <w:tc>
          <w:tcPr>
            <w:tcW w:w="5669" w:type="dxa"/>
            <w:shd w:val="clear" w:color="auto" w:fill="auto"/>
          </w:tcPr>
          <w:p w14:paraId="1C9CF0FE"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Premenopausal</w:t>
            </w:r>
          </w:p>
        </w:tc>
        <w:tc>
          <w:tcPr>
            <w:tcW w:w="1984" w:type="dxa"/>
            <w:shd w:val="clear" w:color="auto" w:fill="auto"/>
          </w:tcPr>
          <w:p w14:paraId="4BD6097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7 (14.3)</w:t>
            </w:r>
          </w:p>
        </w:tc>
        <w:tc>
          <w:tcPr>
            <w:tcW w:w="1984" w:type="dxa"/>
            <w:shd w:val="clear" w:color="auto" w:fill="auto"/>
          </w:tcPr>
          <w:p w14:paraId="6D3678E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 (8.0)</w:t>
            </w:r>
          </w:p>
        </w:tc>
      </w:tr>
      <w:tr w:rsidR="00C01031" w:rsidRPr="00C01031" w14:paraId="7D51D310" w14:textId="77777777" w:rsidTr="0088050B">
        <w:trPr>
          <w:trHeight w:val="238"/>
        </w:trPr>
        <w:tc>
          <w:tcPr>
            <w:tcW w:w="5669" w:type="dxa"/>
            <w:shd w:val="clear" w:color="auto" w:fill="auto"/>
          </w:tcPr>
          <w:p w14:paraId="1B7BD93B"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Postmenopausal</w:t>
            </w:r>
          </w:p>
        </w:tc>
        <w:tc>
          <w:tcPr>
            <w:tcW w:w="1984" w:type="dxa"/>
            <w:shd w:val="clear" w:color="auto" w:fill="auto"/>
          </w:tcPr>
          <w:p w14:paraId="79496753"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42 (85.7)</w:t>
            </w:r>
          </w:p>
        </w:tc>
        <w:tc>
          <w:tcPr>
            <w:tcW w:w="1984" w:type="dxa"/>
            <w:shd w:val="clear" w:color="auto" w:fill="auto"/>
          </w:tcPr>
          <w:p w14:paraId="100DD284"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46 (92.0)</w:t>
            </w:r>
          </w:p>
        </w:tc>
      </w:tr>
      <w:tr w:rsidR="00C01031" w:rsidRPr="00C01031" w14:paraId="419EDCCF" w14:textId="77777777" w:rsidTr="0088050B">
        <w:trPr>
          <w:trHeight w:val="238"/>
        </w:trPr>
        <w:tc>
          <w:tcPr>
            <w:tcW w:w="5669" w:type="dxa"/>
            <w:shd w:val="clear" w:color="auto" w:fill="auto"/>
          </w:tcPr>
          <w:p w14:paraId="471B0718"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Progesterone receptor status at initial diagnosis,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984" w:type="dxa"/>
            <w:shd w:val="clear" w:color="auto" w:fill="auto"/>
          </w:tcPr>
          <w:p w14:paraId="72EC0E57" w14:textId="77777777" w:rsidR="0059437A" w:rsidRPr="00C01031" w:rsidRDefault="0059437A" w:rsidP="0059437A">
            <w:pPr>
              <w:jc w:val="center"/>
              <w:rPr>
                <w:rFonts w:eastAsia="Batang" w:cs="Arial"/>
                <w:color w:val="000000" w:themeColor="text1"/>
                <w:szCs w:val="20"/>
                <w:lang w:val="en-US"/>
              </w:rPr>
            </w:pPr>
          </w:p>
        </w:tc>
        <w:tc>
          <w:tcPr>
            <w:tcW w:w="1984" w:type="dxa"/>
            <w:shd w:val="clear" w:color="auto" w:fill="auto"/>
          </w:tcPr>
          <w:p w14:paraId="64EF0BA6" w14:textId="77777777" w:rsidR="0059437A" w:rsidRPr="00C01031" w:rsidRDefault="0059437A" w:rsidP="0059437A">
            <w:pPr>
              <w:jc w:val="center"/>
              <w:rPr>
                <w:rFonts w:eastAsia="Batang" w:cs="Arial"/>
                <w:color w:val="000000" w:themeColor="text1"/>
                <w:szCs w:val="20"/>
                <w:lang w:val="en-US"/>
              </w:rPr>
            </w:pPr>
          </w:p>
        </w:tc>
      </w:tr>
      <w:tr w:rsidR="00C01031" w:rsidRPr="00C01031" w14:paraId="1197CC8D" w14:textId="77777777" w:rsidTr="0088050B">
        <w:trPr>
          <w:trHeight w:val="238"/>
        </w:trPr>
        <w:tc>
          <w:tcPr>
            <w:tcW w:w="5669" w:type="dxa"/>
            <w:shd w:val="clear" w:color="auto" w:fill="auto"/>
          </w:tcPr>
          <w:p w14:paraId="0689D48F"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Positive</w:t>
            </w:r>
          </w:p>
        </w:tc>
        <w:tc>
          <w:tcPr>
            <w:tcW w:w="1984" w:type="dxa"/>
            <w:shd w:val="clear" w:color="auto" w:fill="auto"/>
          </w:tcPr>
          <w:p w14:paraId="70AC1FE1"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43 (87.8)</w:t>
            </w:r>
          </w:p>
        </w:tc>
        <w:tc>
          <w:tcPr>
            <w:tcW w:w="1984" w:type="dxa"/>
            <w:shd w:val="clear" w:color="auto" w:fill="auto"/>
          </w:tcPr>
          <w:p w14:paraId="164FE1D8"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36 (72.0)</w:t>
            </w:r>
          </w:p>
        </w:tc>
      </w:tr>
      <w:tr w:rsidR="00C01031" w:rsidRPr="00C01031" w14:paraId="44ACB476" w14:textId="77777777" w:rsidTr="0088050B">
        <w:trPr>
          <w:trHeight w:val="238"/>
        </w:trPr>
        <w:tc>
          <w:tcPr>
            <w:tcW w:w="5669" w:type="dxa"/>
            <w:shd w:val="clear" w:color="auto" w:fill="auto"/>
          </w:tcPr>
          <w:p w14:paraId="078EEFBA"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Negative</w:t>
            </w:r>
          </w:p>
        </w:tc>
        <w:tc>
          <w:tcPr>
            <w:tcW w:w="1984" w:type="dxa"/>
            <w:shd w:val="clear" w:color="auto" w:fill="auto"/>
          </w:tcPr>
          <w:p w14:paraId="118F7662"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 (8.2)</w:t>
            </w:r>
          </w:p>
        </w:tc>
        <w:tc>
          <w:tcPr>
            <w:tcW w:w="1984" w:type="dxa"/>
            <w:shd w:val="clear" w:color="auto" w:fill="auto"/>
          </w:tcPr>
          <w:p w14:paraId="47BD4FD7"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10 (20.0)</w:t>
            </w:r>
          </w:p>
        </w:tc>
      </w:tr>
      <w:tr w:rsidR="00C01031" w:rsidRPr="00C01031" w14:paraId="49A56117" w14:textId="77777777" w:rsidTr="0088050B">
        <w:trPr>
          <w:trHeight w:val="238"/>
        </w:trPr>
        <w:tc>
          <w:tcPr>
            <w:tcW w:w="5669" w:type="dxa"/>
            <w:shd w:val="clear" w:color="auto" w:fill="auto"/>
          </w:tcPr>
          <w:p w14:paraId="3093E60A"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Unknown</w:t>
            </w:r>
          </w:p>
        </w:tc>
        <w:tc>
          <w:tcPr>
            <w:tcW w:w="1984" w:type="dxa"/>
            <w:shd w:val="clear" w:color="auto" w:fill="auto"/>
          </w:tcPr>
          <w:p w14:paraId="34ECD8F0"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2 (4.1)</w:t>
            </w:r>
          </w:p>
        </w:tc>
        <w:tc>
          <w:tcPr>
            <w:tcW w:w="1984" w:type="dxa"/>
            <w:shd w:val="clear" w:color="auto" w:fill="auto"/>
          </w:tcPr>
          <w:p w14:paraId="7D4B37B7"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 (8.0)</w:t>
            </w:r>
          </w:p>
        </w:tc>
      </w:tr>
      <w:tr w:rsidR="00C01031" w:rsidRPr="00C01031" w14:paraId="3E77A54D" w14:textId="77777777" w:rsidTr="0088050B">
        <w:trPr>
          <w:trHeight w:val="238"/>
        </w:trPr>
        <w:tc>
          <w:tcPr>
            <w:tcW w:w="5669" w:type="dxa"/>
            <w:shd w:val="clear" w:color="auto" w:fill="auto"/>
          </w:tcPr>
          <w:p w14:paraId="688A81B3"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Previous lines of endocrine therapy in metastatic setting,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984" w:type="dxa"/>
            <w:shd w:val="clear" w:color="auto" w:fill="auto"/>
          </w:tcPr>
          <w:p w14:paraId="249EA1C5" w14:textId="77777777" w:rsidR="0059437A" w:rsidRPr="00C01031" w:rsidRDefault="0059437A" w:rsidP="0059437A">
            <w:pPr>
              <w:jc w:val="center"/>
              <w:rPr>
                <w:rFonts w:eastAsia="Batang" w:cs="Arial"/>
                <w:color w:val="000000" w:themeColor="text1"/>
                <w:szCs w:val="20"/>
                <w:lang w:val="en-US"/>
              </w:rPr>
            </w:pPr>
          </w:p>
        </w:tc>
        <w:tc>
          <w:tcPr>
            <w:tcW w:w="1984" w:type="dxa"/>
            <w:shd w:val="clear" w:color="auto" w:fill="auto"/>
          </w:tcPr>
          <w:p w14:paraId="74B0D210" w14:textId="77777777" w:rsidR="0059437A" w:rsidRPr="00C01031" w:rsidRDefault="0059437A" w:rsidP="0059437A">
            <w:pPr>
              <w:jc w:val="center"/>
              <w:rPr>
                <w:rFonts w:eastAsia="Batang" w:cs="Arial"/>
                <w:color w:val="000000" w:themeColor="text1"/>
                <w:szCs w:val="20"/>
                <w:lang w:val="en-US"/>
              </w:rPr>
            </w:pPr>
          </w:p>
        </w:tc>
      </w:tr>
      <w:tr w:rsidR="00C01031" w:rsidRPr="00C01031" w14:paraId="76845032" w14:textId="77777777" w:rsidTr="0088050B">
        <w:trPr>
          <w:trHeight w:val="238"/>
        </w:trPr>
        <w:tc>
          <w:tcPr>
            <w:tcW w:w="5669" w:type="dxa"/>
            <w:shd w:val="clear" w:color="auto" w:fill="auto"/>
          </w:tcPr>
          <w:p w14:paraId="0F0D4D9F"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1</w:t>
            </w:r>
          </w:p>
        </w:tc>
        <w:tc>
          <w:tcPr>
            <w:tcW w:w="1984" w:type="dxa"/>
            <w:shd w:val="clear" w:color="auto" w:fill="auto"/>
          </w:tcPr>
          <w:p w14:paraId="0C678DA7"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32 (65.3)</w:t>
            </w:r>
          </w:p>
        </w:tc>
        <w:tc>
          <w:tcPr>
            <w:tcW w:w="1984" w:type="dxa"/>
            <w:shd w:val="clear" w:color="auto" w:fill="auto"/>
          </w:tcPr>
          <w:p w14:paraId="7BB1FEAE"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32 (64.0)</w:t>
            </w:r>
          </w:p>
        </w:tc>
      </w:tr>
      <w:tr w:rsidR="00C01031" w:rsidRPr="00C01031" w14:paraId="3399E3BE" w14:textId="77777777" w:rsidTr="0088050B">
        <w:trPr>
          <w:trHeight w:val="238"/>
        </w:trPr>
        <w:tc>
          <w:tcPr>
            <w:tcW w:w="5669" w:type="dxa"/>
            <w:shd w:val="clear" w:color="auto" w:fill="auto"/>
          </w:tcPr>
          <w:p w14:paraId="4D057916"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≥2</w:t>
            </w:r>
          </w:p>
        </w:tc>
        <w:tc>
          <w:tcPr>
            <w:tcW w:w="1984" w:type="dxa"/>
            <w:shd w:val="clear" w:color="auto" w:fill="auto"/>
          </w:tcPr>
          <w:p w14:paraId="6603229F"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17 (34.7)</w:t>
            </w:r>
          </w:p>
        </w:tc>
        <w:tc>
          <w:tcPr>
            <w:tcW w:w="1984" w:type="dxa"/>
            <w:shd w:val="clear" w:color="auto" w:fill="auto"/>
          </w:tcPr>
          <w:p w14:paraId="2154219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18 (36.0)</w:t>
            </w:r>
          </w:p>
        </w:tc>
      </w:tr>
      <w:tr w:rsidR="00C01031" w:rsidRPr="00C01031" w14:paraId="5504C71C" w14:textId="77777777" w:rsidTr="0088050B">
        <w:trPr>
          <w:trHeight w:val="238"/>
        </w:trPr>
        <w:tc>
          <w:tcPr>
            <w:tcW w:w="5669" w:type="dxa"/>
            <w:shd w:val="clear" w:color="auto" w:fill="auto"/>
          </w:tcPr>
          <w:p w14:paraId="31C2BED9"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Metastatic status at baseline,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984" w:type="dxa"/>
            <w:shd w:val="clear" w:color="auto" w:fill="auto"/>
          </w:tcPr>
          <w:p w14:paraId="172067F9" w14:textId="77777777" w:rsidR="0059437A" w:rsidRPr="00C01031" w:rsidRDefault="0059437A" w:rsidP="0059437A">
            <w:pPr>
              <w:jc w:val="center"/>
              <w:rPr>
                <w:rFonts w:eastAsia="Batang" w:cs="Arial"/>
                <w:color w:val="000000" w:themeColor="text1"/>
                <w:szCs w:val="20"/>
                <w:lang w:val="en-US"/>
              </w:rPr>
            </w:pPr>
          </w:p>
        </w:tc>
        <w:tc>
          <w:tcPr>
            <w:tcW w:w="1984" w:type="dxa"/>
            <w:shd w:val="clear" w:color="auto" w:fill="auto"/>
          </w:tcPr>
          <w:p w14:paraId="51416677" w14:textId="77777777" w:rsidR="0059437A" w:rsidRPr="00C01031" w:rsidRDefault="0059437A" w:rsidP="0059437A">
            <w:pPr>
              <w:jc w:val="center"/>
              <w:rPr>
                <w:rFonts w:eastAsia="Batang" w:cs="Arial"/>
                <w:color w:val="000000" w:themeColor="text1"/>
                <w:szCs w:val="20"/>
                <w:lang w:val="en-US"/>
              </w:rPr>
            </w:pPr>
          </w:p>
        </w:tc>
      </w:tr>
      <w:tr w:rsidR="00C01031" w:rsidRPr="00C01031" w14:paraId="44B5A3D7" w14:textId="77777777" w:rsidTr="0088050B">
        <w:trPr>
          <w:trHeight w:val="238"/>
        </w:trPr>
        <w:tc>
          <w:tcPr>
            <w:tcW w:w="5669" w:type="dxa"/>
            <w:shd w:val="clear" w:color="auto" w:fill="auto"/>
          </w:tcPr>
          <w:p w14:paraId="33575BE2"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Bone metastases only</w:t>
            </w:r>
          </w:p>
        </w:tc>
        <w:tc>
          <w:tcPr>
            <w:tcW w:w="1984" w:type="dxa"/>
            <w:shd w:val="clear" w:color="auto" w:fill="auto"/>
          </w:tcPr>
          <w:p w14:paraId="396CB75B"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35 (71.4)</w:t>
            </w:r>
          </w:p>
        </w:tc>
        <w:tc>
          <w:tcPr>
            <w:tcW w:w="1984" w:type="dxa"/>
            <w:shd w:val="clear" w:color="auto" w:fill="auto"/>
          </w:tcPr>
          <w:p w14:paraId="1AC2F820"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30 (60.0)</w:t>
            </w:r>
          </w:p>
        </w:tc>
      </w:tr>
      <w:tr w:rsidR="00C01031" w:rsidRPr="00C01031" w14:paraId="0F6F25A8" w14:textId="77777777" w:rsidTr="0088050B">
        <w:trPr>
          <w:trHeight w:val="238"/>
        </w:trPr>
        <w:tc>
          <w:tcPr>
            <w:tcW w:w="5669" w:type="dxa"/>
            <w:shd w:val="clear" w:color="auto" w:fill="auto"/>
          </w:tcPr>
          <w:p w14:paraId="075B3C23"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Bone plus visceral metastases</w:t>
            </w:r>
          </w:p>
        </w:tc>
        <w:tc>
          <w:tcPr>
            <w:tcW w:w="1984" w:type="dxa"/>
            <w:shd w:val="clear" w:color="auto" w:fill="auto"/>
          </w:tcPr>
          <w:p w14:paraId="521EB3B3"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 (12.2)</w:t>
            </w:r>
          </w:p>
        </w:tc>
        <w:tc>
          <w:tcPr>
            <w:tcW w:w="1984" w:type="dxa"/>
            <w:shd w:val="clear" w:color="auto" w:fill="auto"/>
          </w:tcPr>
          <w:p w14:paraId="7EE0C193"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9 (18.0)</w:t>
            </w:r>
          </w:p>
        </w:tc>
      </w:tr>
      <w:tr w:rsidR="00C01031" w:rsidRPr="00C01031" w14:paraId="3AC3A59C" w14:textId="77777777" w:rsidTr="0088050B">
        <w:trPr>
          <w:trHeight w:val="238"/>
        </w:trPr>
        <w:tc>
          <w:tcPr>
            <w:tcW w:w="5669" w:type="dxa"/>
            <w:shd w:val="clear" w:color="auto" w:fill="auto"/>
          </w:tcPr>
          <w:p w14:paraId="36045E3F"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Bone plus non-visceral metastases</w:t>
            </w:r>
          </w:p>
        </w:tc>
        <w:tc>
          <w:tcPr>
            <w:tcW w:w="1984" w:type="dxa"/>
            <w:shd w:val="clear" w:color="auto" w:fill="auto"/>
          </w:tcPr>
          <w:p w14:paraId="60A063E9"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8 (16.3)</w:t>
            </w:r>
          </w:p>
        </w:tc>
        <w:tc>
          <w:tcPr>
            <w:tcW w:w="1984" w:type="dxa"/>
            <w:shd w:val="clear" w:color="auto" w:fill="auto"/>
          </w:tcPr>
          <w:p w14:paraId="0425D75C"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11 (22.0)</w:t>
            </w:r>
          </w:p>
        </w:tc>
      </w:tr>
      <w:tr w:rsidR="00C01031" w:rsidRPr="00C01031" w14:paraId="08DAD000" w14:textId="77777777" w:rsidTr="0088050B">
        <w:trPr>
          <w:trHeight w:val="238"/>
        </w:trPr>
        <w:tc>
          <w:tcPr>
            <w:tcW w:w="5669" w:type="dxa"/>
            <w:shd w:val="clear" w:color="auto" w:fill="auto"/>
          </w:tcPr>
          <w:p w14:paraId="7EB52C8E"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Prior SREs,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984" w:type="dxa"/>
            <w:shd w:val="clear" w:color="auto" w:fill="auto"/>
          </w:tcPr>
          <w:p w14:paraId="077B5074" w14:textId="77777777" w:rsidR="0059437A" w:rsidRPr="00C01031" w:rsidRDefault="0059437A" w:rsidP="0059437A">
            <w:pPr>
              <w:jc w:val="center"/>
              <w:rPr>
                <w:rFonts w:eastAsia="Batang" w:cs="Arial"/>
                <w:color w:val="000000" w:themeColor="text1"/>
                <w:szCs w:val="20"/>
                <w:lang w:val="en-US"/>
              </w:rPr>
            </w:pPr>
          </w:p>
        </w:tc>
        <w:tc>
          <w:tcPr>
            <w:tcW w:w="1984" w:type="dxa"/>
            <w:shd w:val="clear" w:color="auto" w:fill="auto"/>
          </w:tcPr>
          <w:p w14:paraId="20CA3833" w14:textId="77777777" w:rsidR="0059437A" w:rsidRPr="00C01031" w:rsidRDefault="0059437A" w:rsidP="0059437A">
            <w:pPr>
              <w:jc w:val="center"/>
              <w:rPr>
                <w:rFonts w:eastAsia="Batang" w:cs="Arial"/>
                <w:color w:val="000000" w:themeColor="text1"/>
                <w:szCs w:val="20"/>
                <w:lang w:val="en-US"/>
              </w:rPr>
            </w:pPr>
          </w:p>
        </w:tc>
      </w:tr>
      <w:tr w:rsidR="00C01031" w:rsidRPr="00C01031" w14:paraId="7E95A113" w14:textId="77777777" w:rsidTr="0088050B">
        <w:trPr>
          <w:trHeight w:val="238"/>
        </w:trPr>
        <w:tc>
          <w:tcPr>
            <w:tcW w:w="5669" w:type="dxa"/>
            <w:shd w:val="clear" w:color="auto" w:fill="auto"/>
          </w:tcPr>
          <w:p w14:paraId="4D6A50D0"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1</w:t>
            </w:r>
          </w:p>
        </w:tc>
        <w:tc>
          <w:tcPr>
            <w:tcW w:w="1984" w:type="dxa"/>
            <w:shd w:val="clear" w:color="auto" w:fill="auto"/>
          </w:tcPr>
          <w:p w14:paraId="02AB19F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34 (69.4)</w:t>
            </w:r>
          </w:p>
        </w:tc>
        <w:tc>
          <w:tcPr>
            <w:tcW w:w="1984" w:type="dxa"/>
            <w:shd w:val="clear" w:color="auto" w:fill="auto"/>
          </w:tcPr>
          <w:p w14:paraId="79103A33"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31 (62.0)</w:t>
            </w:r>
          </w:p>
        </w:tc>
      </w:tr>
      <w:tr w:rsidR="00C01031" w:rsidRPr="00C01031" w14:paraId="5C778111" w14:textId="77777777" w:rsidTr="0088050B">
        <w:trPr>
          <w:trHeight w:val="238"/>
        </w:trPr>
        <w:tc>
          <w:tcPr>
            <w:tcW w:w="5669" w:type="dxa"/>
            <w:tcBorders>
              <w:bottom w:val="single" w:sz="4" w:space="0" w:color="auto"/>
            </w:tcBorders>
            <w:shd w:val="clear" w:color="auto" w:fill="auto"/>
          </w:tcPr>
          <w:p w14:paraId="4D51520F"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≥2</w:t>
            </w:r>
          </w:p>
        </w:tc>
        <w:tc>
          <w:tcPr>
            <w:tcW w:w="1984" w:type="dxa"/>
            <w:tcBorders>
              <w:bottom w:val="single" w:sz="4" w:space="0" w:color="auto"/>
            </w:tcBorders>
            <w:shd w:val="clear" w:color="auto" w:fill="auto"/>
          </w:tcPr>
          <w:p w14:paraId="43C5E28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15 (30.6)</w:t>
            </w:r>
          </w:p>
        </w:tc>
        <w:tc>
          <w:tcPr>
            <w:tcW w:w="1984" w:type="dxa"/>
            <w:tcBorders>
              <w:bottom w:val="single" w:sz="4" w:space="0" w:color="auto"/>
            </w:tcBorders>
            <w:shd w:val="clear" w:color="auto" w:fill="auto"/>
          </w:tcPr>
          <w:p w14:paraId="1990A0D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19 (38.0)</w:t>
            </w:r>
          </w:p>
        </w:tc>
      </w:tr>
    </w:tbl>
    <w:p w14:paraId="6F9F5A04" w14:textId="77777777" w:rsidR="00CE3621" w:rsidRPr="00C01031" w:rsidRDefault="0059437A" w:rsidP="00CE3621">
      <w:pPr>
        <w:rPr>
          <w:color w:val="000000" w:themeColor="text1"/>
          <w:lang w:val="en-US"/>
        </w:rPr>
      </w:pPr>
      <w:r w:rsidRPr="00C01031">
        <w:rPr>
          <w:color w:val="000000" w:themeColor="text1"/>
          <w:lang w:val="en-US"/>
        </w:rPr>
        <w:t>ECOG, Eastern Cooperative Oncology Group; SD, standard deviation; SRE, skeletal-related event.</w:t>
      </w:r>
    </w:p>
    <w:p w14:paraId="4F4D3A6C" w14:textId="77777777" w:rsidR="0059437A" w:rsidRPr="00C01031" w:rsidRDefault="0059437A" w:rsidP="00CE3621">
      <w:pPr>
        <w:pStyle w:val="Head1"/>
        <w:rPr>
          <w:color w:val="000000" w:themeColor="text1"/>
        </w:rPr>
      </w:pPr>
      <w:r w:rsidRPr="00C01031">
        <w:rPr>
          <w:color w:val="000000" w:themeColor="text1"/>
        </w:rPr>
        <w:br w:type="page"/>
      </w:r>
      <w:bookmarkStart w:id="13" w:name="_Toc131600512"/>
      <w:r w:rsidRPr="00C01031">
        <w:rPr>
          <w:color w:val="000000" w:themeColor="text1"/>
        </w:rPr>
        <w:t>Suppl</w:t>
      </w:r>
      <w:r w:rsidR="00834B08" w:rsidRPr="00C01031">
        <w:rPr>
          <w:color w:val="000000" w:themeColor="text1"/>
        </w:rPr>
        <w:t xml:space="preserve"> </w:t>
      </w:r>
      <w:r w:rsidRPr="00C01031">
        <w:rPr>
          <w:color w:val="000000" w:themeColor="text1"/>
        </w:rPr>
        <w:t xml:space="preserve">Table 2 </w:t>
      </w:r>
      <w:r w:rsidRPr="00C01031">
        <w:rPr>
          <w:b w:val="0"/>
          <w:bCs w:val="0"/>
          <w:color w:val="000000" w:themeColor="text1"/>
        </w:rPr>
        <w:t>Demographic and baseline characteristics: Study B</w:t>
      </w:r>
      <w:bookmarkEnd w:id="13"/>
    </w:p>
    <w:tbl>
      <w:tblPr>
        <w:tblW w:w="5000" w:type="pct"/>
        <w:tblLayout w:type="fixed"/>
        <w:tblCellMar>
          <w:top w:w="113" w:type="dxa"/>
          <w:left w:w="57" w:type="dxa"/>
          <w:bottom w:w="113" w:type="dxa"/>
          <w:right w:w="57" w:type="dxa"/>
        </w:tblCellMar>
        <w:tblLook w:val="04A0" w:firstRow="1" w:lastRow="0" w:firstColumn="1" w:lastColumn="0" w:noHBand="0" w:noVBand="1"/>
      </w:tblPr>
      <w:tblGrid>
        <w:gridCol w:w="6204"/>
        <w:gridCol w:w="1579"/>
        <w:gridCol w:w="1579"/>
      </w:tblGrid>
      <w:tr w:rsidR="00C01031" w:rsidRPr="00C01031" w14:paraId="1A6B1A93" w14:textId="77777777" w:rsidTr="0088050B">
        <w:trPr>
          <w:trHeight w:val="475"/>
        </w:trPr>
        <w:tc>
          <w:tcPr>
            <w:tcW w:w="6204" w:type="dxa"/>
            <w:tcBorders>
              <w:top w:val="single" w:sz="4" w:space="0" w:color="auto"/>
              <w:bottom w:val="single" w:sz="4" w:space="0" w:color="auto"/>
            </w:tcBorders>
            <w:shd w:val="clear" w:color="auto" w:fill="auto"/>
          </w:tcPr>
          <w:p w14:paraId="60C71B85" w14:textId="77777777" w:rsidR="0059437A" w:rsidRPr="00C01031" w:rsidRDefault="0059437A" w:rsidP="0059437A">
            <w:pPr>
              <w:rPr>
                <w:rFonts w:eastAsia="Batang" w:cs="Arial"/>
                <w:b/>
                <w:bCs/>
                <w:color w:val="000000" w:themeColor="text1"/>
                <w:szCs w:val="20"/>
                <w:lang w:val="en-US"/>
              </w:rPr>
            </w:pPr>
            <w:r w:rsidRPr="00C01031">
              <w:rPr>
                <w:rFonts w:eastAsia="Batang" w:cs="Arial"/>
                <w:b/>
                <w:bCs/>
                <w:color w:val="000000" w:themeColor="text1"/>
                <w:szCs w:val="20"/>
                <w:lang w:val="en-US"/>
              </w:rPr>
              <w:t>Patient demographics and baseline characteristics</w:t>
            </w:r>
          </w:p>
          <w:p w14:paraId="5177B8CC" w14:textId="77777777" w:rsidR="0059437A" w:rsidRPr="00C01031" w:rsidRDefault="0059437A" w:rsidP="0059437A">
            <w:pPr>
              <w:rPr>
                <w:rFonts w:eastAsia="Batang" w:cs="Arial"/>
                <w:color w:val="000000" w:themeColor="text1"/>
                <w:szCs w:val="20"/>
                <w:lang w:val="en-US"/>
              </w:rPr>
            </w:pPr>
            <w:r w:rsidRPr="00C01031">
              <w:rPr>
                <w:rFonts w:eastAsia="Batang" w:cs="Arial"/>
                <w:b/>
                <w:bCs/>
                <w:color w:val="000000" w:themeColor="text1"/>
                <w:szCs w:val="20"/>
                <w:lang w:val="en-US"/>
              </w:rPr>
              <w:t xml:space="preserve">(intention-to-treat population, </w:t>
            </w:r>
            <w:r w:rsidRPr="00C01031">
              <w:rPr>
                <w:b/>
                <w:bCs/>
                <w:i/>
                <w:iCs/>
                <w:color w:val="000000" w:themeColor="text1"/>
                <w:lang w:val="en-US"/>
              </w:rPr>
              <w:t>N</w:t>
            </w:r>
            <w:r w:rsidRPr="00C01031">
              <w:rPr>
                <w:rFonts w:eastAsia="Batang" w:cs="Arial"/>
                <w:b/>
                <w:bCs/>
                <w:i/>
                <w:iCs/>
                <w:color w:val="000000" w:themeColor="text1"/>
                <w:szCs w:val="20"/>
                <w:lang w:val="en-US"/>
              </w:rPr>
              <w:t xml:space="preserve"> </w:t>
            </w:r>
            <w:r w:rsidRPr="00C01031">
              <w:rPr>
                <w:rFonts w:eastAsia="Batang" w:cs="Arial"/>
                <w:b/>
                <w:bCs/>
                <w:color w:val="000000" w:themeColor="text1"/>
                <w:szCs w:val="20"/>
                <w:lang w:val="en-US"/>
              </w:rPr>
              <w:t>= 283)</w:t>
            </w:r>
          </w:p>
        </w:tc>
        <w:tc>
          <w:tcPr>
            <w:tcW w:w="1579" w:type="dxa"/>
            <w:tcBorders>
              <w:top w:val="single" w:sz="4" w:space="0" w:color="auto"/>
              <w:bottom w:val="single" w:sz="4" w:space="0" w:color="auto"/>
            </w:tcBorders>
            <w:shd w:val="clear" w:color="auto" w:fill="auto"/>
          </w:tcPr>
          <w:p w14:paraId="78F95122" w14:textId="77777777" w:rsidR="0059437A" w:rsidRPr="00C01031" w:rsidRDefault="0059437A" w:rsidP="0059437A">
            <w:pPr>
              <w:jc w:val="center"/>
              <w:rPr>
                <w:rFonts w:eastAsia="Batang" w:cs="Arial"/>
                <w:b/>
                <w:color w:val="000000" w:themeColor="text1"/>
                <w:szCs w:val="20"/>
                <w:lang w:val="en-US"/>
              </w:rPr>
            </w:pPr>
            <w:r w:rsidRPr="00C01031">
              <w:rPr>
                <w:rFonts w:eastAsia="Batang" w:cs="Arial"/>
                <w:b/>
                <w:color w:val="000000" w:themeColor="text1"/>
                <w:szCs w:val="20"/>
                <w:lang w:val="en-US"/>
              </w:rPr>
              <w:t>Radium-223 + endocrine- based therapy</w:t>
            </w:r>
            <w:r w:rsidRPr="00C01031">
              <w:rPr>
                <w:rFonts w:eastAsia="Batang" w:cs="Arial"/>
                <w:b/>
                <w:color w:val="000000" w:themeColor="text1"/>
                <w:szCs w:val="20"/>
                <w:lang w:val="en-US"/>
              </w:rPr>
              <w:br/>
              <w:t>(</w:t>
            </w:r>
            <w:r w:rsidRPr="00C01031">
              <w:rPr>
                <w:rFonts w:eastAsia="Batang" w:cs="Arial"/>
                <w:b/>
                <w:i/>
                <w:color w:val="000000" w:themeColor="text1"/>
                <w:szCs w:val="20"/>
                <w:lang w:val="en-US"/>
              </w:rPr>
              <w:t xml:space="preserve">n </w:t>
            </w:r>
            <w:r w:rsidRPr="00C01031">
              <w:rPr>
                <w:rFonts w:eastAsia="Batang" w:cs="Arial"/>
                <w:b/>
                <w:color w:val="000000" w:themeColor="text1"/>
                <w:szCs w:val="20"/>
                <w:lang w:val="en-US"/>
              </w:rPr>
              <w:t>= 142)</w:t>
            </w:r>
          </w:p>
        </w:tc>
        <w:tc>
          <w:tcPr>
            <w:tcW w:w="1579" w:type="dxa"/>
            <w:tcBorders>
              <w:top w:val="single" w:sz="4" w:space="0" w:color="auto"/>
              <w:bottom w:val="single" w:sz="4" w:space="0" w:color="auto"/>
            </w:tcBorders>
            <w:shd w:val="clear" w:color="auto" w:fill="auto"/>
          </w:tcPr>
          <w:p w14:paraId="0FAA7C31" w14:textId="77777777" w:rsidR="0059437A" w:rsidRPr="00C01031" w:rsidRDefault="0059437A" w:rsidP="0059437A">
            <w:pPr>
              <w:jc w:val="center"/>
              <w:rPr>
                <w:rFonts w:eastAsia="Batang" w:cs="Arial"/>
                <w:b/>
                <w:color w:val="000000" w:themeColor="text1"/>
                <w:szCs w:val="20"/>
                <w:lang w:val="en-US"/>
              </w:rPr>
            </w:pPr>
            <w:r w:rsidRPr="00C01031">
              <w:rPr>
                <w:rFonts w:eastAsia="Batang" w:cs="Arial"/>
                <w:b/>
                <w:color w:val="000000" w:themeColor="text1"/>
                <w:szCs w:val="20"/>
                <w:lang w:val="en-US"/>
              </w:rPr>
              <w:t>Placebo + endocrine-based therapy</w:t>
            </w:r>
            <w:r w:rsidRPr="00C01031">
              <w:rPr>
                <w:rFonts w:eastAsia="Batang" w:cs="Arial"/>
                <w:b/>
                <w:color w:val="000000" w:themeColor="text1"/>
                <w:szCs w:val="20"/>
                <w:lang w:val="en-US"/>
              </w:rPr>
              <w:br/>
              <w:t>(</w:t>
            </w:r>
            <w:r w:rsidRPr="00C01031">
              <w:rPr>
                <w:rFonts w:eastAsia="Batang" w:cs="Arial"/>
                <w:b/>
                <w:i/>
                <w:color w:val="000000" w:themeColor="text1"/>
                <w:szCs w:val="20"/>
                <w:lang w:val="en-US"/>
              </w:rPr>
              <w:t xml:space="preserve">n </w:t>
            </w:r>
            <w:r w:rsidRPr="00C01031">
              <w:rPr>
                <w:rFonts w:eastAsia="Batang" w:cs="Arial"/>
                <w:b/>
                <w:color w:val="000000" w:themeColor="text1"/>
                <w:szCs w:val="20"/>
                <w:lang w:val="en-US"/>
              </w:rPr>
              <w:t>= 141)</w:t>
            </w:r>
          </w:p>
        </w:tc>
      </w:tr>
      <w:tr w:rsidR="00C01031" w:rsidRPr="00C01031" w14:paraId="2024E4E7" w14:textId="77777777" w:rsidTr="0088050B">
        <w:trPr>
          <w:trHeight w:val="238"/>
        </w:trPr>
        <w:tc>
          <w:tcPr>
            <w:tcW w:w="6204" w:type="dxa"/>
            <w:shd w:val="clear" w:color="auto" w:fill="auto"/>
          </w:tcPr>
          <w:p w14:paraId="19E74AC7"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Age at baseline, mean (SD), years</w:t>
            </w:r>
          </w:p>
        </w:tc>
        <w:tc>
          <w:tcPr>
            <w:tcW w:w="1579" w:type="dxa"/>
            <w:shd w:val="clear" w:color="auto" w:fill="auto"/>
          </w:tcPr>
          <w:p w14:paraId="592C71CF"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60.0 (10.4)</w:t>
            </w:r>
          </w:p>
        </w:tc>
        <w:tc>
          <w:tcPr>
            <w:tcW w:w="1579" w:type="dxa"/>
            <w:shd w:val="clear" w:color="auto" w:fill="auto"/>
          </w:tcPr>
          <w:p w14:paraId="1916F0E9"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59.1 (11.6)</w:t>
            </w:r>
          </w:p>
        </w:tc>
      </w:tr>
      <w:tr w:rsidR="00C01031" w:rsidRPr="00C01031" w14:paraId="47AECF2E" w14:textId="77777777" w:rsidTr="0088050B">
        <w:trPr>
          <w:trHeight w:val="238"/>
        </w:trPr>
        <w:tc>
          <w:tcPr>
            <w:tcW w:w="6204" w:type="dxa"/>
            <w:shd w:val="clear" w:color="auto" w:fill="FFFFFF"/>
          </w:tcPr>
          <w:p w14:paraId="426E259E"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Age group,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579" w:type="dxa"/>
            <w:shd w:val="clear" w:color="auto" w:fill="FFFFFF"/>
          </w:tcPr>
          <w:p w14:paraId="16A604FA" w14:textId="77777777" w:rsidR="0059437A" w:rsidRPr="00C01031" w:rsidRDefault="0059437A" w:rsidP="0059437A">
            <w:pPr>
              <w:jc w:val="center"/>
              <w:rPr>
                <w:rFonts w:eastAsia="Batang" w:cs="Arial"/>
                <w:color w:val="000000" w:themeColor="text1"/>
                <w:szCs w:val="20"/>
                <w:lang w:val="en-US"/>
              </w:rPr>
            </w:pPr>
          </w:p>
        </w:tc>
        <w:tc>
          <w:tcPr>
            <w:tcW w:w="1579" w:type="dxa"/>
            <w:shd w:val="clear" w:color="auto" w:fill="FFFFFF"/>
          </w:tcPr>
          <w:p w14:paraId="7A19B7D8" w14:textId="77777777" w:rsidR="0059437A" w:rsidRPr="00C01031" w:rsidRDefault="0059437A" w:rsidP="0059437A">
            <w:pPr>
              <w:jc w:val="center"/>
              <w:rPr>
                <w:rFonts w:eastAsia="Batang" w:cs="Arial"/>
                <w:color w:val="000000" w:themeColor="text1"/>
                <w:szCs w:val="20"/>
                <w:lang w:val="en-US"/>
              </w:rPr>
            </w:pPr>
          </w:p>
        </w:tc>
      </w:tr>
      <w:tr w:rsidR="00C01031" w:rsidRPr="00C01031" w14:paraId="0E7EC0AB" w14:textId="77777777" w:rsidTr="0088050B">
        <w:trPr>
          <w:trHeight w:val="238"/>
        </w:trPr>
        <w:tc>
          <w:tcPr>
            <w:tcW w:w="6204" w:type="dxa"/>
            <w:shd w:val="clear" w:color="auto" w:fill="FFFFFF"/>
          </w:tcPr>
          <w:p w14:paraId="184EFF57"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&lt;55 years</w:t>
            </w:r>
          </w:p>
        </w:tc>
        <w:tc>
          <w:tcPr>
            <w:tcW w:w="1579" w:type="dxa"/>
            <w:shd w:val="clear" w:color="auto" w:fill="FFFFFF"/>
          </w:tcPr>
          <w:p w14:paraId="29A6681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44 (31.0)</w:t>
            </w:r>
          </w:p>
        </w:tc>
        <w:tc>
          <w:tcPr>
            <w:tcW w:w="1579" w:type="dxa"/>
            <w:shd w:val="clear" w:color="auto" w:fill="FFFFFF"/>
          </w:tcPr>
          <w:p w14:paraId="6FF46976"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51 (36.2)</w:t>
            </w:r>
          </w:p>
        </w:tc>
      </w:tr>
      <w:tr w:rsidR="00C01031" w:rsidRPr="00C01031" w14:paraId="03B8CAD4" w14:textId="77777777" w:rsidTr="0088050B">
        <w:trPr>
          <w:trHeight w:val="238"/>
        </w:trPr>
        <w:tc>
          <w:tcPr>
            <w:tcW w:w="6204" w:type="dxa"/>
            <w:shd w:val="clear" w:color="auto" w:fill="FFFFFF"/>
          </w:tcPr>
          <w:p w14:paraId="2FB209B5"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≥55 years</w:t>
            </w:r>
          </w:p>
        </w:tc>
        <w:tc>
          <w:tcPr>
            <w:tcW w:w="1579" w:type="dxa"/>
            <w:shd w:val="clear" w:color="auto" w:fill="FFFFFF"/>
          </w:tcPr>
          <w:p w14:paraId="5C2B3753"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98 (69.0)</w:t>
            </w:r>
          </w:p>
        </w:tc>
        <w:tc>
          <w:tcPr>
            <w:tcW w:w="1579" w:type="dxa"/>
            <w:shd w:val="clear" w:color="auto" w:fill="FFFFFF"/>
          </w:tcPr>
          <w:p w14:paraId="00F64B70"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90 (63.8)</w:t>
            </w:r>
          </w:p>
        </w:tc>
      </w:tr>
      <w:tr w:rsidR="00C01031" w:rsidRPr="00C01031" w14:paraId="6957D3AA" w14:textId="77777777" w:rsidTr="0088050B">
        <w:trPr>
          <w:trHeight w:val="238"/>
        </w:trPr>
        <w:tc>
          <w:tcPr>
            <w:tcW w:w="6204" w:type="dxa"/>
            <w:shd w:val="clear" w:color="auto" w:fill="auto"/>
          </w:tcPr>
          <w:p w14:paraId="6349D0E6"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ECOG performance status at baseline,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579" w:type="dxa"/>
            <w:shd w:val="clear" w:color="auto" w:fill="auto"/>
          </w:tcPr>
          <w:p w14:paraId="21E0017F" w14:textId="77777777" w:rsidR="0059437A" w:rsidRPr="00C01031" w:rsidRDefault="0059437A" w:rsidP="0059437A">
            <w:pPr>
              <w:jc w:val="center"/>
              <w:rPr>
                <w:rFonts w:eastAsia="Batang" w:cs="Arial"/>
                <w:color w:val="000000" w:themeColor="text1"/>
                <w:szCs w:val="20"/>
                <w:lang w:val="en-US"/>
              </w:rPr>
            </w:pPr>
          </w:p>
        </w:tc>
        <w:tc>
          <w:tcPr>
            <w:tcW w:w="1579" w:type="dxa"/>
            <w:shd w:val="clear" w:color="auto" w:fill="auto"/>
          </w:tcPr>
          <w:p w14:paraId="29A63BFB" w14:textId="77777777" w:rsidR="0059437A" w:rsidRPr="00C01031" w:rsidRDefault="0059437A" w:rsidP="0059437A">
            <w:pPr>
              <w:jc w:val="center"/>
              <w:rPr>
                <w:rFonts w:eastAsia="Batang" w:cs="Arial"/>
                <w:color w:val="000000" w:themeColor="text1"/>
                <w:szCs w:val="20"/>
                <w:lang w:val="en-US"/>
              </w:rPr>
            </w:pPr>
          </w:p>
        </w:tc>
      </w:tr>
      <w:tr w:rsidR="00C01031" w:rsidRPr="00C01031" w14:paraId="7A756630" w14:textId="77777777" w:rsidTr="0088050B">
        <w:trPr>
          <w:trHeight w:val="238"/>
        </w:trPr>
        <w:tc>
          <w:tcPr>
            <w:tcW w:w="6204" w:type="dxa"/>
            <w:shd w:val="clear" w:color="auto" w:fill="auto"/>
          </w:tcPr>
          <w:p w14:paraId="69600589"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Missing data</w:t>
            </w:r>
          </w:p>
        </w:tc>
        <w:tc>
          <w:tcPr>
            <w:tcW w:w="1579" w:type="dxa"/>
            <w:shd w:val="clear" w:color="auto" w:fill="auto"/>
          </w:tcPr>
          <w:p w14:paraId="23C13E60"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0</w:t>
            </w:r>
          </w:p>
        </w:tc>
        <w:tc>
          <w:tcPr>
            <w:tcW w:w="1579" w:type="dxa"/>
            <w:shd w:val="clear" w:color="auto" w:fill="auto"/>
          </w:tcPr>
          <w:p w14:paraId="4782A80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 (2.1)</w:t>
            </w:r>
          </w:p>
        </w:tc>
      </w:tr>
      <w:tr w:rsidR="00C01031" w:rsidRPr="00C01031" w14:paraId="27DBFB9F" w14:textId="77777777" w:rsidTr="0088050B">
        <w:trPr>
          <w:trHeight w:val="238"/>
        </w:trPr>
        <w:tc>
          <w:tcPr>
            <w:tcW w:w="6204" w:type="dxa"/>
            <w:shd w:val="clear" w:color="auto" w:fill="auto"/>
          </w:tcPr>
          <w:p w14:paraId="04DE487C"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0</w:t>
            </w:r>
          </w:p>
        </w:tc>
        <w:tc>
          <w:tcPr>
            <w:tcW w:w="1579" w:type="dxa"/>
            <w:shd w:val="clear" w:color="auto" w:fill="auto"/>
          </w:tcPr>
          <w:p w14:paraId="5E8F7910"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64 (45.1)</w:t>
            </w:r>
          </w:p>
        </w:tc>
        <w:tc>
          <w:tcPr>
            <w:tcW w:w="1579" w:type="dxa"/>
            <w:shd w:val="clear" w:color="auto" w:fill="auto"/>
          </w:tcPr>
          <w:p w14:paraId="4124479C"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69 (48.9)</w:t>
            </w:r>
          </w:p>
        </w:tc>
      </w:tr>
      <w:tr w:rsidR="00C01031" w:rsidRPr="00C01031" w14:paraId="001D76F2" w14:textId="77777777" w:rsidTr="0088050B">
        <w:trPr>
          <w:trHeight w:val="238"/>
        </w:trPr>
        <w:tc>
          <w:tcPr>
            <w:tcW w:w="6204" w:type="dxa"/>
            <w:shd w:val="clear" w:color="auto" w:fill="auto"/>
          </w:tcPr>
          <w:p w14:paraId="3D50D555"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1</w:t>
            </w:r>
          </w:p>
        </w:tc>
        <w:tc>
          <w:tcPr>
            <w:tcW w:w="1579" w:type="dxa"/>
            <w:shd w:val="clear" w:color="auto" w:fill="auto"/>
          </w:tcPr>
          <w:p w14:paraId="6114FE29"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78 (54.9)</w:t>
            </w:r>
          </w:p>
        </w:tc>
        <w:tc>
          <w:tcPr>
            <w:tcW w:w="1579" w:type="dxa"/>
            <w:shd w:val="clear" w:color="auto" w:fill="auto"/>
          </w:tcPr>
          <w:p w14:paraId="7D675464"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69 (48.9)</w:t>
            </w:r>
          </w:p>
        </w:tc>
      </w:tr>
      <w:tr w:rsidR="00C01031" w:rsidRPr="00C01031" w14:paraId="6128F3E3" w14:textId="77777777" w:rsidTr="0088050B">
        <w:trPr>
          <w:trHeight w:val="238"/>
        </w:trPr>
        <w:tc>
          <w:tcPr>
            <w:tcW w:w="6204" w:type="dxa"/>
            <w:shd w:val="clear" w:color="auto" w:fill="auto"/>
          </w:tcPr>
          <w:p w14:paraId="0568C3B6"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Menopausal status at baseline,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579" w:type="dxa"/>
            <w:shd w:val="clear" w:color="auto" w:fill="auto"/>
          </w:tcPr>
          <w:p w14:paraId="1F28CD86" w14:textId="77777777" w:rsidR="0059437A" w:rsidRPr="00C01031" w:rsidRDefault="0059437A" w:rsidP="0059437A">
            <w:pPr>
              <w:jc w:val="center"/>
              <w:rPr>
                <w:rFonts w:eastAsia="Batang" w:cs="Arial"/>
                <w:color w:val="000000" w:themeColor="text1"/>
                <w:szCs w:val="20"/>
                <w:lang w:val="en-US"/>
              </w:rPr>
            </w:pPr>
          </w:p>
        </w:tc>
        <w:tc>
          <w:tcPr>
            <w:tcW w:w="1579" w:type="dxa"/>
            <w:shd w:val="clear" w:color="auto" w:fill="auto"/>
          </w:tcPr>
          <w:p w14:paraId="7B615C90" w14:textId="77777777" w:rsidR="0059437A" w:rsidRPr="00C01031" w:rsidRDefault="0059437A" w:rsidP="0059437A">
            <w:pPr>
              <w:jc w:val="center"/>
              <w:rPr>
                <w:rFonts w:eastAsia="Batang" w:cs="Arial"/>
                <w:color w:val="000000" w:themeColor="text1"/>
                <w:szCs w:val="20"/>
                <w:lang w:val="en-US"/>
              </w:rPr>
            </w:pPr>
          </w:p>
        </w:tc>
      </w:tr>
      <w:tr w:rsidR="00C01031" w:rsidRPr="00C01031" w14:paraId="0C978D18" w14:textId="77777777" w:rsidTr="0088050B">
        <w:trPr>
          <w:trHeight w:val="238"/>
        </w:trPr>
        <w:tc>
          <w:tcPr>
            <w:tcW w:w="6204" w:type="dxa"/>
            <w:shd w:val="clear" w:color="auto" w:fill="auto"/>
          </w:tcPr>
          <w:p w14:paraId="7B213F87"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Premenopausal</w:t>
            </w:r>
          </w:p>
        </w:tc>
        <w:tc>
          <w:tcPr>
            <w:tcW w:w="1579" w:type="dxa"/>
            <w:shd w:val="clear" w:color="auto" w:fill="auto"/>
          </w:tcPr>
          <w:p w14:paraId="458F05BE"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10 (7.0)</w:t>
            </w:r>
          </w:p>
        </w:tc>
        <w:tc>
          <w:tcPr>
            <w:tcW w:w="1579" w:type="dxa"/>
            <w:shd w:val="clear" w:color="auto" w:fill="auto"/>
          </w:tcPr>
          <w:p w14:paraId="1ADC32DA"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14 (9.9)</w:t>
            </w:r>
          </w:p>
        </w:tc>
      </w:tr>
      <w:tr w:rsidR="00C01031" w:rsidRPr="00C01031" w14:paraId="7299B9E3" w14:textId="77777777" w:rsidTr="0088050B">
        <w:trPr>
          <w:trHeight w:val="238"/>
        </w:trPr>
        <w:tc>
          <w:tcPr>
            <w:tcW w:w="6204" w:type="dxa"/>
            <w:shd w:val="clear" w:color="auto" w:fill="auto"/>
          </w:tcPr>
          <w:p w14:paraId="2D0C9887"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Postmenopausal</w:t>
            </w:r>
          </w:p>
        </w:tc>
        <w:tc>
          <w:tcPr>
            <w:tcW w:w="1579" w:type="dxa"/>
            <w:shd w:val="clear" w:color="auto" w:fill="auto"/>
          </w:tcPr>
          <w:p w14:paraId="57443F78"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132 (93.0)</w:t>
            </w:r>
          </w:p>
        </w:tc>
        <w:tc>
          <w:tcPr>
            <w:tcW w:w="1579" w:type="dxa"/>
            <w:shd w:val="clear" w:color="auto" w:fill="auto"/>
          </w:tcPr>
          <w:p w14:paraId="7043C2EC"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127 (90.1)</w:t>
            </w:r>
          </w:p>
        </w:tc>
      </w:tr>
      <w:tr w:rsidR="00C01031" w:rsidRPr="00C01031" w14:paraId="1EBCD91E" w14:textId="77777777" w:rsidTr="0088050B">
        <w:trPr>
          <w:trHeight w:val="238"/>
        </w:trPr>
        <w:tc>
          <w:tcPr>
            <w:tcW w:w="6204" w:type="dxa"/>
            <w:shd w:val="clear" w:color="auto" w:fill="auto"/>
          </w:tcPr>
          <w:p w14:paraId="0E7D37DF"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Progesterone receptor status at initial diagnosis;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579" w:type="dxa"/>
            <w:shd w:val="clear" w:color="auto" w:fill="auto"/>
          </w:tcPr>
          <w:p w14:paraId="74D529F8" w14:textId="77777777" w:rsidR="0059437A" w:rsidRPr="00C01031" w:rsidRDefault="0059437A" w:rsidP="0059437A">
            <w:pPr>
              <w:jc w:val="center"/>
              <w:rPr>
                <w:rFonts w:eastAsia="Batang" w:cs="Arial"/>
                <w:color w:val="000000" w:themeColor="text1"/>
                <w:szCs w:val="20"/>
                <w:lang w:val="en-US"/>
              </w:rPr>
            </w:pPr>
          </w:p>
        </w:tc>
        <w:tc>
          <w:tcPr>
            <w:tcW w:w="1579" w:type="dxa"/>
            <w:shd w:val="clear" w:color="auto" w:fill="auto"/>
          </w:tcPr>
          <w:p w14:paraId="30B805A2" w14:textId="77777777" w:rsidR="0059437A" w:rsidRPr="00C01031" w:rsidRDefault="0059437A" w:rsidP="0059437A">
            <w:pPr>
              <w:jc w:val="center"/>
              <w:rPr>
                <w:rFonts w:eastAsia="Batang" w:cs="Arial"/>
                <w:color w:val="000000" w:themeColor="text1"/>
                <w:szCs w:val="20"/>
                <w:lang w:val="en-US"/>
              </w:rPr>
            </w:pPr>
          </w:p>
        </w:tc>
      </w:tr>
      <w:tr w:rsidR="00C01031" w:rsidRPr="00C01031" w14:paraId="665FE62B" w14:textId="77777777" w:rsidTr="0088050B">
        <w:trPr>
          <w:trHeight w:val="238"/>
        </w:trPr>
        <w:tc>
          <w:tcPr>
            <w:tcW w:w="6204" w:type="dxa"/>
            <w:shd w:val="clear" w:color="auto" w:fill="auto"/>
          </w:tcPr>
          <w:p w14:paraId="4DE20F64"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Positive</w:t>
            </w:r>
          </w:p>
        </w:tc>
        <w:tc>
          <w:tcPr>
            <w:tcW w:w="1579" w:type="dxa"/>
            <w:shd w:val="clear" w:color="auto" w:fill="auto"/>
          </w:tcPr>
          <w:p w14:paraId="747551B5"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117 (82.4)</w:t>
            </w:r>
          </w:p>
        </w:tc>
        <w:tc>
          <w:tcPr>
            <w:tcW w:w="1579" w:type="dxa"/>
            <w:shd w:val="clear" w:color="auto" w:fill="auto"/>
          </w:tcPr>
          <w:p w14:paraId="53CC798D"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105 (74.5)</w:t>
            </w:r>
          </w:p>
        </w:tc>
      </w:tr>
      <w:tr w:rsidR="00C01031" w:rsidRPr="00C01031" w14:paraId="6D4EAF0D" w14:textId="77777777" w:rsidTr="0088050B">
        <w:trPr>
          <w:trHeight w:val="238"/>
        </w:trPr>
        <w:tc>
          <w:tcPr>
            <w:tcW w:w="6204" w:type="dxa"/>
            <w:shd w:val="clear" w:color="auto" w:fill="auto"/>
          </w:tcPr>
          <w:p w14:paraId="080DF88F"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Negative</w:t>
            </w:r>
          </w:p>
        </w:tc>
        <w:tc>
          <w:tcPr>
            <w:tcW w:w="1579" w:type="dxa"/>
            <w:shd w:val="clear" w:color="auto" w:fill="auto"/>
          </w:tcPr>
          <w:p w14:paraId="1B053FDF"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22 (15.5)</w:t>
            </w:r>
          </w:p>
        </w:tc>
        <w:tc>
          <w:tcPr>
            <w:tcW w:w="1579" w:type="dxa"/>
            <w:shd w:val="clear" w:color="auto" w:fill="auto"/>
          </w:tcPr>
          <w:p w14:paraId="33701126"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30 (21.3)</w:t>
            </w:r>
          </w:p>
        </w:tc>
      </w:tr>
      <w:tr w:rsidR="00C01031" w:rsidRPr="00C01031" w14:paraId="752774D3" w14:textId="77777777" w:rsidTr="0088050B">
        <w:trPr>
          <w:trHeight w:val="238"/>
        </w:trPr>
        <w:tc>
          <w:tcPr>
            <w:tcW w:w="6204" w:type="dxa"/>
            <w:shd w:val="clear" w:color="auto" w:fill="auto"/>
          </w:tcPr>
          <w:p w14:paraId="7E9E742A"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Unknown</w:t>
            </w:r>
          </w:p>
        </w:tc>
        <w:tc>
          <w:tcPr>
            <w:tcW w:w="1579" w:type="dxa"/>
            <w:shd w:val="clear" w:color="auto" w:fill="auto"/>
          </w:tcPr>
          <w:p w14:paraId="1FDB6592"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3 (2.1)</w:t>
            </w:r>
          </w:p>
        </w:tc>
        <w:tc>
          <w:tcPr>
            <w:tcW w:w="1579" w:type="dxa"/>
            <w:shd w:val="clear" w:color="auto" w:fill="auto"/>
          </w:tcPr>
          <w:p w14:paraId="3ED464AF"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 (4.3)</w:t>
            </w:r>
          </w:p>
        </w:tc>
      </w:tr>
      <w:tr w:rsidR="00C01031" w:rsidRPr="00C01031" w14:paraId="4318632E" w14:textId="77777777" w:rsidTr="0088050B">
        <w:trPr>
          <w:trHeight w:val="238"/>
        </w:trPr>
        <w:tc>
          <w:tcPr>
            <w:tcW w:w="6204" w:type="dxa"/>
            <w:shd w:val="clear" w:color="auto" w:fill="auto"/>
          </w:tcPr>
          <w:p w14:paraId="05B9A809"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Previous lines of endocrine therapy in metastatic setting,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579" w:type="dxa"/>
            <w:shd w:val="clear" w:color="auto" w:fill="auto"/>
          </w:tcPr>
          <w:p w14:paraId="3E700B9B" w14:textId="77777777" w:rsidR="0059437A" w:rsidRPr="00C01031" w:rsidRDefault="0059437A" w:rsidP="0059437A">
            <w:pPr>
              <w:jc w:val="center"/>
              <w:rPr>
                <w:rFonts w:eastAsia="Batang" w:cs="Arial"/>
                <w:color w:val="000000" w:themeColor="text1"/>
                <w:szCs w:val="20"/>
                <w:lang w:val="en-US"/>
              </w:rPr>
            </w:pPr>
          </w:p>
        </w:tc>
        <w:tc>
          <w:tcPr>
            <w:tcW w:w="1579" w:type="dxa"/>
            <w:shd w:val="clear" w:color="auto" w:fill="auto"/>
          </w:tcPr>
          <w:p w14:paraId="6B7A04D6" w14:textId="77777777" w:rsidR="0059437A" w:rsidRPr="00C01031" w:rsidRDefault="0059437A" w:rsidP="0059437A">
            <w:pPr>
              <w:jc w:val="center"/>
              <w:rPr>
                <w:rFonts w:eastAsia="Batang" w:cs="Arial"/>
                <w:color w:val="000000" w:themeColor="text1"/>
                <w:szCs w:val="20"/>
                <w:lang w:val="en-US"/>
              </w:rPr>
            </w:pPr>
          </w:p>
        </w:tc>
      </w:tr>
      <w:tr w:rsidR="00C01031" w:rsidRPr="00C01031" w14:paraId="2C43FC42" w14:textId="77777777" w:rsidTr="0088050B">
        <w:trPr>
          <w:trHeight w:val="238"/>
        </w:trPr>
        <w:tc>
          <w:tcPr>
            <w:tcW w:w="6204" w:type="dxa"/>
            <w:shd w:val="clear" w:color="auto" w:fill="auto"/>
          </w:tcPr>
          <w:p w14:paraId="19A1A2AC"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1</w:t>
            </w:r>
          </w:p>
        </w:tc>
        <w:tc>
          <w:tcPr>
            <w:tcW w:w="1579" w:type="dxa"/>
            <w:shd w:val="clear" w:color="auto" w:fill="auto"/>
          </w:tcPr>
          <w:p w14:paraId="68EA547C"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75 (52.8)</w:t>
            </w:r>
          </w:p>
        </w:tc>
        <w:tc>
          <w:tcPr>
            <w:tcW w:w="1579" w:type="dxa"/>
            <w:shd w:val="clear" w:color="auto" w:fill="auto"/>
          </w:tcPr>
          <w:p w14:paraId="00B7F523"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75 (53.2)</w:t>
            </w:r>
          </w:p>
        </w:tc>
      </w:tr>
      <w:tr w:rsidR="00C01031" w:rsidRPr="00C01031" w14:paraId="72836AA1" w14:textId="77777777" w:rsidTr="0088050B">
        <w:trPr>
          <w:trHeight w:val="238"/>
        </w:trPr>
        <w:tc>
          <w:tcPr>
            <w:tcW w:w="6204" w:type="dxa"/>
            <w:shd w:val="clear" w:color="auto" w:fill="auto"/>
          </w:tcPr>
          <w:p w14:paraId="473140D3"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≥2</w:t>
            </w:r>
          </w:p>
        </w:tc>
        <w:tc>
          <w:tcPr>
            <w:tcW w:w="1579" w:type="dxa"/>
            <w:shd w:val="clear" w:color="auto" w:fill="auto"/>
          </w:tcPr>
          <w:p w14:paraId="4790C39E"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67 (47.2)</w:t>
            </w:r>
          </w:p>
        </w:tc>
        <w:tc>
          <w:tcPr>
            <w:tcW w:w="1579" w:type="dxa"/>
            <w:shd w:val="clear" w:color="auto" w:fill="auto"/>
          </w:tcPr>
          <w:p w14:paraId="17AD6835"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66 (46.8)</w:t>
            </w:r>
          </w:p>
        </w:tc>
      </w:tr>
      <w:tr w:rsidR="00C01031" w:rsidRPr="00C01031" w14:paraId="1E3495F8" w14:textId="77777777" w:rsidTr="0088050B">
        <w:trPr>
          <w:trHeight w:val="238"/>
        </w:trPr>
        <w:tc>
          <w:tcPr>
            <w:tcW w:w="6204" w:type="dxa"/>
            <w:shd w:val="clear" w:color="auto" w:fill="auto"/>
          </w:tcPr>
          <w:p w14:paraId="369E973A" w14:textId="77777777" w:rsidR="0059437A" w:rsidRPr="00C01031" w:rsidRDefault="0059437A" w:rsidP="0059437A">
            <w:pPr>
              <w:rPr>
                <w:rFonts w:eastAsia="Batang" w:cs="Arial"/>
                <w:color w:val="000000" w:themeColor="text1"/>
                <w:szCs w:val="20"/>
                <w:lang w:val="en-US"/>
              </w:rPr>
            </w:pPr>
            <w:r w:rsidRPr="00C01031">
              <w:rPr>
                <w:rFonts w:eastAsia="Batang" w:cs="Arial"/>
                <w:color w:val="000000" w:themeColor="text1"/>
                <w:szCs w:val="20"/>
                <w:lang w:val="en-US"/>
              </w:rPr>
              <w:t xml:space="preserve">Metastatic status at baseline,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579" w:type="dxa"/>
            <w:shd w:val="clear" w:color="auto" w:fill="auto"/>
          </w:tcPr>
          <w:p w14:paraId="7D1C65E8" w14:textId="77777777" w:rsidR="0059437A" w:rsidRPr="00C01031" w:rsidRDefault="0059437A" w:rsidP="0059437A">
            <w:pPr>
              <w:jc w:val="center"/>
              <w:rPr>
                <w:rFonts w:eastAsia="Batang" w:cs="Arial"/>
                <w:color w:val="000000" w:themeColor="text1"/>
                <w:szCs w:val="20"/>
                <w:lang w:val="en-US"/>
              </w:rPr>
            </w:pPr>
          </w:p>
        </w:tc>
        <w:tc>
          <w:tcPr>
            <w:tcW w:w="1579" w:type="dxa"/>
            <w:shd w:val="clear" w:color="auto" w:fill="auto"/>
          </w:tcPr>
          <w:p w14:paraId="457E6D51" w14:textId="77777777" w:rsidR="0059437A" w:rsidRPr="00C01031" w:rsidRDefault="0059437A" w:rsidP="0059437A">
            <w:pPr>
              <w:jc w:val="center"/>
              <w:rPr>
                <w:rFonts w:eastAsia="Batang" w:cs="Arial"/>
                <w:color w:val="000000" w:themeColor="text1"/>
                <w:szCs w:val="20"/>
                <w:lang w:val="en-US"/>
              </w:rPr>
            </w:pPr>
          </w:p>
        </w:tc>
      </w:tr>
      <w:tr w:rsidR="00C01031" w:rsidRPr="00C01031" w14:paraId="21B4FABD" w14:textId="77777777" w:rsidTr="0088050B">
        <w:trPr>
          <w:trHeight w:val="238"/>
        </w:trPr>
        <w:tc>
          <w:tcPr>
            <w:tcW w:w="6204" w:type="dxa"/>
            <w:shd w:val="clear" w:color="auto" w:fill="auto"/>
          </w:tcPr>
          <w:p w14:paraId="626A00E4"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Bone metastases only</w:t>
            </w:r>
          </w:p>
        </w:tc>
        <w:tc>
          <w:tcPr>
            <w:tcW w:w="1579" w:type="dxa"/>
            <w:shd w:val="clear" w:color="auto" w:fill="auto"/>
          </w:tcPr>
          <w:p w14:paraId="17B114B4"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55 (38.7)</w:t>
            </w:r>
          </w:p>
        </w:tc>
        <w:tc>
          <w:tcPr>
            <w:tcW w:w="1579" w:type="dxa"/>
            <w:shd w:val="clear" w:color="auto" w:fill="auto"/>
          </w:tcPr>
          <w:p w14:paraId="7F740A1D"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59 (41.8)</w:t>
            </w:r>
          </w:p>
        </w:tc>
      </w:tr>
      <w:tr w:rsidR="00C01031" w:rsidRPr="00C01031" w14:paraId="67635E33" w14:textId="77777777" w:rsidTr="0088050B">
        <w:trPr>
          <w:trHeight w:val="238"/>
        </w:trPr>
        <w:tc>
          <w:tcPr>
            <w:tcW w:w="6204" w:type="dxa"/>
            <w:shd w:val="clear" w:color="auto" w:fill="auto"/>
          </w:tcPr>
          <w:p w14:paraId="3703F668"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Bone plus visceral metastases</w:t>
            </w:r>
          </w:p>
        </w:tc>
        <w:tc>
          <w:tcPr>
            <w:tcW w:w="1579" w:type="dxa"/>
            <w:shd w:val="clear" w:color="auto" w:fill="auto"/>
          </w:tcPr>
          <w:p w14:paraId="2E10D424"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66 (46.5)</w:t>
            </w:r>
          </w:p>
        </w:tc>
        <w:tc>
          <w:tcPr>
            <w:tcW w:w="1579" w:type="dxa"/>
            <w:shd w:val="clear" w:color="auto" w:fill="auto"/>
          </w:tcPr>
          <w:p w14:paraId="56A7332E"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67 (47.5)</w:t>
            </w:r>
          </w:p>
        </w:tc>
      </w:tr>
      <w:tr w:rsidR="00C01031" w:rsidRPr="00C01031" w14:paraId="2E309A36" w14:textId="77777777" w:rsidTr="0088050B">
        <w:trPr>
          <w:trHeight w:val="238"/>
        </w:trPr>
        <w:tc>
          <w:tcPr>
            <w:tcW w:w="6204" w:type="dxa"/>
            <w:shd w:val="clear" w:color="auto" w:fill="auto"/>
          </w:tcPr>
          <w:p w14:paraId="6A21B958"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Bone plus non-visceral metastases</w:t>
            </w:r>
          </w:p>
        </w:tc>
        <w:tc>
          <w:tcPr>
            <w:tcW w:w="1579" w:type="dxa"/>
            <w:shd w:val="clear" w:color="auto" w:fill="auto"/>
          </w:tcPr>
          <w:p w14:paraId="2AD0579C"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21 (14.8)</w:t>
            </w:r>
          </w:p>
        </w:tc>
        <w:tc>
          <w:tcPr>
            <w:tcW w:w="1579" w:type="dxa"/>
            <w:shd w:val="clear" w:color="auto" w:fill="auto"/>
          </w:tcPr>
          <w:p w14:paraId="15BDD211"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15 (10.6)</w:t>
            </w:r>
          </w:p>
        </w:tc>
      </w:tr>
      <w:tr w:rsidR="00C01031" w:rsidRPr="00C01031" w14:paraId="4690CD96" w14:textId="77777777" w:rsidTr="0088050B">
        <w:trPr>
          <w:trHeight w:val="238"/>
        </w:trPr>
        <w:tc>
          <w:tcPr>
            <w:tcW w:w="6204" w:type="dxa"/>
            <w:shd w:val="clear" w:color="auto" w:fill="auto"/>
          </w:tcPr>
          <w:p w14:paraId="1998E0C3" w14:textId="77777777" w:rsidR="0059437A" w:rsidRPr="00C01031" w:rsidRDefault="0059437A" w:rsidP="0059437A">
            <w:pPr>
              <w:keepNext/>
              <w:rPr>
                <w:rFonts w:eastAsia="Batang" w:cs="Arial"/>
                <w:color w:val="000000" w:themeColor="text1"/>
                <w:szCs w:val="20"/>
                <w:lang w:val="en-US"/>
              </w:rPr>
            </w:pPr>
            <w:r w:rsidRPr="00C01031">
              <w:rPr>
                <w:rFonts w:eastAsia="Batang" w:cs="Arial"/>
                <w:color w:val="000000" w:themeColor="text1"/>
                <w:szCs w:val="20"/>
                <w:lang w:val="en-US"/>
              </w:rPr>
              <w:t xml:space="preserve">Prior SREs,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579" w:type="dxa"/>
            <w:shd w:val="clear" w:color="auto" w:fill="auto"/>
          </w:tcPr>
          <w:p w14:paraId="18F355D6" w14:textId="77777777" w:rsidR="0059437A" w:rsidRPr="00C01031" w:rsidRDefault="0059437A" w:rsidP="0059437A">
            <w:pPr>
              <w:keepNext/>
              <w:jc w:val="center"/>
              <w:rPr>
                <w:rFonts w:eastAsia="Batang" w:cs="Arial"/>
                <w:color w:val="000000" w:themeColor="text1"/>
                <w:szCs w:val="20"/>
                <w:lang w:val="en-US"/>
              </w:rPr>
            </w:pPr>
          </w:p>
        </w:tc>
        <w:tc>
          <w:tcPr>
            <w:tcW w:w="1579" w:type="dxa"/>
            <w:shd w:val="clear" w:color="auto" w:fill="auto"/>
          </w:tcPr>
          <w:p w14:paraId="4A30A0AC" w14:textId="77777777" w:rsidR="0059437A" w:rsidRPr="00C01031" w:rsidRDefault="0059437A" w:rsidP="0059437A">
            <w:pPr>
              <w:keepNext/>
              <w:jc w:val="center"/>
              <w:rPr>
                <w:rFonts w:eastAsia="Batang" w:cs="Arial"/>
                <w:color w:val="000000" w:themeColor="text1"/>
                <w:szCs w:val="20"/>
                <w:lang w:val="en-US"/>
              </w:rPr>
            </w:pPr>
          </w:p>
        </w:tc>
      </w:tr>
      <w:tr w:rsidR="00C01031" w:rsidRPr="00C01031" w14:paraId="0AF79FDA" w14:textId="77777777" w:rsidTr="0088050B">
        <w:trPr>
          <w:trHeight w:val="238"/>
        </w:trPr>
        <w:tc>
          <w:tcPr>
            <w:tcW w:w="6204" w:type="dxa"/>
            <w:shd w:val="clear" w:color="auto" w:fill="auto"/>
          </w:tcPr>
          <w:p w14:paraId="3C2BCAEF"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Missing data</w:t>
            </w:r>
          </w:p>
        </w:tc>
        <w:tc>
          <w:tcPr>
            <w:tcW w:w="1579" w:type="dxa"/>
            <w:shd w:val="clear" w:color="auto" w:fill="auto"/>
          </w:tcPr>
          <w:p w14:paraId="77150BB0"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0</w:t>
            </w:r>
          </w:p>
        </w:tc>
        <w:tc>
          <w:tcPr>
            <w:tcW w:w="1579" w:type="dxa"/>
            <w:shd w:val="clear" w:color="auto" w:fill="auto"/>
          </w:tcPr>
          <w:p w14:paraId="7D6E491C"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2 (1.4)</w:t>
            </w:r>
          </w:p>
        </w:tc>
      </w:tr>
      <w:tr w:rsidR="00C01031" w:rsidRPr="00C01031" w14:paraId="3D5CCA69" w14:textId="77777777" w:rsidTr="0088050B">
        <w:trPr>
          <w:trHeight w:val="238"/>
        </w:trPr>
        <w:tc>
          <w:tcPr>
            <w:tcW w:w="6204" w:type="dxa"/>
            <w:shd w:val="clear" w:color="auto" w:fill="auto"/>
          </w:tcPr>
          <w:p w14:paraId="58BC183B"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1</w:t>
            </w:r>
          </w:p>
        </w:tc>
        <w:tc>
          <w:tcPr>
            <w:tcW w:w="1579" w:type="dxa"/>
            <w:shd w:val="clear" w:color="auto" w:fill="auto"/>
          </w:tcPr>
          <w:p w14:paraId="42FA6574"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96 (67.6)</w:t>
            </w:r>
          </w:p>
        </w:tc>
        <w:tc>
          <w:tcPr>
            <w:tcW w:w="1579" w:type="dxa"/>
            <w:shd w:val="clear" w:color="auto" w:fill="auto"/>
          </w:tcPr>
          <w:p w14:paraId="1B12DAB3"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94 (66.7)</w:t>
            </w:r>
          </w:p>
        </w:tc>
      </w:tr>
      <w:tr w:rsidR="00C01031" w:rsidRPr="00C01031" w14:paraId="200BE835" w14:textId="77777777" w:rsidTr="0088050B">
        <w:trPr>
          <w:trHeight w:val="238"/>
        </w:trPr>
        <w:tc>
          <w:tcPr>
            <w:tcW w:w="6204" w:type="dxa"/>
            <w:tcBorders>
              <w:bottom w:val="single" w:sz="4" w:space="0" w:color="auto"/>
            </w:tcBorders>
            <w:shd w:val="clear" w:color="auto" w:fill="auto"/>
          </w:tcPr>
          <w:p w14:paraId="2BCDFFA1" w14:textId="77777777" w:rsidR="0059437A" w:rsidRPr="00C01031" w:rsidRDefault="0059437A" w:rsidP="0059437A">
            <w:pPr>
              <w:ind w:left="567"/>
              <w:rPr>
                <w:rFonts w:eastAsia="Batang" w:cs="Arial"/>
                <w:color w:val="000000" w:themeColor="text1"/>
                <w:szCs w:val="20"/>
                <w:lang w:val="en-US"/>
              </w:rPr>
            </w:pPr>
            <w:r w:rsidRPr="00C01031">
              <w:rPr>
                <w:rFonts w:eastAsia="Batang" w:cs="Arial"/>
                <w:color w:val="000000" w:themeColor="text1"/>
                <w:szCs w:val="20"/>
                <w:lang w:val="en-US"/>
              </w:rPr>
              <w:t>2</w:t>
            </w:r>
          </w:p>
        </w:tc>
        <w:tc>
          <w:tcPr>
            <w:tcW w:w="1579" w:type="dxa"/>
            <w:tcBorders>
              <w:bottom w:val="single" w:sz="4" w:space="0" w:color="auto"/>
            </w:tcBorders>
            <w:shd w:val="clear" w:color="auto" w:fill="auto"/>
          </w:tcPr>
          <w:p w14:paraId="18D48308"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46 (32.4)</w:t>
            </w:r>
          </w:p>
        </w:tc>
        <w:tc>
          <w:tcPr>
            <w:tcW w:w="1579" w:type="dxa"/>
            <w:tcBorders>
              <w:bottom w:val="single" w:sz="4" w:space="0" w:color="auto"/>
            </w:tcBorders>
            <w:shd w:val="clear" w:color="auto" w:fill="auto"/>
          </w:tcPr>
          <w:p w14:paraId="2BB37E95" w14:textId="77777777" w:rsidR="0059437A" w:rsidRPr="00C01031" w:rsidRDefault="0059437A" w:rsidP="0059437A">
            <w:pPr>
              <w:jc w:val="center"/>
              <w:rPr>
                <w:rFonts w:eastAsia="Batang" w:cs="Arial"/>
                <w:color w:val="000000" w:themeColor="text1"/>
                <w:szCs w:val="20"/>
                <w:lang w:val="en-US"/>
              </w:rPr>
            </w:pPr>
            <w:r w:rsidRPr="00C01031">
              <w:rPr>
                <w:rFonts w:eastAsia="Batang" w:cs="Arial"/>
                <w:color w:val="000000" w:themeColor="text1"/>
                <w:szCs w:val="20"/>
                <w:lang w:val="en-US"/>
              </w:rPr>
              <w:t>45 (31.9)</w:t>
            </w:r>
          </w:p>
        </w:tc>
      </w:tr>
    </w:tbl>
    <w:p w14:paraId="03D7F713" w14:textId="77777777" w:rsidR="00CE3621" w:rsidRPr="00C01031" w:rsidRDefault="0059437A" w:rsidP="00CE3621">
      <w:pPr>
        <w:rPr>
          <w:color w:val="000000" w:themeColor="text1"/>
          <w:lang w:val="en-US"/>
        </w:rPr>
      </w:pPr>
      <w:r w:rsidRPr="00C01031">
        <w:rPr>
          <w:color w:val="000000" w:themeColor="text1"/>
          <w:lang w:val="en-US"/>
        </w:rPr>
        <w:t>ECOG, Eastern Cooperative Oncology Group; SD, standard deviation; SRE, skeletal-related event.</w:t>
      </w:r>
    </w:p>
    <w:p w14:paraId="0F2E41C3" w14:textId="77777777" w:rsidR="006565C0" w:rsidRPr="00C01031" w:rsidRDefault="0059437A" w:rsidP="006565C0">
      <w:pPr>
        <w:pStyle w:val="Head1"/>
        <w:rPr>
          <w:color w:val="000000" w:themeColor="text1"/>
        </w:rPr>
      </w:pPr>
      <w:r w:rsidRPr="00C01031">
        <w:rPr>
          <w:color w:val="000000" w:themeColor="text1"/>
        </w:rPr>
        <w:br w:type="page"/>
      </w:r>
      <w:bookmarkStart w:id="14" w:name="_Toc131600513"/>
      <w:r w:rsidR="006565C0" w:rsidRPr="00C01031">
        <w:rPr>
          <w:color w:val="000000" w:themeColor="text1"/>
        </w:rPr>
        <w:t xml:space="preserve">Suppl Table 3 </w:t>
      </w:r>
      <w:r w:rsidR="006565C0" w:rsidRPr="00C01031">
        <w:rPr>
          <w:b w:val="0"/>
          <w:bCs w:val="0"/>
          <w:color w:val="000000" w:themeColor="text1"/>
        </w:rPr>
        <w:t>Efficacy outcomes in the individual studies</w:t>
      </w:r>
      <w:r w:rsidR="00895A2F" w:rsidRPr="00C01031">
        <w:rPr>
          <w:b w:val="0"/>
          <w:bCs w:val="0"/>
          <w:color w:val="000000" w:themeColor="text1"/>
        </w:rPr>
        <w:t xml:space="preserve"> (intention-to-treat populations)</w:t>
      </w:r>
      <w:bookmarkEnd w:id="14"/>
    </w:p>
    <w:tbl>
      <w:tblPr>
        <w:tblW w:w="0" w:type="auto"/>
        <w:tblInd w:w="5" w:type="dxa"/>
        <w:tblLayout w:type="fixed"/>
        <w:tblCellMar>
          <w:top w:w="113" w:type="dxa"/>
          <w:left w:w="113" w:type="dxa"/>
          <w:bottom w:w="113" w:type="dxa"/>
          <w:right w:w="113" w:type="dxa"/>
        </w:tblCellMar>
        <w:tblLook w:val="04A0" w:firstRow="1" w:lastRow="0" w:firstColumn="1" w:lastColumn="0" w:noHBand="0" w:noVBand="1"/>
      </w:tblPr>
      <w:tblGrid>
        <w:gridCol w:w="2189"/>
        <w:gridCol w:w="1792"/>
        <w:gridCol w:w="1792"/>
        <w:gridCol w:w="1792"/>
        <w:gridCol w:w="1792"/>
      </w:tblGrid>
      <w:tr w:rsidR="00C01031" w:rsidRPr="00C01031" w14:paraId="675B42F4" w14:textId="77777777" w:rsidTr="00895A2F">
        <w:tc>
          <w:tcPr>
            <w:tcW w:w="2189" w:type="dxa"/>
            <w:vMerge w:val="restart"/>
            <w:tcBorders>
              <w:top w:val="single" w:sz="4" w:space="0" w:color="auto"/>
            </w:tcBorders>
            <w:shd w:val="clear" w:color="auto" w:fill="auto"/>
            <w:vAlign w:val="center"/>
          </w:tcPr>
          <w:p w14:paraId="7C9D8F9B" w14:textId="77777777" w:rsidR="00895A2F" w:rsidRPr="00C01031" w:rsidRDefault="00895A2F" w:rsidP="00895A2F">
            <w:pPr>
              <w:suppressLineNumbers/>
              <w:rPr>
                <w:rFonts w:eastAsia="Batang" w:cs="Arial"/>
                <w:color w:val="000000" w:themeColor="text1"/>
                <w:szCs w:val="20"/>
                <w:lang w:val="en-US"/>
              </w:rPr>
            </w:pPr>
            <w:r w:rsidRPr="00C01031">
              <w:rPr>
                <w:rFonts w:eastAsia="Batang" w:cs="Arial"/>
                <w:color w:val="000000" w:themeColor="text1"/>
                <w:szCs w:val="20"/>
                <w:lang w:val="en-US"/>
              </w:rPr>
              <w:t>Outcome</w:t>
            </w:r>
          </w:p>
        </w:tc>
        <w:tc>
          <w:tcPr>
            <w:tcW w:w="3584" w:type="dxa"/>
            <w:gridSpan w:val="2"/>
            <w:tcBorders>
              <w:top w:val="single" w:sz="4" w:space="0" w:color="auto"/>
              <w:bottom w:val="single" w:sz="4" w:space="0" w:color="auto"/>
            </w:tcBorders>
            <w:shd w:val="clear" w:color="auto" w:fill="auto"/>
            <w:vAlign w:val="center"/>
          </w:tcPr>
          <w:p w14:paraId="439B2F3C"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Study A</w:t>
            </w:r>
          </w:p>
        </w:tc>
        <w:tc>
          <w:tcPr>
            <w:tcW w:w="3584" w:type="dxa"/>
            <w:gridSpan w:val="2"/>
            <w:tcBorders>
              <w:top w:val="single" w:sz="4" w:space="0" w:color="auto"/>
              <w:bottom w:val="single" w:sz="4" w:space="0" w:color="auto"/>
            </w:tcBorders>
            <w:vAlign w:val="center"/>
          </w:tcPr>
          <w:p w14:paraId="336FE970"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Study B</w:t>
            </w:r>
          </w:p>
        </w:tc>
      </w:tr>
      <w:tr w:rsidR="00C01031" w:rsidRPr="00C01031" w14:paraId="07EA5094" w14:textId="77777777" w:rsidTr="00895A2F">
        <w:tc>
          <w:tcPr>
            <w:tcW w:w="2189" w:type="dxa"/>
            <w:vMerge/>
            <w:tcBorders>
              <w:bottom w:val="single" w:sz="4" w:space="0" w:color="auto"/>
            </w:tcBorders>
            <w:shd w:val="clear" w:color="auto" w:fill="auto"/>
            <w:vAlign w:val="center"/>
          </w:tcPr>
          <w:p w14:paraId="33247F9B" w14:textId="77777777" w:rsidR="00895A2F" w:rsidRPr="00C01031" w:rsidRDefault="00895A2F" w:rsidP="000D4A42">
            <w:pPr>
              <w:suppressLineNumbers/>
              <w:rPr>
                <w:rFonts w:eastAsia="Batang" w:cs="Arial"/>
                <w:color w:val="000000" w:themeColor="text1"/>
                <w:szCs w:val="20"/>
                <w:lang w:val="en-US"/>
              </w:rPr>
            </w:pPr>
          </w:p>
        </w:tc>
        <w:tc>
          <w:tcPr>
            <w:tcW w:w="1792" w:type="dxa"/>
            <w:tcBorders>
              <w:top w:val="single" w:sz="4" w:space="0" w:color="auto"/>
              <w:bottom w:val="single" w:sz="4" w:space="0" w:color="auto"/>
            </w:tcBorders>
            <w:shd w:val="clear" w:color="auto" w:fill="auto"/>
            <w:vAlign w:val="center"/>
          </w:tcPr>
          <w:p w14:paraId="1A40258B"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Radium-223</w:t>
            </w:r>
          </w:p>
          <w:p w14:paraId="29ECFCDF"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w:t>
            </w:r>
            <w:r w:rsidRPr="00C01031">
              <w:rPr>
                <w:rFonts w:eastAsia="Batang" w:cs="Arial"/>
                <w:i/>
                <w:iCs/>
                <w:color w:val="000000" w:themeColor="text1"/>
                <w:szCs w:val="20"/>
                <w:lang w:val="en-US"/>
              </w:rPr>
              <w:t xml:space="preserve">n = </w:t>
            </w:r>
            <w:r w:rsidRPr="00C01031">
              <w:rPr>
                <w:rFonts w:eastAsia="Batang" w:cs="Arial"/>
                <w:color w:val="000000" w:themeColor="text1"/>
                <w:szCs w:val="20"/>
                <w:lang w:val="en-US"/>
              </w:rPr>
              <w:t>49)</w:t>
            </w:r>
          </w:p>
        </w:tc>
        <w:tc>
          <w:tcPr>
            <w:tcW w:w="1792" w:type="dxa"/>
            <w:tcBorders>
              <w:top w:val="single" w:sz="4" w:space="0" w:color="auto"/>
              <w:bottom w:val="single" w:sz="4" w:space="0" w:color="auto"/>
            </w:tcBorders>
            <w:shd w:val="clear" w:color="auto" w:fill="auto"/>
            <w:vAlign w:val="center"/>
          </w:tcPr>
          <w:p w14:paraId="03ADB368"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Placebo</w:t>
            </w:r>
          </w:p>
          <w:p w14:paraId="39C85FB1"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 50)</w:t>
            </w:r>
          </w:p>
        </w:tc>
        <w:tc>
          <w:tcPr>
            <w:tcW w:w="1792" w:type="dxa"/>
            <w:tcBorders>
              <w:top w:val="single" w:sz="4" w:space="0" w:color="auto"/>
              <w:bottom w:val="single" w:sz="4" w:space="0" w:color="auto"/>
            </w:tcBorders>
            <w:vAlign w:val="center"/>
          </w:tcPr>
          <w:p w14:paraId="570BEB02"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Radium-223</w:t>
            </w:r>
          </w:p>
          <w:p w14:paraId="7F43802B"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w:t>
            </w:r>
            <w:r w:rsidRPr="00C01031">
              <w:rPr>
                <w:rFonts w:eastAsia="Batang" w:cs="Arial"/>
                <w:i/>
                <w:iCs/>
                <w:color w:val="000000" w:themeColor="text1"/>
                <w:szCs w:val="20"/>
                <w:lang w:val="en-US"/>
              </w:rPr>
              <w:t xml:space="preserve">n = </w:t>
            </w:r>
            <w:r w:rsidRPr="00C01031">
              <w:rPr>
                <w:rFonts w:eastAsia="Batang" w:cs="Arial"/>
                <w:color w:val="000000" w:themeColor="text1"/>
                <w:szCs w:val="20"/>
                <w:lang w:val="en-US"/>
              </w:rPr>
              <w:t>142)</w:t>
            </w:r>
          </w:p>
        </w:tc>
        <w:tc>
          <w:tcPr>
            <w:tcW w:w="1792" w:type="dxa"/>
            <w:tcBorders>
              <w:top w:val="single" w:sz="4" w:space="0" w:color="auto"/>
              <w:bottom w:val="single" w:sz="4" w:space="0" w:color="auto"/>
            </w:tcBorders>
            <w:vAlign w:val="center"/>
          </w:tcPr>
          <w:p w14:paraId="5B98E6A8"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Placebo</w:t>
            </w:r>
          </w:p>
          <w:p w14:paraId="13D5B0BF"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w:t>
            </w:r>
            <w:r w:rsidRPr="00C01031">
              <w:rPr>
                <w:rFonts w:eastAsia="Batang" w:cs="Arial"/>
                <w:i/>
                <w:iCs/>
                <w:color w:val="000000" w:themeColor="text1"/>
                <w:szCs w:val="20"/>
                <w:lang w:val="en-US"/>
              </w:rPr>
              <w:t xml:space="preserve">n = </w:t>
            </w:r>
            <w:r w:rsidRPr="00C01031">
              <w:rPr>
                <w:rFonts w:eastAsia="Batang" w:cs="Arial"/>
                <w:color w:val="000000" w:themeColor="text1"/>
                <w:szCs w:val="20"/>
                <w:lang w:val="en-US"/>
              </w:rPr>
              <w:t>141)</w:t>
            </w:r>
          </w:p>
        </w:tc>
      </w:tr>
      <w:tr w:rsidR="00C01031" w:rsidRPr="00C01031" w14:paraId="1CAD7C19" w14:textId="77777777" w:rsidTr="00895A2F">
        <w:tc>
          <w:tcPr>
            <w:tcW w:w="2189" w:type="dxa"/>
            <w:tcBorders>
              <w:top w:val="single" w:sz="4" w:space="0" w:color="auto"/>
            </w:tcBorders>
            <w:shd w:val="clear" w:color="auto" w:fill="auto"/>
            <w:vAlign w:val="center"/>
          </w:tcPr>
          <w:p w14:paraId="4321F24A" w14:textId="77777777" w:rsidR="006565C0" w:rsidRPr="00C01031" w:rsidRDefault="00895A2F" w:rsidP="00895A2F">
            <w:pPr>
              <w:suppressLineNumbers/>
              <w:rPr>
                <w:rFonts w:eastAsia="Batang" w:cs="Arial"/>
                <w:color w:val="000000" w:themeColor="text1"/>
                <w:szCs w:val="20"/>
                <w:lang w:val="en-US"/>
              </w:rPr>
            </w:pPr>
            <w:r w:rsidRPr="00C01031">
              <w:rPr>
                <w:rFonts w:eastAsia="Batang" w:cs="Arial"/>
                <w:color w:val="000000" w:themeColor="text1"/>
                <w:szCs w:val="20"/>
                <w:lang w:val="en-US"/>
              </w:rPr>
              <w:t>Symptomatic skeletal event-free survival</w:t>
            </w:r>
          </w:p>
        </w:tc>
        <w:tc>
          <w:tcPr>
            <w:tcW w:w="1792" w:type="dxa"/>
            <w:tcBorders>
              <w:top w:val="single" w:sz="4" w:space="0" w:color="auto"/>
            </w:tcBorders>
            <w:shd w:val="clear" w:color="auto" w:fill="auto"/>
            <w:vAlign w:val="center"/>
          </w:tcPr>
          <w:p w14:paraId="0858E763" w14:textId="77777777" w:rsidR="006565C0" w:rsidRPr="00C01031" w:rsidRDefault="006565C0" w:rsidP="00895A2F">
            <w:pPr>
              <w:suppressLineNumbers/>
              <w:jc w:val="center"/>
              <w:rPr>
                <w:rFonts w:eastAsia="Batang" w:cs="Arial"/>
                <w:color w:val="000000" w:themeColor="text1"/>
                <w:szCs w:val="20"/>
                <w:lang w:val="en-US"/>
              </w:rPr>
            </w:pPr>
          </w:p>
        </w:tc>
        <w:tc>
          <w:tcPr>
            <w:tcW w:w="1792" w:type="dxa"/>
            <w:tcBorders>
              <w:top w:val="single" w:sz="4" w:space="0" w:color="auto"/>
            </w:tcBorders>
            <w:shd w:val="clear" w:color="auto" w:fill="auto"/>
            <w:vAlign w:val="center"/>
          </w:tcPr>
          <w:p w14:paraId="55B18706" w14:textId="77777777" w:rsidR="006565C0" w:rsidRPr="00C01031" w:rsidRDefault="006565C0" w:rsidP="00895A2F">
            <w:pPr>
              <w:suppressLineNumbers/>
              <w:jc w:val="center"/>
              <w:rPr>
                <w:rFonts w:eastAsia="Batang" w:cs="Arial"/>
                <w:color w:val="000000" w:themeColor="text1"/>
                <w:szCs w:val="20"/>
                <w:lang w:val="en-US"/>
              </w:rPr>
            </w:pPr>
          </w:p>
        </w:tc>
        <w:tc>
          <w:tcPr>
            <w:tcW w:w="1792" w:type="dxa"/>
            <w:tcBorders>
              <w:top w:val="single" w:sz="4" w:space="0" w:color="auto"/>
            </w:tcBorders>
            <w:vAlign w:val="center"/>
          </w:tcPr>
          <w:p w14:paraId="1695C4A7" w14:textId="77777777" w:rsidR="006565C0" w:rsidRPr="00C01031" w:rsidRDefault="006565C0" w:rsidP="00895A2F">
            <w:pPr>
              <w:suppressLineNumbers/>
              <w:jc w:val="center"/>
              <w:rPr>
                <w:rFonts w:eastAsia="Batang" w:cs="Arial"/>
                <w:color w:val="000000" w:themeColor="text1"/>
                <w:szCs w:val="20"/>
                <w:lang w:val="en-US"/>
              </w:rPr>
            </w:pPr>
          </w:p>
        </w:tc>
        <w:tc>
          <w:tcPr>
            <w:tcW w:w="1792" w:type="dxa"/>
            <w:tcBorders>
              <w:top w:val="single" w:sz="4" w:space="0" w:color="auto"/>
            </w:tcBorders>
            <w:vAlign w:val="center"/>
          </w:tcPr>
          <w:p w14:paraId="0AA5FB7C" w14:textId="77777777" w:rsidR="006565C0" w:rsidRPr="00C01031" w:rsidRDefault="006565C0" w:rsidP="00895A2F">
            <w:pPr>
              <w:suppressLineNumbers/>
              <w:jc w:val="center"/>
              <w:rPr>
                <w:rFonts w:eastAsia="Batang" w:cs="Arial"/>
                <w:color w:val="000000" w:themeColor="text1"/>
                <w:szCs w:val="20"/>
                <w:lang w:val="en-US"/>
              </w:rPr>
            </w:pPr>
          </w:p>
        </w:tc>
      </w:tr>
      <w:tr w:rsidR="00C01031" w:rsidRPr="00C01031" w14:paraId="0CB9A785" w14:textId="77777777" w:rsidTr="00895A2F">
        <w:tc>
          <w:tcPr>
            <w:tcW w:w="2189" w:type="dxa"/>
            <w:shd w:val="clear" w:color="auto" w:fill="auto"/>
            <w:vAlign w:val="center"/>
          </w:tcPr>
          <w:p w14:paraId="467E7976" w14:textId="77777777" w:rsidR="00895A2F" w:rsidRPr="00C01031" w:rsidRDefault="00895A2F" w:rsidP="00895A2F">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 xml:space="preserve">Events,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792" w:type="dxa"/>
            <w:shd w:val="clear" w:color="auto" w:fill="auto"/>
            <w:vAlign w:val="center"/>
          </w:tcPr>
          <w:p w14:paraId="7D068E69"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21 (42.9)</w:t>
            </w:r>
          </w:p>
        </w:tc>
        <w:tc>
          <w:tcPr>
            <w:tcW w:w="1792" w:type="dxa"/>
            <w:shd w:val="clear" w:color="auto" w:fill="auto"/>
            <w:vAlign w:val="center"/>
          </w:tcPr>
          <w:p w14:paraId="7F925D95"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26 (52.0)</w:t>
            </w:r>
          </w:p>
        </w:tc>
        <w:tc>
          <w:tcPr>
            <w:tcW w:w="1792" w:type="dxa"/>
            <w:vAlign w:val="center"/>
          </w:tcPr>
          <w:p w14:paraId="2D1D1EAE" w14:textId="77777777" w:rsidR="00895A2F" w:rsidRPr="00C01031" w:rsidRDefault="007B26FE"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69 (48.6)</w:t>
            </w:r>
          </w:p>
        </w:tc>
        <w:tc>
          <w:tcPr>
            <w:tcW w:w="1792" w:type="dxa"/>
            <w:vAlign w:val="center"/>
          </w:tcPr>
          <w:p w14:paraId="512ED54C" w14:textId="77777777" w:rsidR="00895A2F" w:rsidRPr="00C01031" w:rsidRDefault="007B26FE"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80 (56.7)</w:t>
            </w:r>
          </w:p>
        </w:tc>
      </w:tr>
      <w:tr w:rsidR="00C01031" w:rsidRPr="00C01031" w14:paraId="4B852E0E" w14:textId="77777777" w:rsidTr="00895A2F">
        <w:tc>
          <w:tcPr>
            <w:tcW w:w="2189" w:type="dxa"/>
            <w:shd w:val="clear" w:color="auto" w:fill="auto"/>
            <w:vAlign w:val="center"/>
          </w:tcPr>
          <w:p w14:paraId="495C43CD" w14:textId="77777777" w:rsidR="007B26FE" w:rsidRPr="00C01031" w:rsidRDefault="007B26FE" w:rsidP="00895A2F">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Median (80% CI), months</w:t>
            </w:r>
          </w:p>
        </w:tc>
        <w:tc>
          <w:tcPr>
            <w:tcW w:w="1792" w:type="dxa"/>
            <w:shd w:val="clear" w:color="auto" w:fill="auto"/>
            <w:vAlign w:val="center"/>
          </w:tcPr>
          <w:p w14:paraId="73A1E8EF" w14:textId="77777777" w:rsidR="007B26FE" w:rsidRPr="00C01031" w:rsidRDefault="007B26FE"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30.1 (21.8–43.0)</w:t>
            </w:r>
          </w:p>
        </w:tc>
        <w:tc>
          <w:tcPr>
            <w:tcW w:w="1792" w:type="dxa"/>
            <w:shd w:val="clear" w:color="auto" w:fill="auto"/>
            <w:vAlign w:val="center"/>
          </w:tcPr>
          <w:p w14:paraId="25721462" w14:textId="77777777" w:rsidR="007B26FE" w:rsidRPr="00C01031" w:rsidRDefault="007B26FE"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18.4 (9.1–28.2)</w:t>
            </w:r>
          </w:p>
        </w:tc>
        <w:tc>
          <w:tcPr>
            <w:tcW w:w="1792" w:type="dxa"/>
            <w:vAlign w:val="center"/>
          </w:tcPr>
          <w:p w14:paraId="2484BB4F" w14:textId="77777777" w:rsidR="007B26FE" w:rsidRPr="00C01031" w:rsidRDefault="007B26FE"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21.1 (17.1–23.6)</w:t>
            </w:r>
          </w:p>
        </w:tc>
        <w:tc>
          <w:tcPr>
            <w:tcW w:w="1792" w:type="dxa"/>
            <w:vAlign w:val="center"/>
          </w:tcPr>
          <w:p w14:paraId="13129906" w14:textId="77777777" w:rsidR="007B26FE" w:rsidRPr="00C01031" w:rsidRDefault="007B26FE"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19.9 (16.2–24.2)</w:t>
            </w:r>
          </w:p>
        </w:tc>
      </w:tr>
      <w:tr w:rsidR="00C01031" w:rsidRPr="00C01031" w14:paraId="11CE42E8" w14:textId="77777777" w:rsidTr="00895A2F">
        <w:tc>
          <w:tcPr>
            <w:tcW w:w="2189" w:type="dxa"/>
            <w:shd w:val="clear" w:color="auto" w:fill="auto"/>
            <w:vAlign w:val="center"/>
          </w:tcPr>
          <w:p w14:paraId="4F44B5BD" w14:textId="77777777" w:rsidR="00895A2F" w:rsidRPr="00C01031" w:rsidRDefault="00895A2F" w:rsidP="00895A2F">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HR (95% CI)</w:t>
            </w:r>
          </w:p>
        </w:tc>
        <w:tc>
          <w:tcPr>
            <w:tcW w:w="3584" w:type="dxa"/>
            <w:gridSpan w:val="2"/>
            <w:shd w:val="clear" w:color="auto" w:fill="auto"/>
            <w:vAlign w:val="center"/>
          </w:tcPr>
          <w:p w14:paraId="19FCE7A8" w14:textId="77777777" w:rsidR="00895A2F" w:rsidRPr="00C01031" w:rsidRDefault="00895A2F"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0.7</w:t>
            </w:r>
            <w:r w:rsidR="00777263" w:rsidRPr="00C01031">
              <w:rPr>
                <w:rFonts w:eastAsia="Batang" w:cs="Arial"/>
                <w:color w:val="000000" w:themeColor="text1"/>
                <w:szCs w:val="20"/>
                <w:lang w:val="en-US"/>
              </w:rPr>
              <w:t>4</w:t>
            </w:r>
            <w:r w:rsidRPr="00C01031">
              <w:rPr>
                <w:rFonts w:eastAsia="Batang" w:cs="Arial"/>
                <w:color w:val="000000" w:themeColor="text1"/>
                <w:szCs w:val="20"/>
                <w:lang w:val="en-US"/>
              </w:rPr>
              <w:t>5 (0.</w:t>
            </w:r>
            <w:r w:rsidR="00777263" w:rsidRPr="00C01031">
              <w:rPr>
                <w:rFonts w:eastAsia="Batang" w:cs="Arial"/>
                <w:color w:val="000000" w:themeColor="text1"/>
                <w:szCs w:val="20"/>
                <w:lang w:val="en-US"/>
              </w:rPr>
              <w:t>409</w:t>
            </w:r>
            <w:r w:rsidRPr="00C01031">
              <w:rPr>
                <w:rFonts w:eastAsia="Batang" w:cs="Arial"/>
                <w:color w:val="000000" w:themeColor="text1"/>
                <w:szCs w:val="20"/>
                <w:lang w:val="en-US"/>
              </w:rPr>
              <w:t>–1.3</w:t>
            </w:r>
            <w:r w:rsidR="00777263" w:rsidRPr="00C01031">
              <w:rPr>
                <w:rFonts w:eastAsia="Batang" w:cs="Arial"/>
                <w:color w:val="000000" w:themeColor="text1"/>
                <w:szCs w:val="20"/>
                <w:lang w:val="en-US"/>
              </w:rPr>
              <w:t>5</w:t>
            </w:r>
            <w:r w:rsidRPr="00C01031">
              <w:rPr>
                <w:rFonts w:eastAsia="Batang" w:cs="Arial"/>
                <w:color w:val="000000" w:themeColor="text1"/>
                <w:szCs w:val="20"/>
                <w:lang w:val="en-US"/>
              </w:rPr>
              <w:t>6)</w:t>
            </w:r>
          </w:p>
        </w:tc>
        <w:tc>
          <w:tcPr>
            <w:tcW w:w="3584" w:type="dxa"/>
            <w:gridSpan w:val="2"/>
            <w:vAlign w:val="center"/>
          </w:tcPr>
          <w:p w14:paraId="164FE343" w14:textId="77777777" w:rsidR="00895A2F" w:rsidRPr="00C01031" w:rsidRDefault="007B26FE" w:rsidP="00895A2F">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0.891 (0.643–1.233)</w:t>
            </w:r>
          </w:p>
        </w:tc>
      </w:tr>
      <w:tr w:rsidR="00C01031" w:rsidRPr="00C01031" w14:paraId="53B21DB1" w14:textId="77777777" w:rsidTr="00690A48">
        <w:tc>
          <w:tcPr>
            <w:tcW w:w="2189" w:type="dxa"/>
            <w:shd w:val="clear" w:color="auto" w:fill="auto"/>
            <w:vAlign w:val="center"/>
          </w:tcPr>
          <w:p w14:paraId="30E96F49" w14:textId="77777777" w:rsidR="00777263" w:rsidRPr="00C01031" w:rsidRDefault="00777263" w:rsidP="00690A48">
            <w:pPr>
              <w:suppressLineNumbers/>
              <w:rPr>
                <w:rFonts w:eastAsia="Batang" w:cs="Arial"/>
                <w:color w:val="000000" w:themeColor="text1"/>
                <w:szCs w:val="20"/>
                <w:lang w:val="en-US"/>
              </w:rPr>
            </w:pPr>
            <w:r w:rsidRPr="00C01031">
              <w:rPr>
                <w:rFonts w:eastAsia="Batang" w:cs="Arial"/>
                <w:color w:val="000000" w:themeColor="text1"/>
                <w:szCs w:val="20"/>
                <w:lang w:val="en-US"/>
              </w:rPr>
              <w:t>Radiological progression-free survival</w:t>
            </w:r>
          </w:p>
        </w:tc>
        <w:tc>
          <w:tcPr>
            <w:tcW w:w="1792" w:type="dxa"/>
            <w:shd w:val="clear" w:color="auto" w:fill="auto"/>
            <w:vAlign w:val="center"/>
          </w:tcPr>
          <w:p w14:paraId="065F156C" w14:textId="77777777" w:rsidR="00777263" w:rsidRPr="00C01031" w:rsidRDefault="00777263" w:rsidP="00690A48">
            <w:pPr>
              <w:suppressLineNumbers/>
              <w:jc w:val="center"/>
              <w:rPr>
                <w:rFonts w:eastAsia="Batang" w:cs="Arial"/>
                <w:color w:val="000000" w:themeColor="text1"/>
                <w:szCs w:val="20"/>
                <w:lang w:val="en-US"/>
              </w:rPr>
            </w:pPr>
          </w:p>
        </w:tc>
        <w:tc>
          <w:tcPr>
            <w:tcW w:w="1792" w:type="dxa"/>
            <w:shd w:val="clear" w:color="auto" w:fill="auto"/>
            <w:vAlign w:val="center"/>
          </w:tcPr>
          <w:p w14:paraId="08C571CE" w14:textId="77777777" w:rsidR="00777263" w:rsidRPr="00C01031" w:rsidRDefault="00777263" w:rsidP="00690A48">
            <w:pPr>
              <w:suppressLineNumbers/>
              <w:jc w:val="center"/>
              <w:rPr>
                <w:rFonts w:eastAsia="Batang" w:cs="Arial"/>
                <w:color w:val="000000" w:themeColor="text1"/>
                <w:szCs w:val="20"/>
                <w:lang w:val="en-US"/>
              </w:rPr>
            </w:pPr>
          </w:p>
        </w:tc>
        <w:tc>
          <w:tcPr>
            <w:tcW w:w="1792" w:type="dxa"/>
            <w:vAlign w:val="center"/>
          </w:tcPr>
          <w:p w14:paraId="19ABADB3" w14:textId="77777777" w:rsidR="00777263" w:rsidRPr="00C01031" w:rsidRDefault="00777263" w:rsidP="00690A48">
            <w:pPr>
              <w:suppressLineNumbers/>
              <w:jc w:val="center"/>
              <w:rPr>
                <w:rFonts w:eastAsia="Batang" w:cs="Arial"/>
                <w:color w:val="000000" w:themeColor="text1"/>
                <w:szCs w:val="20"/>
                <w:lang w:val="en-US"/>
              </w:rPr>
            </w:pPr>
          </w:p>
        </w:tc>
        <w:tc>
          <w:tcPr>
            <w:tcW w:w="1792" w:type="dxa"/>
            <w:vAlign w:val="center"/>
          </w:tcPr>
          <w:p w14:paraId="6A3378E7" w14:textId="77777777" w:rsidR="00777263" w:rsidRPr="00C01031" w:rsidRDefault="00777263" w:rsidP="00690A48">
            <w:pPr>
              <w:suppressLineNumbers/>
              <w:jc w:val="center"/>
              <w:rPr>
                <w:rFonts w:eastAsia="Batang" w:cs="Arial"/>
                <w:color w:val="000000" w:themeColor="text1"/>
                <w:szCs w:val="20"/>
                <w:lang w:val="en-US"/>
              </w:rPr>
            </w:pPr>
          </w:p>
        </w:tc>
      </w:tr>
      <w:tr w:rsidR="00C01031" w:rsidRPr="00C01031" w14:paraId="3D2E1F33" w14:textId="77777777" w:rsidTr="00690A48">
        <w:tc>
          <w:tcPr>
            <w:tcW w:w="2189" w:type="dxa"/>
            <w:shd w:val="clear" w:color="auto" w:fill="auto"/>
            <w:vAlign w:val="center"/>
          </w:tcPr>
          <w:p w14:paraId="7329FF17" w14:textId="77777777" w:rsidR="00777263" w:rsidRPr="00C01031" w:rsidRDefault="00777263" w:rsidP="00690A48">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 xml:space="preserve">Events,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792" w:type="dxa"/>
            <w:shd w:val="clear" w:color="auto" w:fill="auto"/>
            <w:vAlign w:val="center"/>
          </w:tcPr>
          <w:p w14:paraId="2D2C15DC" w14:textId="77777777" w:rsidR="00777263" w:rsidRPr="00C01031" w:rsidRDefault="00777263"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40 (81.6)</w:t>
            </w:r>
          </w:p>
        </w:tc>
        <w:tc>
          <w:tcPr>
            <w:tcW w:w="1792" w:type="dxa"/>
            <w:shd w:val="clear" w:color="auto" w:fill="auto"/>
            <w:vAlign w:val="center"/>
          </w:tcPr>
          <w:p w14:paraId="0F4F602F" w14:textId="77777777" w:rsidR="00777263" w:rsidRPr="00C01031" w:rsidRDefault="00777263"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39 (78.0)</w:t>
            </w:r>
          </w:p>
        </w:tc>
        <w:tc>
          <w:tcPr>
            <w:tcW w:w="1792" w:type="dxa"/>
            <w:vAlign w:val="center"/>
          </w:tcPr>
          <w:p w14:paraId="73299495" w14:textId="77777777" w:rsidR="00777263" w:rsidRPr="00C01031" w:rsidRDefault="007B26FE"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103 (72.5)</w:t>
            </w:r>
          </w:p>
        </w:tc>
        <w:tc>
          <w:tcPr>
            <w:tcW w:w="1792" w:type="dxa"/>
            <w:vAlign w:val="center"/>
          </w:tcPr>
          <w:p w14:paraId="1D360A19" w14:textId="77777777" w:rsidR="00777263" w:rsidRPr="00C01031" w:rsidRDefault="007B26FE"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106 (75.2)</w:t>
            </w:r>
          </w:p>
        </w:tc>
      </w:tr>
      <w:tr w:rsidR="00C01031" w:rsidRPr="00C01031" w14:paraId="7DD4E722" w14:textId="77777777" w:rsidTr="00690A48">
        <w:tc>
          <w:tcPr>
            <w:tcW w:w="2189" w:type="dxa"/>
            <w:shd w:val="clear" w:color="auto" w:fill="auto"/>
            <w:vAlign w:val="center"/>
          </w:tcPr>
          <w:p w14:paraId="2D6FB142" w14:textId="77777777" w:rsidR="007B26FE" w:rsidRPr="00C01031" w:rsidRDefault="007B26FE" w:rsidP="00690A48">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Median (80% CI), months</w:t>
            </w:r>
          </w:p>
        </w:tc>
        <w:tc>
          <w:tcPr>
            <w:tcW w:w="1792" w:type="dxa"/>
            <w:shd w:val="clear" w:color="auto" w:fill="auto"/>
            <w:vAlign w:val="center"/>
          </w:tcPr>
          <w:p w14:paraId="30F000A0" w14:textId="77777777" w:rsidR="007B26FE" w:rsidRPr="00C01031" w:rsidRDefault="007B26FE"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8.1 (5.7–10.6)</w:t>
            </w:r>
          </w:p>
        </w:tc>
        <w:tc>
          <w:tcPr>
            <w:tcW w:w="1792" w:type="dxa"/>
            <w:shd w:val="clear" w:color="auto" w:fill="auto"/>
            <w:vAlign w:val="center"/>
          </w:tcPr>
          <w:p w14:paraId="0254D731" w14:textId="77777777" w:rsidR="007B26FE" w:rsidRPr="00C01031" w:rsidRDefault="007B26FE"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5.8 (5.1–7.9)</w:t>
            </w:r>
          </w:p>
        </w:tc>
        <w:tc>
          <w:tcPr>
            <w:tcW w:w="1792" w:type="dxa"/>
            <w:vAlign w:val="center"/>
          </w:tcPr>
          <w:p w14:paraId="0BD016D8" w14:textId="77777777" w:rsidR="007B26FE" w:rsidRPr="00C01031" w:rsidRDefault="007B26FE"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7.9 (6.2–9.7)</w:t>
            </w:r>
          </w:p>
        </w:tc>
        <w:tc>
          <w:tcPr>
            <w:tcW w:w="1792" w:type="dxa"/>
            <w:vAlign w:val="center"/>
          </w:tcPr>
          <w:p w14:paraId="49091E1C" w14:textId="77777777" w:rsidR="007B26FE" w:rsidRPr="00C01031" w:rsidRDefault="007B26FE"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6.7 (5.4–8.1)</w:t>
            </w:r>
          </w:p>
        </w:tc>
      </w:tr>
      <w:tr w:rsidR="00C01031" w:rsidRPr="00C01031" w14:paraId="6D8BAC7B" w14:textId="77777777" w:rsidTr="00690A48">
        <w:tc>
          <w:tcPr>
            <w:tcW w:w="2189" w:type="dxa"/>
            <w:shd w:val="clear" w:color="auto" w:fill="auto"/>
            <w:vAlign w:val="center"/>
          </w:tcPr>
          <w:p w14:paraId="6BB40580" w14:textId="77777777" w:rsidR="007B26FE" w:rsidRPr="00C01031" w:rsidRDefault="007B26FE" w:rsidP="00690A48">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HR (95% CI)</w:t>
            </w:r>
          </w:p>
        </w:tc>
        <w:tc>
          <w:tcPr>
            <w:tcW w:w="3584" w:type="dxa"/>
            <w:gridSpan w:val="2"/>
            <w:shd w:val="clear" w:color="auto" w:fill="auto"/>
            <w:vAlign w:val="center"/>
          </w:tcPr>
          <w:p w14:paraId="7443ECF8" w14:textId="77777777" w:rsidR="007B26FE" w:rsidRPr="00C01031" w:rsidRDefault="007B26FE"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1.023 (0.640–1.637)</w:t>
            </w:r>
          </w:p>
        </w:tc>
        <w:tc>
          <w:tcPr>
            <w:tcW w:w="3584" w:type="dxa"/>
            <w:gridSpan w:val="2"/>
            <w:vAlign w:val="center"/>
          </w:tcPr>
          <w:p w14:paraId="6CE6CE77" w14:textId="77777777" w:rsidR="007B26FE" w:rsidRPr="00C01031" w:rsidRDefault="007B26FE" w:rsidP="00690A48">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0.874 (0.660–1.157)</w:t>
            </w:r>
          </w:p>
        </w:tc>
      </w:tr>
      <w:tr w:rsidR="00C01031" w:rsidRPr="00C01031" w14:paraId="68959285" w14:textId="77777777" w:rsidTr="00777263">
        <w:tc>
          <w:tcPr>
            <w:tcW w:w="2189" w:type="dxa"/>
            <w:shd w:val="clear" w:color="auto" w:fill="auto"/>
            <w:vAlign w:val="center"/>
          </w:tcPr>
          <w:p w14:paraId="2264D143" w14:textId="77777777" w:rsidR="00895A2F" w:rsidRPr="00C01031" w:rsidRDefault="00777263" w:rsidP="00777263">
            <w:pPr>
              <w:suppressLineNumbers/>
              <w:rPr>
                <w:rFonts w:eastAsia="Batang" w:cs="Arial"/>
                <w:color w:val="000000" w:themeColor="text1"/>
                <w:szCs w:val="20"/>
                <w:lang w:val="en-US"/>
              </w:rPr>
            </w:pPr>
            <w:r w:rsidRPr="00C01031">
              <w:rPr>
                <w:rFonts w:eastAsia="Batang" w:cs="Arial"/>
                <w:color w:val="000000" w:themeColor="text1"/>
                <w:szCs w:val="20"/>
                <w:lang w:val="en-US"/>
              </w:rPr>
              <w:t>Overall survival</w:t>
            </w:r>
          </w:p>
        </w:tc>
        <w:tc>
          <w:tcPr>
            <w:tcW w:w="1792" w:type="dxa"/>
            <w:shd w:val="clear" w:color="auto" w:fill="auto"/>
            <w:vAlign w:val="center"/>
          </w:tcPr>
          <w:p w14:paraId="10BCC472" w14:textId="77777777" w:rsidR="00895A2F" w:rsidRPr="00C01031" w:rsidRDefault="00895A2F" w:rsidP="00895A2F">
            <w:pPr>
              <w:suppressLineNumbers/>
              <w:jc w:val="center"/>
              <w:rPr>
                <w:rFonts w:eastAsia="Batang" w:cs="Arial"/>
                <w:color w:val="000000" w:themeColor="text1"/>
                <w:szCs w:val="20"/>
                <w:lang w:val="en-US"/>
              </w:rPr>
            </w:pPr>
          </w:p>
        </w:tc>
        <w:tc>
          <w:tcPr>
            <w:tcW w:w="1792" w:type="dxa"/>
            <w:shd w:val="clear" w:color="auto" w:fill="auto"/>
            <w:vAlign w:val="center"/>
          </w:tcPr>
          <w:p w14:paraId="34C8F95F" w14:textId="77777777" w:rsidR="00895A2F" w:rsidRPr="00C01031" w:rsidRDefault="00895A2F" w:rsidP="00895A2F">
            <w:pPr>
              <w:suppressLineNumbers/>
              <w:jc w:val="center"/>
              <w:rPr>
                <w:rFonts w:eastAsia="Batang" w:cs="Arial"/>
                <w:color w:val="000000" w:themeColor="text1"/>
                <w:szCs w:val="20"/>
                <w:lang w:val="en-US"/>
              </w:rPr>
            </w:pPr>
          </w:p>
        </w:tc>
        <w:tc>
          <w:tcPr>
            <w:tcW w:w="1792" w:type="dxa"/>
            <w:vAlign w:val="center"/>
          </w:tcPr>
          <w:p w14:paraId="1D136E95" w14:textId="77777777" w:rsidR="00895A2F" w:rsidRPr="00C01031" w:rsidRDefault="00895A2F" w:rsidP="00895A2F">
            <w:pPr>
              <w:suppressLineNumbers/>
              <w:jc w:val="center"/>
              <w:rPr>
                <w:rFonts w:eastAsia="Batang" w:cs="Arial"/>
                <w:color w:val="000000" w:themeColor="text1"/>
                <w:szCs w:val="20"/>
                <w:lang w:val="en-US"/>
              </w:rPr>
            </w:pPr>
          </w:p>
        </w:tc>
        <w:tc>
          <w:tcPr>
            <w:tcW w:w="1792" w:type="dxa"/>
            <w:vAlign w:val="center"/>
          </w:tcPr>
          <w:p w14:paraId="0D85FF08" w14:textId="77777777" w:rsidR="00895A2F" w:rsidRPr="00C01031" w:rsidRDefault="00895A2F" w:rsidP="00895A2F">
            <w:pPr>
              <w:suppressLineNumbers/>
              <w:jc w:val="center"/>
              <w:rPr>
                <w:rFonts w:eastAsia="Batang" w:cs="Arial"/>
                <w:color w:val="000000" w:themeColor="text1"/>
                <w:szCs w:val="20"/>
                <w:lang w:val="en-US"/>
              </w:rPr>
            </w:pPr>
          </w:p>
        </w:tc>
      </w:tr>
      <w:tr w:rsidR="00C01031" w:rsidRPr="00C01031" w14:paraId="01DAA5AA" w14:textId="77777777" w:rsidTr="00777263">
        <w:tc>
          <w:tcPr>
            <w:tcW w:w="2189" w:type="dxa"/>
            <w:shd w:val="clear" w:color="auto" w:fill="auto"/>
            <w:vAlign w:val="center"/>
          </w:tcPr>
          <w:p w14:paraId="4D22F67F" w14:textId="77777777" w:rsidR="00777263" w:rsidRPr="00C01031" w:rsidRDefault="00777263" w:rsidP="00777263">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 xml:space="preserve">Events,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792" w:type="dxa"/>
            <w:shd w:val="clear" w:color="auto" w:fill="auto"/>
            <w:vAlign w:val="center"/>
          </w:tcPr>
          <w:p w14:paraId="51573B7B" w14:textId="77777777" w:rsidR="00777263" w:rsidRPr="00C01031" w:rsidRDefault="00777263"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18 (36.7)</w:t>
            </w:r>
          </w:p>
        </w:tc>
        <w:tc>
          <w:tcPr>
            <w:tcW w:w="1792" w:type="dxa"/>
            <w:shd w:val="clear" w:color="auto" w:fill="auto"/>
            <w:vAlign w:val="center"/>
          </w:tcPr>
          <w:p w14:paraId="1A91B341" w14:textId="77777777" w:rsidR="00777263" w:rsidRPr="00C01031" w:rsidRDefault="00777263"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19 (38.0)</w:t>
            </w:r>
          </w:p>
        </w:tc>
        <w:tc>
          <w:tcPr>
            <w:tcW w:w="1792" w:type="dxa"/>
            <w:vAlign w:val="center"/>
          </w:tcPr>
          <w:p w14:paraId="629688B9"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73 (51.4)</w:t>
            </w:r>
          </w:p>
        </w:tc>
        <w:tc>
          <w:tcPr>
            <w:tcW w:w="1792" w:type="dxa"/>
            <w:vAlign w:val="center"/>
          </w:tcPr>
          <w:p w14:paraId="4407FF51"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73 (51.8)</w:t>
            </w:r>
          </w:p>
        </w:tc>
      </w:tr>
      <w:tr w:rsidR="00C01031" w:rsidRPr="00C01031" w14:paraId="02122843" w14:textId="77777777" w:rsidTr="00777263">
        <w:tc>
          <w:tcPr>
            <w:tcW w:w="2189" w:type="dxa"/>
            <w:shd w:val="clear" w:color="auto" w:fill="auto"/>
            <w:vAlign w:val="center"/>
          </w:tcPr>
          <w:p w14:paraId="3C121910" w14:textId="77777777" w:rsidR="007B26FE" w:rsidRPr="00C01031" w:rsidRDefault="007B26FE" w:rsidP="00777263">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Median (80% CI), months</w:t>
            </w:r>
          </w:p>
        </w:tc>
        <w:tc>
          <w:tcPr>
            <w:tcW w:w="1792" w:type="dxa"/>
            <w:shd w:val="clear" w:color="auto" w:fill="auto"/>
            <w:vAlign w:val="center"/>
          </w:tcPr>
          <w:p w14:paraId="1D585E66" w14:textId="77777777" w:rsidR="007B26FE"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43.0 (22.9–NE)</w:t>
            </w:r>
          </w:p>
        </w:tc>
        <w:tc>
          <w:tcPr>
            <w:tcW w:w="1792" w:type="dxa"/>
            <w:shd w:val="clear" w:color="auto" w:fill="auto"/>
            <w:vAlign w:val="center"/>
          </w:tcPr>
          <w:p w14:paraId="622A2287" w14:textId="77777777" w:rsidR="007B26FE"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32.4 (23.7–NE)</w:t>
            </w:r>
          </w:p>
        </w:tc>
        <w:tc>
          <w:tcPr>
            <w:tcW w:w="1792" w:type="dxa"/>
            <w:vAlign w:val="center"/>
          </w:tcPr>
          <w:p w14:paraId="057B8D15" w14:textId="77777777" w:rsidR="007B26FE"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25.0 (23.0–31.4)</w:t>
            </w:r>
          </w:p>
        </w:tc>
        <w:tc>
          <w:tcPr>
            <w:tcW w:w="1792" w:type="dxa"/>
            <w:vAlign w:val="center"/>
          </w:tcPr>
          <w:p w14:paraId="6FE011A7" w14:textId="77777777" w:rsidR="007B26FE"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26.4 (21.7–28.9)</w:t>
            </w:r>
          </w:p>
        </w:tc>
      </w:tr>
      <w:tr w:rsidR="00C01031" w:rsidRPr="00C01031" w14:paraId="777F72DB" w14:textId="77777777" w:rsidTr="00690A48">
        <w:tc>
          <w:tcPr>
            <w:tcW w:w="2189" w:type="dxa"/>
            <w:shd w:val="clear" w:color="auto" w:fill="auto"/>
            <w:vAlign w:val="center"/>
          </w:tcPr>
          <w:p w14:paraId="0D9F37BC" w14:textId="77777777" w:rsidR="007B26FE" w:rsidRPr="00C01031" w:rsidRDefault="007B26FE" w:rsidP="00777263">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HR (95% CI)</w:t>
            </w:r>
          </w:p>
        </w:tc>
        <w:tc>
          <w:tcPr>
            <w:tcW w:w="3584" w:type="dxa"/>
            <w:gridSpan w:val="2"/>
            <w:shd w:val="clear" w:color="auto" w:fill="auto"/>
            <w:vAlign w:val="center"/>
          </w:tcPr>
          <w:p w14:paraId="3029CCEA" w14:textId="77777777" w:rsidR="007B26FE"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0.888 (0.458–1.724)</w:t>
            </w:r>
          </w:p>
        </w:tc>
        <w:tc>
          <w:tcPr>
            <w:tcW w:w="3584" w:type="dxa"/>
            <w:gridSpan w:val="2"/>
            <w:vAlign w:val="center"/>
          </w:tcPr>
          <w:p w14:paraId="4EA6FE87" w14:textId="77777777" w:rsidR="007B26FE"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0.968 (0.697–1.343)</w:t>
            </w:r>
          </w:p>
        </w:tc>
      </w:tr>
      <w:tr w:rsidR="00C01031" w:rsidRPr="00C01031" w14:paraId="0B02B8B0" w14:textId="77777777" w:rsidTr="00777263">
        <w:tc>
          <w:tcPr>
            <w:tcW w:w="2189" w:type="dxa"/>
            <w:shd w:val="clear" w:color="auto" w:fill="auto"/>
            <w:vAlign w:val="center"/>
          </w:tcPr>
          <w:p w14:paraId="6F663863" w14:textId="77777777" w:rsidR="00777263" w:rsidRPr="00C01031" w:rsidRDefault="00777263" w:rsidP="00777263">
            <w:pPr>
              <w:suppressLineNumbers/>
              <w:rPr>
                <w:rFonts w:eastAsia="Batang" w:cs="Arial"/>
                <w:color w:val="000000" w:themeColor="text1"/>
                <w:szCs w:val="20"/>
                <w:lang w:val="en-US"/>
              </w:rPr>
            </w:pPr>
            <w:r w:rsidRPr="00C01031">
              <w:rPr>
                <w:rFonts w:eastAsia="Batang" w:cs="Arial"/>
                <w:color w:val="000000" w:themeColor="text1"/>
                <w:szCs w:val="20"/>
                <w:lang w:val="en-US"/>
              </w:rPr>
              <w:t>Time to bone alkaline phosphatase progression</w:t>
            </w:r>
          </w:p>
        </w:tc>
        <w:tc>
          <w:tcPr>
            <w:tcW w:w="1792" w:type="dxa"/>
            <w:shd w:val="clear" w:color="auto" w:fill="auto"/>
            <w:vAlign w:val="center"/>
          </w:tcPr>
          <w:p w14:paraId="3F8E1F7B" w14:textId="77777777" w:rsidR="00777263" w:rsidRPr="00C01031" w:rsidRDefault="00777263" w:rsidP="00777263">
            <w:pPr>
              <w:suppressLineNumbers/>
              <w:jc w:val="center"/>
              <w:rPr>
                <w:rFonts w:eastAsia="Batang" w:cs="Arial"/>
                <w:color w:val="000000" w:themeColor="text1"/>
                <w:szCs w:val="20"/>
                <w:lang w:val="en-US"/>
              </w:rPr>
            </w:pPr>
          </w:p>
        </w:tc>
        <w:tc>
          <w:tcPr>
            <w:tcW w:w="1792" w:type="dxa"/>
            <w:shd w:val="clear" w:color="auto" w:fill="auto"/>
            <w:vAlign w:val="center"/>
          </w:tcPr>
          <w:p w14:paraId="4A5A92B7" w14:textId="77777777" w:rsidR="00777263" w:rsidRPr="00C01031" w:rsidRDefault="00777263" w:rsidP="00777263">
            <w:pPr>
              <w:suppressLineNumbers/>
              <w:jc w:val="center"/>
              <w:rPr>
                <w:rFonts w:eastAsia="Batang" w:cs="Arial"/>
                <w:color w:val="000000" w:themeColor="text1"/>
                <w:szCs w:val="20"/>
                <w:lang w:val="en-US"/>
              </w:rPr>
            </w:pPr>
          </w:p>
        </w:tc>
        <w:tc>
          <w:tcPr>
            <w:tcW w:w="1792" w:type="dxa"/>
            <w:vAlign w:val="center"/>
          </w:tcPr>
          <w:p w14:paraId="0FBB58F1" w14:textId="77777777" w:rsidR="00777263" w:rsidRPr="00C01031" w:rsidRDefault="00777263" w:rsidP="00777263">
            <w:pPr>
              <w:suppressLineNumbers/>
              <w:jc w:val="center"/>
              <w:rPr>
                <w:rFonts w:eastAsia="Batang" w:cs="Arial"/>
                <w:color w:val="000000" w:themeColor="text1"/>
                <w:szCs w:val="20"/>
                <w:lang w:val="en-US"/>
              </w:rPr>
            </w:pPr>
          </w:p>
        </w:tc>
        <w:tc>
          <w:tcPr>
            <w:tcW w:w="1792" w:type="dxa"/>
            <w:vAlign w:val="center"/>
          </w:tcPr>
          <w:p w14:paraId="214FBC97" w14:textId="77777777" w:rsidR="00777263" w:rsidRPr="00C01031" w:rsidRDefault="00777263" w:rsidP="00777263">
            <w:pPr>
              <w:suppressLineNumbers/>
              <w:jc w:val="center"/>
              <w:rPr>
                <w:rFonts w:eastAsia="Batang" w:cs="Arial"/>
                <w:color w:val="000000" w:themeColor="text1"/>
                <w:szCs w:val="20"/>
                <w:lang w:val="en-US"/>
              </w:rPr>
            </w:pPr>
          </w:p>
        </w:tc>
      </w:tr>
      <w:tr w:rsidR="00C01031" w:rsidRPr="00C01031" w14:paraId="694E8F0C" w14:textId="77777777" w:rsidTr="00777263">
        <w:tc>
          <w:tcPr>
            <w:tcW w:w="2189" w:type="dxa"/>
            <w:shd w:val="clear" w:color="auto" w:fill="auto"/>
            <w:vAlign w:val="center"/>
          </w:tcPr>
          <w:p w14:paraId="0273E486" w14:textId="77777777" w:rsidR="00777263" w:rsidRPr="00C01031" w:rsidRDefault="00777263" w:rsidP="00777263">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 xml:space="preserve">Events,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1792" w:type="dxa"/>
            <w:shd w:val="clear" w:color="auto" w:fill="auto"/>
            <w:vAlign w:val="center"/>
          </w:tcPr>
          <w:p w14:paraId="33129F14"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6 (12.2)</w:t>
            </w:r>
          </w:p>
        </w:tc>
        <w:tc>
          <w:tcPr>
            <w:tcW w:w="1792" w:type="dxa"/>
            <w:shd w:val="clear" w:color="auto" w:fill="auto"/>
            <w:vAlign w:val="center"/>
          </w:tcPr>
          <w:p w14:paraId="6C6D9729"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10 (20.0)</w:t>
            </w:r>
          </w:p>
        </w:tc>
        <w:tc>
          <w:tcPr>
            <w:tcW w:w="1792" w:type="dxa"/>
            <w:vAlign w:val="center"/>
          </w:tcPr>
          <w:p w14:paraId="434CE905"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29 (20.4)</w:t>
            </w:r>
          </w:p>
        </w:tc>
        <w:tc>
          <w:tcPr>
            <w:tcW w:w="1792" w:type="dxa"/>
            <w:vAlign w:val="center"/>
          </w:tcPr>
          <w:p w14:paraId="789438A8"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35 (24.8)</w:t>
            </w:r>
          </w:p>
        </w:tc>
      </w:tr>
      <w:tr w:rsidR="00C01031" w:rsidRPr="00C01031" w14:paraId="439C0F0B" w14:textId="77777777" w:rsidTr="00777263">
        <w:tc>
          <w:tcPr>
            <w:tcW w:w="2189" w:type="dxa"/>
            <w:shd w:val="clear" w:color="auto" w:fill="auto"/>
            <w:vAlign w:val="center"/>
          </w:tcPr>
          <w:p w14:paraId="05D2AFAE" w14:textId="77777777" w:rsidR="00777263" w:rsidRPr="00C01031" w:rsidRDefault="00777263" w:rsidP="00777263">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Median (80% CI), months</w:t>
            </w:r>
          </w:p>
        </w:tc>
        <w:tc>
          <w:tcPr>
            <w:tcW w:w="1792" w:type="dxa"/>
            <w:shd w:val="clear" w:color="auto" w:fill="auto"/>
            <w:vAlign w:val="center"/>
          </w:tcPr>
          <w:p w14:paraId="7EAA6466" w14:textId="77777777" w:rsidR="00777263" w:rsidRPr="00C01031" w:rsidRDefault="00777263"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10.2 (8.3–NE)</w:t>
            </w:r>
          </w:p>
        </w:tc>
        <w:tc>
          <w:tcPr>
            <w:tcW w:w="1792" w:type="dxa"/>
            <w:shd w:val="clear" w:color="auto" w:fill="auto"/>
            <w:vAlign w:val="center"/>
          </w:tcPr>
          <w:p w14:paraId="69DA941D" w14:textId="77777777" w:rsidR="00777263" w:rsidRPr="00C01031" w:rsidRDefault="00777263"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4.3 (3.7–8.3)</w:t>
            </w:r>
          </w:p>
        </w:tc>
        <w:tc>
          <w:tcPr>
            <w:tcW w:w="1792" w:type="dxa"/>
            <w:vAlign w:val="center"/>
          </w:tcPr>
          <w:p w14:paraId="01710E81"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6.1 (4.4–8.7)</w:t>
            </w:r>
          </w:p>
        </w:tc>
        <w:tc>
          <w:tcPr>
            <w:tcW w:w="1792" w:type="dxa"/>
            <w:vAlign w:val="center"/>
          </w:tcPr>
          <w:p w14:paraId="694628E7"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4.3 (3.4–6.1)</w:t>
            </w:r>
          </w:p>
        </w:tc>
      </w:tr>
      <w:tr w:rsidR="00C01031" w:rsidRPr="00C01031" w14:paraId="609EB861" w14:textId="77777777" w:rsidTr="00690A48">
        <w:tc>
          <w:tcPr>
            <w:tcW w:w="2189" w:type="dxa"/>
            <w:tcBorders>
              <w:bottom w:val="single" w:sz="4" w:space="0" w:color="auto"/>
            </w:tcBorders>
            <w:shd w:val="clear" w:color="auto" w:fill="auto"/>
            <w:vAlign w:val="center"/>
          </w:tcPr>
          <w:p w14:paraId="54F9F83B" w14:textId="77777777" w:rsidR="00777263" w:rsidRPr="00C01031" w:rsidRDefault="00777263" w:rsidP="00777263">
            <w:pPr>
              <w:suppressLineNumbers/>
              <w:ind w:left="284"/>
              <w:rPr>
                <w:rFonts w:eastAsia="Batang" w:cs="Arial"/>
                <w:color w:val="000000" w:themeColor="text1"/>
                <w:szCs w:val="20"/>
                <w:lang w:val="en-US"/>
              </w:rPr>
            </w:pPr>
            <w:r w:rsidRPr="00C01031">
              <w:rPr>
                <w:rFonts w:eastAsia="Batang" w:cs="Arial"/>
                <w:color w:val="000000" w:themeColor="text1"/>
                <w:szCs w:val="20"/>
                <w:lang w:val="en-US"/>
              </w:rPr>
              <w:t>HR (95% CI)</w:t>
            </w:r>
          </w:p>
        </w:tc>
        <w:tc>
          <w:tcPr>
            <w:tcW w:w="3584" w:type="dxa"/>
            <w:gridSpan w:val="2"/>
            <w:tcBorders>
              <w:bottom w:val="single" w:sz="4" w:space="0" w:color="auto"/>
            </w:tcBorders>
            <w:shd w:val="clear" w:color="auto" w:fill="auto"/>
            <w:vAlign w:val="center"/>
          </w:tcPr>
          <w:p w14:paraId="14B4C41B" w14:textId="77777777" w:rsidR="00777263" w:rsidRPr="00C01031" w:rsidRDefault="00777263"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0.583 (0.201–1.686)</w:t>
            </w:r>
          </w:p>
        </w:tc>
        <w:tc>
          <w:tcPr>
            <w:tcW w:w="3584" w:type="dxa"/>
            <w:gridSpan w:val="2"/>
            <w:tcBorders>
              <w:bottom w:val="single" w:sz="4" w:space="0" w:color="auto"/>
            </w:tcBorders>
            <w:vAlign w:val="center"/>
          </w:tcPr>
          <w:p w14:paraId="75D3FD06" w14:textId="77777777" w:rsidR="00777263" w:rsidRPr="00C01031" w:rsidRDefault="007B26FE" w:rsidP="00777263">
            <w:pPr>
              <w:suppressLineNumbers/>
              <w:jc w:val="center"/>
              <w:rPr>
                <w:rFonts w:eastAsia="Batang" w:cs="Arial"/>
                <w:color w:val="000000" w:themeColor="text1"/>
                <w:szCs w:val="20"/>
                <w:lang w:val="en-US"/>
              </w:rPr>
            </w:pPr>
            <w:r w:rsidRPr="00C01031">
              <w:rPr>
                <w:rFonts w:eastAsia="Batang" w:cs="Arial"/>
                <w:color w:val="000000" w:themeColor="text1"/>
                <w:szCs w:val="20"/>
                <w:lang w:val="en-US"/>
              </w:rPr>
              <w:t>0.645 (0.374–1.114)</w:t>
            </w:r>
          </w:p>
        </w:tc>
      </w:tr>
    </w:tbl>
    <w:p w14:paraId="53E73938" w14:textId="77777777" w:rsidR="00F25032" w:rsidRPr="00C01031" w:rsidRDefault="00777263" w:rsidP="00F25032">
      <w:pPr>
        <w:rPr>
          <w:b/>
          <w:bCs/>
          <w:color w:val="000000" w:themeColor="text1"/>
        </w:rPr>
      </w:pPr>
      <w:r w:rsidRPr="00C01031">
        <w:rPr>
          <w:color w:val="000000" w:themeColor="text1"/>
        </w:rPr>
        <w:t>CI, confidence interval; HR, hazard ratio; NE, not estimable.</w:t>
      </w:r>
    </w:p>
    <w:p w14:paraId="44143BFA" w14:textId="088E3DD8" w:rsidR="0059437A" w:rsidRPr="00C01031" w:rsidRDefault="006565C0" w:rsidP="006565C0">
      <w:pPr>
        <w:pStyle w:val="Head1"/>
        <w:rPr>
          <w:color w:val="000000" w:themeColor="text1"/>
        </w:rPr>
      </w:pPr>
      <w:r w:rsidRPr="00C01031">
        <w:rPr>
          <w:color w:val="000000" w:themeColor="text1"/>
        </w:rPr>
        <w:br w:type="page"/>
      </w:r>
      <w:bookmarkStart w:id="15" w:name="_Toc131600514"/>
      <w:r w:rsidR="0059437A" w:rsidRPr="00C01031">
        <w:rPr>
          <w:color w:val="000000" w:themeColor="text1"/>
        </w:rPr>
        <w:t>Suppl</w:t>
      </w:r>
      <w:r w:rsidR="00834B08" w:rsidRPr="00C01031">
        <w:rPr>
          <w:color w:val="000000" w:themeColor="text1"/>
        </w:rPr>
        <w:t xml:space="preserve"> </w:t>
      </w:r>
      <w:r w:rsidR="0059437A" w:rsidRPr="00C01031">
        <w:rPr>
          <w:color w:val="000000" w:themeColor="text1"/>
        </w:rPr>
        <w:t>Table</w:t>
      </w:r>
      <w:r w:rsidR="00834B08" w:rsidRPr="00C01031">
        <w:rPr>
          <w:color w:val="000000" w:themeColor="text1"/>
        </w:rPr>
        <w:t xml:space="preserve"> </w:t>
      </w:r>
      <w:r w:rsidR="00EA7235" w:rsidRPr="00C01031">
        <w:rPr>
          <w:color w:val="000000" w:themeColor="text1"/>
        </w:rPr>
        <w:t>4</w:t>
      </w:r>
      <w:r w:rsidR="0059437A" w:rsidRPr="00C01031">
        <w:rPr>
          <w:color w:val="000000" w:themeColor="text1"/>
        </w:rPr>
        <w:t xml:space="preserve"> </w:t>
      </w:r>
      <w:r w:rsidR="0059437A" w:rsidRPr="00C01031">
        <w:rPr>
          <w:b w:val="0"/>
          <w:bCs w:val="0"/>
          <w:color w:val="000000" w:themeColor="text1"/>
        </w:rPr>
        <w:t xml:space="preserve">TEAEs occurring in ≥15% of patients in either study arm (safety analysis set, </w:t>
      </w:r>
      <w:r w:rsidR="0059437A" w:rsidRPr="00C01031">
        <w:rPr>
          <w:b w:val="0"/>
          <w:bCs w:val="0"/>
          <w:i/>
          <w:iCs/>
          <w:color w:val="000000" w:themeColor="text1"/>
        </w:rPr>
        <w:t>n</w:t>
      </w:r>
      <w:r w:rsidR="0059437A" w:rsidRPr="00C01031">
        <w:rPr>
          <w:b w:val="0"/>
          <w:bCs w:val="0"/>
          <w:color w:val="000000" w:themeColor="text1"/>
        </w:rPr>
        <w:t xml:space="preserve"> = 97): Study A</w:t>
      </w:r>
      <w:bookmarkEnd w:id="15"/>
    </w:p>
    <w:tbl>
      <w:tblPr>
        <w:tblW w:w="0" w:type="auto"/>
        <w:tblInd w:w="5" w:type="dxa"/>
        <w:tblCellMar>
          <w:left w:w="0" w:type="dxa"/>
          <w:right w:w="0" w:type="dxa"/>
        </w:tblCellMar>
        <w:tblLook w:val="04A0" w:firstRow="1" w:lastRow="0" w:firstColumn="1" w:lastColumn="0" w:noHBand="0" w:noVBand="1"/>
      </w:tblPr>
      <w:tblGrid>
        <w:gridCol w:w="3117"/>
        <w:gridCol w:w="3117"/>
        <w:gridCol w:w="3118"/>
      </w:tblGrid>
      <w:tr w:rsidR="00C01031" w:rsidRPr="00C01031" w14:paraId="282A0F34" w14:textId="77777777" w:rsidTr="0088050B">
        <w:tc>
          <w:tcPr>
            <w:tcW w:w="3117" w:type="dxa"/>
            <w:tcBorders>
              <w:top w:val="single" w:sz="4" w:space="0" w:color="auto"/>
              <w:bottom w:val="single" w:sz="4" w:space="0" w:color="auto"/>
            </w:tcBorders>
            <w:shd w:val="clear" w:color="auto" w:fill="auto"/>
          </w:tcPr>
          <w:p w14:paraId="574DBE62" w14:textId="77777777" w:rsidR="0059437A" w:rsidRPr="00C01031" w:rsidRDefault="0059437A" w:rsidP="0059437A">
            <w:pPr>
              <w:suppressLineNumbers/>
              <w:spacing w:line="480" w:lineRule="auto"/>
              <w:rPr>
                <w:rFonts w:eastAsia="Batang" w:cs="Arial"/>
                <w:color w:val="000000" w:themeColor="text1"/>
                <w:szCs w:val="20"/>
                <w:vertAlign w:val="superscript"/>
                <w:lang w:val="en-US"/>
              </w:rPr>
            </w:pPr>
            <w:r w:rsidRPr="00C01031">
              <w:rPr>
                <w:rFonts w:eastAsia="Batang" w:cs="Arial"/>
                <w:color w:val="000000" w:themeColor="text1"/>
                <w:szCs w:val="20"/>
                <w:lang w:val="en-US"/>
              </w:rPr>
              <w:t xml:space="preserve">TEAE, </w:t>
            </w:r>
            <w:r w:rsidRPr="00C01031">
              <w:rPr>
                <w:rFonts w:eastAsia="Batang" w:cs="Arial"/>
                <w:i/>
                <w:iCs/>
                <w:color w:val="000000" w:themeColor="text1"/>
                <w:szCs w:val="20"/>
                <w:lang w:val="en-US"/>
              </w:rPr>
              <w:t>n</w:t>
            </w:r>
            <w:r w:rsidRPr="00C01031">
              <w:rPr>
                <w:rFonts w:eastAsia="Batang" w:cs="Arial"/>
                <w:color w:val="000000" w:themeColor="text1"/>
                <w:szCs w:val="20"/>
                <w:lang w:val="en-US"/>
              </w:rPr>
              <w:t xml:space="preserve"> (%)</w:t>
            </w:r>
          </w:p>
        </w:tc>
        <w:tc>
          <w:tcPr>
            <w:tcW w:w="3117" w:type="dxa"/>
            <w:tcBorders>
              <w:top w:val="single" w:sz="4" w:space="0" w:color="auto"/>
              <w:bottom w:val="single" w:sz="4" w:space="0" w:color="auto"/>
            </w:tcBorders>
            <w:shd w:val="clear" w:color="auto" w:fill="auto"/>
          </w:tcPr>
          <w:p w14:paraId="5C8DAA43"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Radium-223</w:t>
            </w:r>
          </w:p>
          <w:p w14:paraId="41C9C56D"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w:t>
            </w:r>
            <w:r w:rsidRPr="00C01031">
              <w:rPr>
                <w:rFonts w:eastAsia="Batang" w:cs="Arial"/>
                <w:i/>
                <w:iCs/>
                <w:color w:val="000000" w:themeColor="text1"/>
                <w:szCs w:val="20"/>
                <w:lang w:val="en-US"/>
              </w:rPr>
              <w:t xml:space="preserve">n = </w:t>
            </w:r>
            <w:r w:rsidRPr="00C01031">
              <w:rPr>
                <w:rFonts w:eastAsia="Batang" w:cs="Arial"/>
                <w:color w:val="000000" w:themeColor="text1"/>
                <w:szCs w:val="20"/>
                <w:lang w:val="en-US"/>
              </w:rPr>
              <w:t>48)</w:t>
            </w:r>
          </w:p>
        </w:tc>
        <w:tc>
          <w:tcPr>
            <w:tcW w:w="3118" w:type="dxa"/>
            <w:tcBorders>
              <w:top w:val="single" w:sz="4" w:space="0" w:color="auto"/>
              <w:bottom w:val="single" w:sz="4" w:space="0" w:color="auto"/>
            </w:tcBorders>
            <w:shd w:val="clear" w:color="auto" w:fill="auto"/>
          </w:tcPr>
          <w:p w14:paraId="74A7AE73"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Placebo</w:t>
            </w:r>
          </w:p>
          <w:p w14:paraId="5FDC7965"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w:t>
            </w:r>
            <w:r w:rsidRPr="00C01031">
              <w:rPr>
                <w:rFonts w:eastAsia="Batang" w:cs="Arial"/>
                <w:i/>
                <w:iCs/>
                <w:color w:val="000000" w:themeColor="text1"/>
                <w:szCs w:val="20"/>
                <w:lang w:val="en-US"/>
              </w:rPr>
              <w:t xml:space="preserve">n = </w:t>
            </w:r>
            <w:r w:rsidRPr="00C01031">
              <w:rPr>
                <w:rFonts w:eastAsia="Batang" w:cs="Arial"/>
                <w:color w:val="000000" w:themeColor="text1"/>
                <w:szCs w:val="20"/>
                <w:lang w:val="en-US"/>
              </w:rPr>
              <w:t>49)</w:t>
            </w:r>
          </w:p>
        </w:tc>
      </w:tr>
      <w:tr w:rsidR="00C01031" w:rsidRPr="00C01031" w14:paraId="40903CB9" w14:textId="77777777" w:rsidTr="0088050B">
        <w:tc>
          <w:tcPr>
            <w:tcW w:w="3117" w:type="dxa"/>
            <w:tcBorders>
              <w:top w:val="single" w:sz="4" w:space="0" w:color="auto"/>
            </w:tcBorders>
            <w:shd w:val="clear" w:color="auto" w:fill="auto"/>
          </w:tcPr>
          <w:p w14:paraId="70960CDD" w14:textId="77777777" w:rsidR="0059437A" w:rsidRPr="00C01031" w:rsidRDefault="0059437A" w:rsidP="0059437A">
            <w:pPr>
              <w:suppressLineNumbers/>
              <w:spacing w:line="480" w:lineRule="auto"/>
              <w:rPr>
                <w:rFonts w:eastAsia="Batang" w:cs="Arial"/>
                <w:color w:val="000000" w:themeColor="text1"/>
                <w:szCs w:val="20"/>
                <w:lang w:val="en-US"/>
              </w:rPr>
            </w:pPr>
            <w:r w:rsidRPr="00C01031">
              <w:rPr>
                <w:rFonts w:eastAsia="Batang" w:cs="Arial"/>
                <w:color w:val="000000" w:themeColor="text1"/>
                <w:szCs w:val="20"/>
                <w:lang w:val="en-US"/>
              </w:rPr>
              <w:t>Any TEAE</w:t>
            </w:r>
          </w:p>
        </w:tc>
        <w:tc>
          <w:tcPr>
            <w:tcW w:w="3117" w:type="dxa"/>
            <w:tcBorders>
              <w:top w:val="single" w:sz="4" w:space="0" w:color="auto"/>
            </w:tcBorders>
            <w:shd w:val="clear" w:color="auto" w:fill="auto"/>
          </w:tcPr>
          <w:p w14:paraId="4778655C"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46 (95.8)</w:t>
            </w:r>
          </w:p>
        </w:tc>
        <w:tc>
          <w:tcPr>
            <w:tcW w:w="3118" w:type="dxa"/>
            <w:tcBorders>
              <w:top w:val="single" w:sz="4" w:space="0" w:color="auto"/>
            </w:tcBorders>
            <w:shd w:val="clear" w:color="auto" w:fill="auto"/>
          </w:tcPr>
          <w:p w14:paraId="70D543A0"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46 (93.9)</w:t>
            </w:r>
          </w:p>
        </w:tc>
      </w:tr>
      <w:tr w:rsidR="00C01031" w:rsidRPr="00C01031" w14:paraId="7C9DE59D" w14:textId="77777777" w:rsidTr="0088050B">
        <w:tc>
          <w:tcPr>
            <w:tcW w:w="3117" w:type="dxa"/>
            <w:shd w:val="clear" w:color="auto" w:fill="auto"/>
          </w:tcPr>
          <w:p w14:paraId="787658C0"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Headache</w:t>
            </w:r>
          </w:p>
        </w:tc>
        <w:tc>
          <w:tcPr>
            <w:tcW w:w="3117" w:type="dxa"/>
            <w:shd w:val="clear" w:color="auto" w:fill="auto"/>
          </w:tcPr>
          <w:p w14:paraId="6F37ABE4"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13 (27.1)</w:t>
            </w:r>
          </w:p>
        </w:tc>
        <w:tc>
          <w:tcPr>
            <w:tcW w:w="3118" w:type="dxa"/>
            <w:shd w:val="clear" w:color="auto" w:fill="auto"/>
          </w:tcPr>
          <w:p w14:paraId="45CA4AA1"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4 (8.2)</w:t>
            </w:r>
          </w:p>
        </w:tc>
      </w:tr>
      <w:tr w:rsidR="00C01031" w:rsidRPr="00C01031" w14:paraId="07D020D1" w14:textId="77777777" w:rsidTr="0088050B">
        <w:tc>
          <w:tcPr>
            <w:tcW w:w="3117" w:type="dxa"/>
            <w:shd w:val="clear" w:color="auto" w:fill="auto"/>
          </w:tcPr>
          <w:p w14:paraId="507EC427"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Fatigue</w:t>
            </w:r>
          </w:p>
        </w:tc>
        <w:tc>
          <w:tcPr>
            <w:tcW w:w="3117" w:type="dxa"/>
            <w:shd w:val="clear" w:color="auto" w:fill="auto"/>
          </w:tcPr>
          <w:p w14:paraId="2A37D96C"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12 (25.0)</w:t>
            </w:r>
          </w:p>
        </w:tc>
        <w:tc>
          <w:tcPr>
            <w:tcW w:w="3118" w:type="dxa"/>
            <w:shd w:val="clear" w:color="auto" w:fill="auto"/>
          </w:tcPr>
          <w:p w14:paraId="3B9CC220"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9 (18.4)</w:t>
            </w:r>
          </w:p>
        </w:tc>
      </w:tr>
      <w:tr w:rsidR="00C01031" w:rsidRPr="00C01031" w14:paraId="0796047F" w14:textId="77777777" w:rsidTr="0088050B">
        <w:tc>
          <w:tcPr>
            <w:tcW w:w="3117" w:type="dxa"/>
            <w:shd w:val="clear" w:color="auto" w:fill="auto"/>
          </w:tcPr>
          <w:p w14:paraId="5687A793"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Nausea</w:t>
            </w:r>
          </w:p>
        </w:tc>
        <w:tc>
          <w:tcPr>
            <w:tcW w:w="3117" w:type="dxa"/>
            <w:shd w:val="clear" w:color="auto" w:fill="auto"/>
          </w:tcPr>
          <w:p w14:paraId="2D348E57"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12 (25.0)</w:t>
            </w:r>
          </w:p>
        </w:tc>
        <w:tc>
          <w:tcPr>
            <w:tcW w:w="3118" w:type="dxa"/>
            <w:shd w:val="clear" w:color="auto" w:fill="auto"/>
          </w:tcPr>
          <w:p w14:paraId="54457493"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9 (18.4)</w:t>
            </w:r>
          </w:p>
        </w:tc>
      </w:tr>
      <w:tr w:rsidR="00C01031" w:rsidRPr="00C01031" w14:paraId="02621EA1" w14:textId="77777777" w:rsidTr="0088050B">
        <w:tc>
          <w:tcPr>
            <w:tcW w:w="3117" w:type="dxa"/>
            <w:shd w:val="clear" w:color="auto" w:fill="auto"/>
          </w:tcPr>
          <w:p w14:paraId="21372E7E"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Arthralgia</w:t>
            </w:r>
          </w:p>
        </w:tc>
        <w:tc>
          <w:tcPr>
            <w:tcW w:w="3117" w:type="dxa"/>
            <w:shd w:val="clear" w:color="auto" w:fill="auto"/>
          </w:tcPr>
          <w:p w14:paraId="5CFF4DA5"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10 (20.8)</w:t>
            </w:r>
          </w:p>
        </w:tc>
        <w:tc>
          <w:tcPr>
            <w:tcW w:w="3118" w:type="dxa"/>
            <w:shd w:val="clear" w:color="auto" w:fill="auto"/>
          </w:tcPr>
          <w:p w14:paraId="4952A3C8"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11 (22.4)</w:t>
            </w:r>
          </w:p>
        </w:tc>
      </w:tr>
      <w:tr w:rsidR="00C01031" w:rsidRPr="00C01031" w14:paraId="2C2F82C3" w14:textId="77777777" w:rsidTr="0088050B">
        <w:tc>
          <w:tcPr>
            <w:tcW w:w="3117" w:type="dxa"/>
            <w:shd w:val="clear" w:color="auto" w:fill="auto"/>
          </w:tcPr>
          <w:p w14:paraId="093DBA58"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Bone pain</w:t>
            </w:r>
          </w:p>
        </w:tc>
        <w:tc>
          <w:tcPr>
            <w:tcW w:w="3117" w:type="dxa"/>
            <w:shd w:val="clear" w:color="auto" w:fill="auto"/>
          </w:tcPr>
          <w:p w14:paraId="202269C3"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10 (20.8)</w:t>
            </w:r>
          </w:p>
        </w:tc>
        <w:tc>
          <w:tcPr>
            <w:tcW w:w="3118" w:type="dxa"/>
            <w:shd w:val="clear" w:color="auto" w:fill="auto"/>
          </w:tcPr>
          <w:p w14:paraId="63401341"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8 (16.3)</w:t>
            </w:r>
          </w:p>
        </w:tc>
      </w:tr>
      <w:tr w:rsidR="00C01031" w:rsidRPr="00C01031" w14:paraId="7641BF37" w14:textId="77777777" w:rsidTr="0088050B">
        <w:tc>
          <w:tcPr>
            <w:tcW w:w="3117" w:type="dxa"/>
            <w:shd w:val="clear" w:color="auto" w:fill="auto"/>
          </w:tcPr>
          <w:p w14:paraId="35B8426A"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Back pain</w:t>
            </w:r>
          </w:p>
        </w:tc>
        <w:tc>
          <w:tcPr>
            <w:tcW w:w="3117" w:type="dxa"/>
            <w:shd w:val="clear" w:color="auto" w:fill="auto"/>
          </w:tcPr>
          <w:p w14:paraId="78D8B299"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10 (20.8)</w:t>
            </w:r>
          </w:p>
        </w:tc>
        <w:tc>
          <w:tcPr>
            <w:tcW w:w="3118" w:type="dxa"/>
            <w:shd w:val="clear" w:color="auto" w:fill="auto"/>
          </w:tcPr>
          <w:p w14:paraId="2C488C79"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7 (14.3)</w:t>
            </w:r>
          </w:p>
        </w:tc>
      </w:tr>
      <w:tr w:rsidR="00C01031" w:rsidRPr="00C01031" w14:paraId="07E17326" w14:textId="77777777" w:rsidTr="0088050B">
        <w:tc>
          <w:tcPr>
            <w:tcW w:w="3117" w:type="dxa"/>
            <w:tcBorders>
              <w:bottom w:val="single" w:sz="4" w:space="0" w:color="auto"/>
            </w:tcBorders>
            <w:shd w:val="clear" w:color="auto" w:fill="auto"/>
          </w:tcPr>
          <w:p w14:paraId="5351A933"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Diarrhea</w:t>
            </w:r>
          </w:p>
        </w:tc>
        <w:tc>
          <w:tcPr>
            <w:tcW w:w="3117" w:type="dxa"/>
            <w:tcBorders>
              <w:bottom w:val="single" w:sz="4" w:space="0" w:color="auto"/>
            </w:tcBorders>
            <w:shd w:val="clear" w:color="auto" w:fill="auto"/>
          </w:tcPr>
          <w:p w14:paraId="7ED4EC0E"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10 (20.8)</w:t>
            </w:r>
          </w:p>
        </w:tc>
        <w:tc>
          <w:tcPr>
            <w:tcW w:w="3118" w:type="dxa"/>
            <w:tcBorders>
              <w:bottom w:val="single" w:sz="4" w:space="0" w:color="auto"/>
            </w:tcBorders>
            <w:shd w:val="clear" w:color="auto" w:fill="auto"/>
          </w:tcPr>
          <w:p w14:paraId="4970CFD1"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7 (14.3)</w:t>
            </w:r>
          </w:p>
        </w:tc>
      </w:tr>
    </w:tbl>
    <w:p w14:paraId="6F0B33B2" w14:textId="77777777" w:rsidR="00CE3621" w:rsidRPr="00C01031" w:rsidRDefault="0059437A" w:rsidP="00CE3621">
      <w:pPr>
        <w:rPr>
          <w:color w:val="000000" w:themeColor="text1"/>
          <w:lang w:val="en-US"/>
        </w:rPr>
      </w:pPr>
      <w:r w:rsidRPr="00C01031">
        <w:rPr>
          <w:color w:val="000000" w:themeColor="text1"/>
          <w:lang w:val="en-US"/>
        </w:rPr>
        <w:t>TEAE, treatment-emergent adverse event (i.e., any event occurring or worsening during radium-223/placebo therapy or up to 30 days after the last administration of radium-223/placebo).</w:t>
      </w:r>
    </w:p>
    <w:p w14:paraId="1BCB2B07" w14:textId="0B7D9535" w:rsidR="0059437A" w:rsidRPr="00C01031" w:rsidRDefault="0059437A" w:rsidP="00CE3621">
      <w:pPr>
        <w:pStyle w:val="Head1"/>
        <w:rPr>
          <w:color w:val="000000" w:themeColor="text1"/>
        </w:rPr>
      </w:pPr>
      <w:r w:rsidRPr="00C01031">
        <w:rPr>
          <w:color w:val="000000" w:themeColor="text1"/>
        </w:rPr>
        <w:br w:type="page"/>
      </w:r>
      <w:bookmarkStart w:id="16" w:name="_Toc131600515"/>
      <w:r w:rsidRPr="00C01031">
        <w:rPr>
          <w:color w:val="000000" w:themeColor="text1"/>
        </w:rPr>
        <w:t>Suppl</w:t>
      </w:r>
      <w:r w:rsidR="00834B08" w:rsidRPr="00C01031">
        <w:rPr>
          <w:color w:val="000000" w:themeColor="text1"/>
        </w:rPr>
        <w:t xml:space="preserve"> </w:t>
      </w:r>
      <w:r w:rsidRPr="00C01031">
        <w:rPr>
          <w:color w:val="000000" w:themeColor="text1"/>
        </w:rPr>
        <w:t xml:space="preserve">Table </w:t>
      </w:r>
      <w:r w:rsidR="00EA7235" w:rsidRPr="00C01031">
        <w:rPr>
          <w:color w:val="000000" w:themeColor="text1"/>
        </w:rPr>
        <w:t>5</w:t>
      </w:r>
      <w:r w:rsidRPr="00C01031">
        <w:rPr>
          <w:color w:val="000000" w:themeColor="text1"/>
        </w:rPr>
        <w:t xml:space="preserve"> </w:t>
      </w:r>
      <w:r w:rsidRPr="00C01031">
        <w:rPr>
          <w:b w:val="0"/>
          <w:bCs w:val="0"/>
          <w:color w:val="000000" w:themeColor="text1"/>
        </w:rPr>
        <w:t xml:space="preserve">TEAEs occurring in ≥15% of patients in either study arm (safety analysis set, </w:t>
      </w:r>
      <w:r w:rsidRPr="00C01031">
        <w:rPr>
          <w:b w:val="0"/>
          <w:bCs w:val="0"/>
          <w:i/>
          <w:iCs/>
          <w:color w:val="000000" w:themeColor="text1"/>
        </w:rPr>
        <w:t>n</w:t>
      </w:r>
      <w:r w:rsidRPr="00C01031">
        <w:rPr>
          <w:b w:val="0"/>
          <w:bCs w:val="0"/>
          <w:color w:val="000000" w:themeColor="text1"/>
        </w:rPr>
        <w:t xml:space="preserve"> = 278): Study B</w:t>
      </w:r>
      <w:bookmarkEnd w:id="16"/>
    </w:p>
    <w:tbl>
      <w:tblPr>
        <w:tblW w:w="0" w:type="auto"/>
        <w:tblInd w:w="5" w:type="dxa"/>
        <w:tblCellMar>
          <w:left w:w="0" w:type="dxa"/>
          <w:right w:w="0" w:type="dxa"/>
        </w:tblCellMar>
        <w:tblLook w:val="04A0" w:firstRow="1" w:lastRow="0" w:firstColumn="1" w:lastColumn="0" w:noHBand="0" w:noVBand="1"/>
      </w:tblPr>
      <w:tblGrid>
        <w:gridCol w:w="3117"/>
        <w:gridCol w:w="3117"/>
        <w:gridCol w:w="3118"/>
      </w:tblGrid>
      <w:tr w:rsidR="00C01031" w:rsidRPr="00C01031" w14:paraId="63FB299B" w14:textId="77777777" w:rsidTr="0088050B">
        <w:tc>
          <w:tcPr>
            <w:tcW w:w="3117" w:type="dxa"/>
            <w:tcBorders>
              <w:top w:val="single" w:sz="4" w:space="0" w:color="auto"/>
              <w:bottom w:val="single" w:sz="4" w:space="0" w:color="auto"/>
            </w:tcBorders>
            <w:shd w:val="clear" w:color="auto" w:fill="auto"/>
          </w:tcPr>
          <w:p w14:paraId="5C3E6CA7" w14:textId="77777777" w:rsidR="0059437A" w:rsidRPr="00C01031" w:rsidRDefault="0059437A" w:rsidP="0059437A">
            <w:pPr>
              <w:suppressLineNumbers/>
              <w:spacing w:line="480" w:lineRule="auto"/>
              <w:rPr>
                <w:rFonts w:eastAsia="Batang" w:cs="Arial"/>
                <w:color w:val="000000" w:themeColor="text1"/>
                <w:szCs w:val="20"/>
                <w:vertAlign w:val="superscript"/>
                <w:lang w:val="en-US"/>
              </w:rPr>
            </w:pPr>
            <w:r w:rsidRPr="00C01031">
              <w:rPr>
                <w:rFonts w:eastAsia="Batang" w:cs="Arial"/>
                <w:color w:val="000000" w:themeColor="text1"/>
                <w:szCs w:val="20"/>
                <w:lang w:val="en-US"/>
              </w:rPr>
              <w:t xml:space="preserve">TEAE, </w:t>
            </w:r>
            <w:r w:rsidRPr="00C01031">
              <w:rPr>
                <w:rFonts w:eastAsia="DengXian" w:cs="Arial"/>
                <w:iCs/>
                <w:color w:val="000000" w:themeColor="text1"/>
                <w:szCs w:val="20"/>
                <w:lang w:val="en-US" w:eastAsia="en-GB"/>
              </w:rPr>
              <w:t>n</w:t>
            </w:r>
            <w:r w:rsidRPr="00C01031">
              <w:rPr>
                <w:rFonts w:eastAsia="Batang" w:cs="Arial"/>
                <w:color w:val="000000" w:themeColor="text1"/>
                <w:szCs w:val="20"/>
                <w:lang w:val="en-US"/>
              </w:rPr>
              <w:t xml:space="preserve"> (%)</w:t>
            </w:r>
          </w:p>
        </w:tc>
        <w:tc>
          <w:tcPr>
            <w:tcW w:w="3117" w:type="dxa"/>
            <w:tcBorders>
              <w:top w:val="single" w:sz="4" w:space="0" w:color="auto"/>
              <w:bottom w:val="single" w:sz="4" w:space="0" w:color="auto"/>
            </w:tcBorders>
            <w:shd w:val="clear" w:color="auto" w:fill="auto"/>
          </w:tcPr>
          <w:p w14:paraId="61DB3CF3"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Radium-223</w:t>
            </w:r>
          </w:p>
          <w:p w14:paraId="32BE20E7"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w:t>
            </w:r>
            <w:r w:rsidRPr="00C01031">
              <w:rPr>
                <w:rFonts w:eastAsia="Batang" w:cs="Arial"/>
                <w:i/>
                <w:iCs/>
                <w:color w:val="000000" w:themeColor="text1"/>
                <w:szCs w:val="20"/>
                <w:lang w:val="en-US"/>
              </w:rPr>
              <w:t xml:space="preserve">n = </w:t>
            </w:r>
            <w:r w:rsidRPr="00C01031">
              <w:rPr>
                <w:rFonts w:eastAsia="Batang" w:cs="Arial"/>
                <w:color w:val="000000" w:themeColor="text1"/>
                <w:szCs w:val="20"/>
                <w:lang w:val="en-US"/>
              </w:rPr>
              <w:t>139)</w:t>
            </w:r>
          </w:p>
        </w:tc>
        <w:tc>
          <w:tcPr>
            <w:tcW w:w="3118" w:type="dxa"/>
            <w:tcBorders>
              <w:top w:val="single" w:sz="4" w:space="0" w:color="auto"/>
              <w:bottom w:val="single" w:sz="4" w:space="0" w:color="auto"/>
            </w:tcBorders>
            <w:shd w:val="clear" w:color="auto" w:fill="auto"/>
          </w:tcPr>
          <w:p w14:paraId="4301039A"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Placebo</w:t>
            </w:r>
          </w:p>
          <w:p w14:paraId="18F401F1"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w:t>
            </w:r>
            <w:r w:rsidRPr="00C01031">
              <w:rPr>
                <w:rFonts w:eastAsia="Batang" w:cs="Arial"/>
                <w:i/>
                <w:iCs/>
                <w:color w:val="000000" w:themeColor="text1"/>
                <w:szCs w:val="20"/>
                <w:lang w:val="en-US"/>
              </w:rPr>
              <w:t xml:space="preserve">n = </w:t>
            </w:r>
            <w:r w:rsidRPr="00C01031">
              <w:rPr>
                <w:rFonts w:eastAsia="Batang" w:cs="Arial"/>
                <w:color w:val="000000" w:themeColor="text1"/>
                <w:szCs w:val="20"/>
                <w:lang w:val="en-US"/>
              </w:rPr>
              <w:t>139)</w:t>
            </w:r>
          </w:p>
        </w:tc>
      </w:tr>
      <w:tr w:rsidR="00C01031" w:rsidRPr="00C01031" w14:paraId="353810A5" w14:textId="77777777" w:rsidTr="0088050B">
        <w:tc>
          <w:tcPr>
            <w:tcW w:w="3117" w:type="dxa"/>
            <w:tcBorders>
              <w:top w:val="single" w:sz="4" w:space="0" w:color="auto"/>
            </w:tcBorders>
            <w:shd w:val="clear" w:color="auto" w:fill="auto"/>
          </w:tcPr>
          <w:p w14:paraId="3577FBD9" w14:textId="77777777" w:rsidR="0059437A" w:rsidRPr="00C01031" w:rsidRDefault="0059437A" w:rsidP="0059437A">
            <w:pPr>
              <w:suppressLineNumbers/>
              <w:spacing w:line="480" w:lineRule="auto"/>
              <w:rPr>
                <w:rFonts w:eastAsia="Batang" w:cs="Arial"/>
                <w:color w:val="000000" w:themeColor="text1"/>
                <w:szCs w:val="20"/>
                <w:lang w:val="en-US"/>
              </w:rPr>
            </w:pPr>
            <w:r w:rsidRPr="00C01031">
              <w:rPr>
                <w:rFonts w:eastAsia="Batang" w:cs="Arial"/>
                <w:color w:val="000000" w:themeColor="text1"/>
                <w:szCs w:val="20"/>
                <w:lang w:val="en-US"/>
              </w:rPr>
              <w:t>Any TEAE</w:t>
            </w:r>
          </w:p>
        </w:tc>
        <w:tc>
          <w:tcPr>
            <w:tcW w:w="3117" w:type="dxa"/>
            <w:tcBorders>
              <w:top w:val="single" w:sz="4" w:space="0" w:color="auto"/>
            </w:tcBorders>
            <w:shd w:val="clear" w:color="auto" w:fill="auto"/>
          </w:tcPr>
          <w:p w14:paraId="570573D2"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139 (100.0)</w:t>
            </w:r>
          </w:p>
        </w:tc>
        <w:tc>
          <w:tcPr>
            <w:tcW w:w="3118" w:type="dxa"/>
            <w:tcBorders>
              <w:top w:val="single" w:sz="4" w:space="0" w:color="auto"/>
            </w:tcBorders>
            <w:shd w:val="clear" w:color="auto" w:fill="auto"/>
          </w:tcPr>
          <w:p w14:paraId="07391DC7"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136 (97.8)</w:t>
            </w:r>
          </w:p>
        </w:tc>
      </w:tr>
      <w:tr w:rsidR="00C01031" w:rsidRPr="00C01031" w14:paraId="79DEA8C0" w14:textId="77777777" w:rsidTr="0088050B">
        <w:tc>
          <w:tcPr>
            <w:tcW w:w="3117" w:type="dxa"/>
            <w:shd w:val="clear" w:color="auto" w:fill="auto"/>
          </w:tcPr>
          <w:p w14:paraId="42E34A01"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Stomatitis</w:t>
            </w:r>
          </w:p>
        </w:tc>
        <w:tc>
          <w:tcPr>
            <w:tcW w:w="3117" w:type="dxa"/>
            <w:shd w:val="clear" w:color="auto" w:fill="auto"/>
          </w:tcPr>
          <w:p w14:paraId="249AEDD1"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66 (47.5)</w:t>
            </w:r>
          </w:p>
        </w:tc>
        <w:tc>
          <w:tcPr>
            <w:tcW w:w="3118" w:type="dxa"/>
            <w:shd w:val="clear" w:color="auto" w:fill="auto"/>
          </w:tcPr>
          <w:p w14:paraId="66A24284"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69 (49.6)</w:t>
            </w:r>
          </w:p>
        </w:tc>
      </w:tr>
      <w:tr w:rsidR="00C01031" w:rsidRPr="00C01031" w14:paraId="7F9B0106" w14:textId="77777777" w:rsidTr="0088050B">
        <w:tc>
          <w:tcPr>
            <w:tcW w:w="3117" w:type="dxa"/>
            <w:shd w:val="clear" w:color="auto" w:fill="auto"/>
          </w:tcPr>
          <w:p w14:paraId="6DFCD60B"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Anemia</w:t>
            </w:r>
          </w:p>
        </w:tc>
        <w:tc>
          <w:tcPr>
            <w:tcW w:w="3117" w:type="dxa"/>
            <w:shd w:val="clear" w:color="auto" w:fill="auto"/>
          </w:tcPr>
          <w:p w14:paraId="17AC4D6C"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54 (38.8)</w:t>
            </w:r>
          </w:p>
        </w:tc>
        <w:tc>
          <w:tcPr>
            <w:tcW w:w="3118" w:type="dxa"/>
            <w:shd w:val="clear" w:color="auto" w:fill="auto"/>
          </w:tcPr>
          <w:p w14:paraId="4822F197"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40 (28.8)</w:t>
            </w:r>
          </w:p>
        </w:tc>
      </w:tr>
      <w:tr w:rsidR="00C01031" w:rsidRPr="00C01031" w14:paraId="4D9C9EF0" w14:textId="77777777" w:rsidTr="0088050B">
        <w:tc>
          <w:tcPr>
            <w:tcW w:w="3117" w:type="dxa"/>
            <w:shd w:val="clear" w:color="auto" w:fill="auto"/>
          </w:tcPr>
          <w:p w14:paraId="788334D8"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Decreased appetite</w:t>
            </w:r>
          </w:p>
        </w:tc>
        <w:tc>
          <w:tcPr>
            <w:tcW w:w="3117" w:type="dxa"/>
            <w:shd w:val="clear" w:color="auto" w:fill="auto"/>
          </w:tcPr>
          <w:p w14:paraId="5C8F3170"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48 (34.5)</w:t>
            </w:r>
          </w:p>
        </w:tc>
        <w:tc>
          <w:tcPr>
            <w:tcW w:w="3118" w:type="dxa"/>
            <w:shd w:val="clear" w:color="auto" w:fill="auto"/>
          </w:tcPr>
          <w:p w14:paraId="7C686FF9"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34 (24.5)</w:t>
            </w:r>
          </w:p>
        </w:tc>
      </w:tr>
      <w:tr w:rsidR="00C01031" w:rsidRPr="00C01031" w14:paraId="0319EA6E" w14:textId="77777777" w:rsidTr="0088050B">
        <w:tc>
          <w:tcPr>
            <w:tcW w:w="3117" w:type="dxa"/>
            <w:shd w:val="clear" w:color="auto" w:fill="auto"/>
          </w:tcPr>
          <w:p w14:paraId="0C8A4438"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Diarrhea</w:t>
            </w:r>
          </w:p>
        </w:tc>
        <w:tc>
          <w:tcPr>
            <w:tcW w:w="3117" w:type="dxa"/>
            <w:shd w:val="clear" w:color="auto" w:fill="auto"/>
          </w:tcPr>
          <w:p w14:paraId="2F67C274"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43 (30.9)</w:t>
            </w:r>
          </w:p>
        </w:tc>
        <w:tc>
          <w:tcPr>
            <w:tcW w:w="3118" w:type="dxa"/>
            <w:shd w:val="clear" w:color="auto" w:fill="auto"/>
          </w:tcPr>
          <w:p w14:paraId="3A9BB921"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31 (22.3)</w:t>
            </w:r>
          </w:p>
        </w:tc>
      </w:tr>
      <w:tr w:rsidR="00C01031" w:rsidRPr="00C01031" w14:paraId="48FB34BE" w14:textId="77777777" w:rsidTr="0088050B">
        <w:tc>
          <w:tcPr>
            <w:tcW w:w="3117" w:type="dxa"/>
            <w:shd w:val="clear" w:color="auto" w:fill="auto"/>
          </w:tcPr>
          <w:p w14:paraId="14431D5C"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Nausea</w:t>
            </w:r>
          </w:p>
        </w:tc>
        <w:tc>
          <w:tcPr>
            <w:tcW w:w="3117" w:type="dxa"/>
            <w:shd w:val="clear" w:color="auto" w:fill="auto"/>
          </w:tcPr>
          <w:p w14:paraId="6DCA0A05"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41 (29.5)</w:t>
            </w:r>
          </w:p>
        </w:tc>
        <w:tc>
          <w:tcPr>
            <w:tcW w:w="3118" w:type="dxa"/>
            <w:shd w:val="clear" w:color="auto" w:fill="auto"/>
          </w:tcPr>
          <w:p w14:paraId="7AEF4A1D"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30 (21.6)</w:t>
            </w:r>
          </w:p>
        </w:tc>
      </w:tr>
      <w:tr w:rsidR="00C01031" w:rsidRPr="00C01031" w14:paraId="293A50AF" w14:textId="77777777" w:rsidTr="0088050B">
        <w:tc>
          <w:tcPr>
            <w:tcW w:w="3117" w:type="dxa"/>
            <w:shd w:val="clear" w:color="auto" w:fill="auto"/>
          </w:tcPr>
          <w:p w14:paraId="682340C0"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Fatigue</w:t>
            </w:r>
          </w:p>
        </w:tc>
        <w:tc>
          <w:tcPr>
            <w:tcW w:w="3117" w:type="dxa"/>
            <w:shd w:val="clear" w:color="auto" w:fill="auto"/>
          </w:tcPr>
          <w:p w14:paraId="2B77FCE3"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38 (27.3)</w:t>
            </w:r>
          </w:p>
        </w:tc>
        <w:tc>
          <w:tcPr>
            <w:tcW w:w="3118" w:type="dxa"/>
            <w:shd w:val="clear" w:color="auto" w:fill="auto"/>
          </w:tcPr>
          <w:p w14:paraId="352D62F6"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41 (29.5)</w:t>
            </w:r>
          </w:p>
        </w:tc>
      </w:tr>
      <w:tr w:rsidR="00C01031" w:rsidRPr="00C01031" w14:paraId="4A570A62" w14:textId="77777777" w:rsidTr="0088050B">
        <w:tc>
          <w:tcPr>
            <w:tcW w:w="3117" w:type="dxa"/>
            <w:shd w:val="clear" w:color="auto" w:fill="auto"/>
          </w:tcPr>
          <w:p w14:paraId="3D3610D5"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Asthenia</w:t>
            </w:r>
          </w:p>
        </w:tc>
        <w:tc>
          <w:tcPr>
            <w:tcW w:w="3117" w:type="dxa"/>
            <w:shd w:val="clear" w:color="auto" w:fill="auto"/>
          </w:tcPr>
          <w:p w14:paraId="5E308B40"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29 (20.9)</w:t>
            </w:r>
          </w:p>
        </w:tc>
        <w:tc>
          <w:tcPr>
            <w:tcW w:w="3118" w:type="dxa"/>
            <w:shd w:val="clear" w:color="auto" w:fill="auto"/>
          </w:tcPr>
          <w:p w14:paraId="075B0838"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25 (18.0)</w:t>
            </w:r>
          </w:p>
        </w:tc>
      </w:tr>
      <w:tr w:rsidR="00C01031" w:rsidRPr="00C01031" w14:paraId="0C1F462D" w14:textId="77777777" w:rsidTr="0088050B">
        <w:tc>
          <w:tcPr>
            <w:tcW w:w="3117" w:type="dxa"/>
            <w:shd w:val="clear" w:color="auto" w:fill="auto"/>
          </w:tcPr>
          <w:p w14:paraId="08363ABB"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Neutropenia</w:t>
            </w:r>
          </w:p>
        </w:tc>
        <w:tc>
          <w:tcPr>
            <w:tcW w:w="3117" w:type="dxa"/>
            <w:shd w:val="clear" w:color="auto" w:fill="auto"/>
          </w:tcPr>
          <w:p w14:paraId="2377C558"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29 (20.9)</w:t>
            </w:r>
          </w:p>
        </w:tc>
        <w:tc>
          <w:tcPr>
            <w:tcW w:w="3118" w:type="dxa"/>
            <w:shd w:val="clear" w:color="auto" w:fill="auto"/>
          </w:tcPr>
          <w:p w14:paraId="44DA774B"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11 (7.9)</w:t>
            </w:r>
          </w:p>
        </w:tc>
      </w:tr>
      <w:tr w:rsidR="00C01031" w:rsidRPr="00C01031" w14:paraId="5FC768FD" w14:textId="77777777" w:rsidTr="0088050B">
        <w:tc>
          <w:tcPr>
            <w:tcW w:w="3117" w:type="dxa"/>
            <w:shd w:val="clear" w:color="auto" w:fill="auto"/>
          </w:tcPr>
          <w:p w14:paraId="26D3DC3B"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Weight decreased</w:t>
            </w:r>
          </w:p>
        </w:tc>
        <w:tc>
          <w:tcPr>
            <w:tcW w:w="3117" w:type="dxa"/>
            <w:shd w:val="clear" w:color="auto" w:fill="auto"/>
          </w:tcPr>
          <w:p w14:paraId="28B47989"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28 (20.1)</w:t>
            </w:r>
          </w:p>
        </w:tc>
        <w:tc>
          <w:tcPr>
            <w:tcW w:w="3118" w:type="dxa"/>
            <w:shd w:val="clear" w:color="auto" w:fill="auto"/>
          </w:tcPr>
          <w:p w14:paraId="2EA735CB"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22 (15.8)</w:t>
            </w:r>
          </w:p>
        </w:tc>
      </w:tr>
      <w:tr w:rsidR="00C01031" w:rsidRPr="00C01031" w14:paraId="0CF34811" w14:textId="77777777" w:rsidTr="0088050B">
        <w:tc>
          <w:tcPr>
            <w:tcW w:w="3117" w:type="dxa"/>
            <w:shd w:val="clear" w:color="auto" w:fill="auto"/>
          </w:tcPr>
          <w:p w14:paraId="00138D41" w14:textId="77777777" w:rsidR="0059437A" w:rsidRPr="00C01031" w:rsidRDefault="0059437A" w:rsidP="0059437A">
            <w:pPr>
              <w:suppressLineNumbers/>
              <w:spacing w:line="480" w:lineRule="auto"/>
              <w:ind w:left="284"/>
              <w:rPr>
                <w:rFonts w:eastAsia="Batang" w:cs="Arial"/>
                <w:color w:val="000000" w:themeColor="text1"/>
                <w:szCs w:val="20"/>
                <w:lang w:val="en-US"/>
              </w:rPr>
            </w:pPr>
            <w:r w:rsidRPr="00C01031">
              <w:rPr>
                <w:rFonts w:eastAsia="Batang" w:cs="Arial"/>
                <w:color w:val="000000" w:themeColor="text1"/>
                <w:szCs w:val="20"/>
                <w:lang w:val="en-US"/>
              </w:rPr>
              <w:t>Arthralgia</w:t>
            </w:r>
          </w:p>
        </w:tc>
        <w:tc>
          <w:tcPr>
            <w:tcW w:w="3117" w:type="dxa"/>
            <w:shd w:val="clear" w:color="auto" w:fill="auto"/>
          </w:tcPr>
          <w:p w14:paraId="091E93D7"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27 (19.4)</w:t>
            </w:r>
          </w:p>
        </w:tc>
        <w:tc>
          <w:tcPr>
            <w:tcW w:w="3118" w:type="dxa"/>
            <w:shd w:val="clear" w:color="auto" w:fill="auto"/>
          </w:tcPr>
          <w:p w14:paraId="751A4C70" w14:textId="77777777" w:rsidR="0059437A" w:rsidRPr="00C01031" w:rsidRDefault="0059437A" w:rsidP="0059437A">
            <w:pPr>
              <w:suppressLineNumbers/>
              <w:spacing w:line="480" w:lineRule="auto"/>
              <w:jc w:val="center"/>
              <w:rPr>
                <w:rFonts w:eastAsia="Batang" w:cs="Arial"/>
                <w:color w:val="000000" w:themeColor="text1"/>
                <w:szCs w:val="20"/>
                <w:lang w:val="en-US"/>
              </w:rPr>
            </w:pPr>
            <w:r w:rsidRPr="00C01031">
              <w:rPr>
                <w:rFonts w:eastAsia="Batang" w:cs="Arial"/>
                <w:color w:val="000000" w:themeColor="text1"/>
                <w:szCs w:val="20"/>
                <w:lang w:val="en-US"/>
              </w:rPr>
              <w:t>34 (24.5)</w:t>
            </w:r>
          </w:p>
        </w:tc>
      </w:tr>
      <w:tr w:rsidR="00C01031" w:rsidRPr="00C01031" w14:paraId="3B5EF5C5" w14:textId="77777777" w:rsidTr="0088050B">
        <w:tc>
          <w:tcPr>
            <w:tcW w:w="3117" w:type="dxa"/>
            <w:shd w:val="clear" w:color="auto" w:fill="auto"/>
          </w:tcPr>
          <w:p w14:paraId="6C205A50"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Peripheral edema</w:t>
            </w:r>
          </w:p>
        </w:tc>
        <w:tc>
          <w:tcPr>
            <w:tcW w:w="3117" w:type="dxa"/>
            <w:shd w:val="clear" w:color="auto" w:fill="auto"/>
          </w:tcPr>
          <w:p w14:paraId="30359A5C"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26 (18.7)</w:t>
            </w:r>
          </w:p>
        </w:tc>
        <w:tc>
          <w:tcPr>
            <w:tcW w:w="3118" w:type="dxa"/>
            <w:shd w:val="clear" w:color="auto" w:fill="auto"/>
          </w:tcPr>
          <w:p w14:paraId="136F9976"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25 (18.0)</w:t>
            </w:r>
          </w:p>
        </w:tc>
      </w:tr>
      <w:tr w:rsidR="00C01031" w:rsidRPr="00C01031" w14:paraId="1A2EFACC" w14:textId="77777777" w:rsidTr="0088050B">
        <w:tc>
          <w:tcPr>
            <w:tcW w:w="3117" w:type="dxa"/>
            <w:shd w:val="clear" w:color="auto" w:fill="auto"/>
          </w:tcPr>
          <w:p w14:paraId="45075F5B"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Cough</w:t>
            </w:r>
          </w:p>
        </w:tc>
        <w:tc>
          <w:tcPr>
            <w:tcW w:w="3117" w:type="dxa"/>
            <w:shd w:val="clear" w:color="auto" w:fill="auto"/>
          </w:tcPr>
          <w:p w14:paraId="46E20943"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25 (18.0)</w:t>
            </w:r>
          </w:p>
        </w:tc>
        <w:tc>
          <w:tcPr>
            <w:tcW w:w="3118" w:type="dxa"/>
            <w:shd w:val="clear" w:color="auto" w:fill="auto"/>
          </w:tcPr>
          <w:p w14:paraId="688A3C0F"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26 (18.7)</w:t>
            </w:r>
          </w:p>
        </w:tc>
      </w:tr>
      <w:tr w:rsidR="00C01031" w:rsidRPr="00C01031" w14:paraId="0B6FB904" w14:textId="77777777" w:rsidTr="0088050B">
        <w:tc>
          <w:tcPr>
            <w:tcW w:w="3117" w:type="dxa"/>
            <w:shd w:val="clear" w:color="auto" w:fill="auto"/>
          </w:tcPr>
          <w:p w14:paraId="17581471"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Vomiting</w:t>
            </w:r>
          </w:p>
        </w:tc>
        <w:tc>
          <w:tcPr>
            <w:tcW w:w="3117" w:type="dxa"/>
            <w:shd w:val="clear" w:color="auto" w:fill="auto"/>
          </w:tcPr>
          <w:p w14:paraId="2914EC99"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25 (18.0)</w:t>
            </w:r>
          </w:p>
        </w:tc>
        <w:tc>
          <w:tcPr>
            <w:tcW w:w="3118" w:type="dxa"/>
            <w:shd w:val="clear" w:color="auto" w:fill="auto"/>
          </w:tcPr>
          <w:p w14:paraId="22C5703E"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24 (17.3)</w:t>
            </w:r>
          </w:p>
        </w:tc>
      </w:tr>
      <w:tr w:rsidR="00C01031" w:rsidRPr="00C01031" w14:paraId="73DF07F0" w14:textId="77777777" w:rsidTr="0088050B">
        <w:tc>
          <w:tcPr>
            <w:tcW w:w="3117" w:type="dxa"/>
            <w:shd w:val="clear" w:color="auto" w:fill="auto"/>
          </w:tcPr>
          <w:p w14:paraId="581994A9"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Headache</w:t>
            </w:r>
          </w:p>
        </w:tc>
        <w:tc>
          <w:tcPr>
            <w:tcW w:w="3117" w:type="dxa"/>
            <w:shd w:val="clear" w:color="auto" w:fill="auto"/>
          </w:tcPr>
          <w:p w14:paraId="6868F8CD"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24 (17.3)</w:t>
            </w:r>
          </w:p>
        </w:tc>
        <w:tc>
          <w:tcPr>
            <w:tcW w:w="3118" w:type="dxa"/>
            <w:shd w:val="clear" w:color="auto" w:fill="auto"/>
          </w:tcPr>
          <w:p w14:paraId="1E1DAF69"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29 (20.9)</w:t>
            </w:r>
          </w:p>
        </w:tc>
      </w:tr>
      <w:tr w:rsidR="00C01031" w:rsidRPr="00C01031" w14:paraId="43B59099" w14:textId="77777777" w:rsidTr="0088050B">
        <w:tc>
          <w:tcPr>
            <w:tcW w:w="3117" w:type="dxa"/>
            <w:shd w:val="clear" w:color="auto" w:fill="auto"/>
          </w:tcPr>
          <w:p w14:paraId="4E407640"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Thrombocytopenia</w:t>
            </w:r>
          </w:p>
        </w:tc>
        <w:tc>
          <w:tcPr>
            <w:tcW w:w="3117" w:type="dxa"/>
            <w:shd w:val="clear" w:color="auto" w:fill="auto"/>
          </w:tcPr>
          <w:p w14:paraId="1A055D07"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23 (16.5)</w:t>
            </w:r>
          </w:p>
        </w:tc>
        <w:tc>
          <w:tcPr>
            <w:tcW w:w="3118" w:type="dxa"/>
            <w:shd w:val="clear" w:color="auto" w:fill="auto"/>
          </w:tcPr>
          <w:p w14:paraId="5ACE9EF9"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9 (6.5)</w:t>
            </w:r>
          </w:p>
        </w:tc>
      </w:tr>
      <w:tr w:rsidR="00C01031" w:rsidRPr="00C01031" w14:paraId="5EA10E38" w14:textId="77777777" w:rsidTr="0088050B">
        <w:tc>
          <w:tcPr>
            <w:tcW w:w="3117" w:type="dxa"/>
            <w:shd w:val="clear" w:color="auto" w:fill="auto"/>
          </w:tcPr>
          <w:p w14:paraId="277904C4"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Pyrexia</w:t>
            </w:r>
          </w:p>
        </w:tc>
        <w:tc>
          <w:tcPr>
            <w:tcW w:w="3117" w:type="dxa"/>
            <w:shd w:val="clear" w:color="auto" w:fill="auto"/>
          </w:tcPr>
          <w:p w14:paraId="68B89C1B"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22 (15.8)</w:t>
            </w:r>
          </w:p>
        </w:tc>
        <w:tc>
          <w:tcPr>
            <w:tcW w:w="3118" w:type="dxa"/>
            <w:shd w:val="clear" w:color="auto" w:fill="auto"/>
          </w:tcPr>
          <w:p w14:paraId="0D49ADE6"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16 (11.5)</w:t>
            </w:r>
          </w:p>
        </w:tc>
      </w:tr>
      <w:tr w:rsidR="00C01031" w:rsidRPr="00C01031" w14:paraId="74DA3B69" w14:textId="77777777" w:rsidTr="0088050B">
        <w:tc>
          <w:tcPr>
            <w:tcW w:w="3117" w:type="dxa"/>
            <w:shd w:val="clear" w:color="auto" w:fill="auto"/>
          </w:tcPr>
          <w:p w14:paraId="63AB66FD"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Rash</w:t>
            </w:r>
          </w:p>
        </w:tc>
        <w:tc>
          <w:tcPr>
            <w:tcW w:w="3117" w:type="dxa"/>
            <w:shd w:val="clear" w:color="auto" w:fill="auto"/>
          </w:tcPr>
          <w:p w14:paraId="419AE049"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21 (15.1)</w:t>
            </w:r>
          </w:p>
        </w:tc>
        <w:tc>
          <w:tcPr>
            <w:tcW w:w="3118" w:type="dxa"/>
            <w:shd w:val="clear" w:color="auto" w:fill="auto"/>
          </w:tcPr>
          <w:p w14:paraId="6D9B2B55"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30 (21.6)</w:t>
            </w:r>
          </w:p>
        </w:tc>
      </w:tr>
      <w:tr w:rsidR="00C01031" w:rsidRPr="00C01031" w14:paraId="0E6CBBED" w14:textId="77777777" w:rsidTr="0088050B">
        <w:tc>
          <w:tcPr>
            <w:tcW w:w="3117" w:type="dxa"/>
            <w:shd w:val="clear" w:color="auto" w:fill="auto"/>
          </w:tcPr>
          <w:p w14:paraId="73261BC2"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Alanine aminotransferase increased</w:t>
            </w:r>
          </w:p>
        </w:tc>
        <w:tc>
          <w:tcPr>
            <w:tcW w:w="3117" w:type="dxa"/>
            <w:shd w:val="clear" w:color="auto" w:fill="auto"/>
          </w:tcPr>
          <w:p w14:paraId="1803E1FB"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21 (15.1)</w:t>
            </w:r>
          </w:p>
        </w:tc>
        <w:tc>
          <w:tcPr>
            <w:tcW w:w="3118" w:type="dxa"/>
            <w:shd w:val="clear" w:color="auto" w:fill="auto"/>
          </w:tcPr>
          <w:p w14:paraId="68012170"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23 (16.5)</w:t>
            </w:r>
          </w:p>
        </w:tc>
      </w:tr>
      <w:tr w:rsidR="00C01031" w:rsidRPr="00C01031" w14:paraId="47B0B5C3" w14:textId="77777777" w:rsidTr="0088050B">
        <w:tc>
          <w:tcPr>
            <w:tcW w:w="3117" w:type="dxa"/>
            <w:shd w:val="clear" w:color="auto" w:fill="auto"/>
          </w:tcPr>
          <w:p w14:paraId="7C723EB2"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Pain in extremity</w:t>
            </w:r>
          </w:p>
        </w:tc>
        <w:tc>
          <w:tcPr>
            <w:tcW w:w="3117" w:type="dxa"/>
            <w:shd w:val="clear" w:color="auto" w:fill="auto"/>
          </w:tcPr>
          <w:p w14:paraId="45DC3D6E"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21 (15.1)</w:t>
            </w:r>
          </w:p>
        </w:tc>
        <w:tc>
          <w:tcPr>
            <w:tcW w:w="3118" w:type="dxa"/>
            <w:shd w:val="clear" w:color="auto" w:fill="auto"/>
          </w:tcPr>
          <w:p w14:paraId="2D2D8E16"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19 (13.7)</w:t>
            </w:r>
          </w:p>
        </w:tc>
      </w:tr>
      <w:tr w:rsidR="00C01031" w:rsidRPr="00C01031" w14:paraId="076C35B6" w14:textId="77777777" w:rsidTr="0088050B">
        <w:tc>
          <w:tcPr>
            <w:tcW w:w="3117" w:type="dxa"/>
            <w:shd w:val="clear" w:color="auto" w:fill="auto"/>
          </w:tcPr>
          <w:p w14:paraId="6139D686"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Back pain</w:t>
            </w:r>
          </w:p>
        </w:tc>
        <w:tc>
          <w:tcPr>
            <w:tcW w:w="3117" w:type="dxa"/>
            <w:shd w:val="clear" w:color="auto" w:fill="auto"/>
          </w:tcPr>
          <w:p w14:paraId="02E7C6F9"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15 (10.8)</w:t>
            </w:r>
          </w:p>
        </w:tc>
        <w:tc>
          <w:tcPr>
            <w:tcW w:w="3118" w:type="dxa"/>
            <w:shd w:val="clear" w:color="auto" w:fill="auto"/>
          </w:tcPr>
          <w:p w14:paraId="10C8EE57"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27 (19.4)</w:t>
            </w:r>
          </w:p>
        </w:tc>
      </w:tr>
      <w:tr w:rsidR="00C01031" w:rsidRPr="00C01031" w14:paraId="79D91601" w14:textId="77777777" w:rsidTr="0088050B">
        <w:tc>
          <w:tcPr>
            <w:tcW w:w="3117" w:type="dxa"/>
            <w:tcBorders>
              <w:bottom w:val="single" w:sz="4" w:space="0" w:color="auto"/>
            </w:tcBorders>
            <w:shd w:val="clear" w:color="auto" w:fill="auto"/>
          </w:tcPr>
          <w:p w14:paraId="5D5530C7" w14:textId="77777777" w:rsidR="0059437A" w:rsidRPr="00C01031" w:rsidRDefault="0059437A" w:rsidP="0059437A">
            <w:pPr>
              <w:suppressLineNumbers/>
              <w:spacing w:line="480" w:lineRule="auto"/>
              <w:ind w:left="284"/>
              <w:rPr>
                <w:rFonts w:eastAsia="DengXian" w:cs="Arial"/>
                <w:color w:val="000000" w:themeColor="text1"/>
                <w:szCs w:val="20"/>
                <w:lang w:val="en-US" w:eastAsia="en-GB"/>
              </w:rPr>
            </w:pPr>
            <w:r w:rsidRPr="00C01031">
              <w:rPr>
                <w:rFonts w:eastAsia="DengXian" w:cs="Arial"/>
                <w:color w:val="000000" w:themeColor="text1"/>
                <w:szCs w:val="20"/>
                <w:lang w:val="en-US" w:eastAsia="en-GB"/>
              </w:rPr>
              <w:t>Bone pain</w:t>
            </w:r>
          </w:p>
        </w:tc>
        <w:tc>
          <w:tcPr>
            <w:tcW w:w="3117" w:type="dxa"/>
            <w:tcBorders>
              <w:bottom w:val="single" w:sz="4" w:space="0" w:color="auto"/>
            </w:tcBorders>
            <w:shd w:val="clear" w:color="auto" w:fill="auto"/>
          </w:tcPr>
          <w:p w14:paraId="283D1BD6"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12 (8.6)</w:t>
            </w:r>
          </w:p>
        </w:tc>
        <w:tc>
          <w:tcPr>
            <w:tcW w:w="3118" w:type="dxa"/>
            <w:tcBorders>
              <w:bottom w:val="single" w:sz="4" w:space="0" w:color="auto"/>
            </w:tcBorders>
            <w:shd w:val="clear" w:color="auto" w:fill="auto"/>
          </w:tcPr>
          <w:p w14:paraId="4B61968A" w14:textId="77777777" w:rsidR="0059437A" w:rsidRPr="00C01031" w:rsidRDefault="0059437A" w:rsidP="0059437A">
            <w:pPr>
              <w:suppressLineNumbers/>
              <w:spacing w:line="480" w:lineRule="auto"/>
              <w:jc w:val="center"/>
              <w:rPr>
                <w:rFonts w:eastAsia="DengXian" w:cs="Arial"/>
                <w:color w:val="000000" w:themeColor="text1"/>
                <w:szCs w:val="20"/>
                <w:lang w:val="en-US" w:eastAsia="en-GB"/>
              </w:rPr>
            </w:pPr>
            <w:r w:rsidRPr="00C01031">
              <w:rPr>
                <w:rFonts w:eastAsia="DengXian" w:cs="Arial"/>
                <w:color w:val="000000" w:themeColor="text1"/>
                <w:szCs w:val="20"/>
                <w:lang w:val="en-US" w:eastAsia="en-GB"/>
              </w:rPr>
              <w:t>21 (15.1)</w:t>
            </w:r>
          </w:p>
        </w:tc>
      </w:tr>
    </w:tbl>
    <w:p w14:paraId="182E1775" w14:textId="77777777" w:rsidR="0059437A" w:rsidRPr="00C01031" w:rsidRDefault="0059437A" w:rsidP="00CE3621">
      <w:pPr>
        <w:rPr>
          <w:color w:val="000000" w:themeColor="text1"/>
          <w:lang w:val="en-US"/>
        </w:rPr>
      </w:pPr>
      <w:r w:rsidRPr="00C01031">
        <w:rPr>
          <w:color w:val="000000" w:themeColor="text1"/>
          <w:lang w:val="en-US"/>
        </w:rPr>
        <w:t>TEAE, treatment-emergent adverse event (i.e., any event occurring or worsening during radium-223/placebo, exemestane, or everolimus therapy or up to 30 days after the last administration of radium-223/placebo, exemestane, or everolimus, whichever came last).</w:t>
      </w:r>
    </w:p>
    <w:p w14:paraId="3B4696FB" w14:textId="77777777" w:rsidR="0059437A" w:rsidRPr="00C01031" w:rsidRDefault="0059437A" w:rsidP="0059437A">
      <w:pPr>
        <w:spacing w:line="480" w:lineRule="auto"/>
        <w:rPr>
          <w:rFonts w:eastAsia="Batang" w:cs="Arial"/>
          <w:b/>
          <w:bCs/>
          <w:color w:val="000000" w:themeColor="text1"/>
          <w:szCs w:val="20"/>
          <w:lang w:val="en-US"/>
        </w:rPr>
        <w:sectPr w:rsidR="0059437A" w:rsidRPr="00C01031" w:rsidSect="00C01031">
          <w:headerReference w:type="even" r:id="rId14"/>
          <w:headerReference w:type="default" r:id="rId15"/>
          <w:footerReference w:type="even" r:id="rId16"/>
          <w:footerReference w:type="default" r:id="rId17"/>
          <w:headerReference w:type="first" r:id="rId18"/>
          <w:footerReference w:type="first" r:id="rId19"/>
          <w:type w:val="continuous"/>
          <w:pgSz w:w="12242" w:h="15842" w:code="1"/>
          <w:pgMar w:top="1440" w:right="1440" w:bottom="1440" w:left="1440" w:header="709" w:footer="397" w:gutter="0"/>
          <w:cols w:space="708"/>
          <w:docGrid w:linePitch="360"/>
        </w:sectPr>
      </w:pPr>
    </w:p>
    <w:p w14:paraId="1E1AECDC" w14:textId="77777777" w:rsidR="0059437A" w:rsidRPr="00C01031" w:rsidRDefault="0059437A" w:rsidP="00CE3621">
      <w:pPr>
        <w:pStyle w:val="Head1"/>
        <w:rPr>
          <w:color w:val="000000" w:themeColor="text1"/>
          <w:spacing w:val="-4"/>
        </w:rPr>
      </w:pPr>
      <w:bookmarkStart w:id="17" w:name="_Toc131600516"/>
      <w:r w:rsidRPr="00C01031">
        <w:rPr>
          <w:color w:val="000000" w:themeColor="text1"/>
        </w:rPr>
        <w:t>Suppl Fig</w:t>
      </w:r>
      <w:r w:rsidR="00834B08" w:rsidRPr="00C01031">
        <w:rPr>
          <w:color w:val="000000" w:themeColor="text1"/>
        </w:rPr>
        <w:t>.</w:t>
      </w:r>
      <w:r w:rsidRPr="00C01031">
        <w:rPr>
          <w:color w:val="000000" w:themeColor="text1"/>
        </w:rPr>
        <w:t xml:space="preserve"> 1 </w:t>
      </w:r>
      <w:r w:rsidRPr="00C01031">
        <w:rPr>
          <w:b w:val="0"/>
          <w:bCs w:val="0"/>
          <w:color w:val="000000" w:themeColor="text1"/>
        </w:rPr>
        <w:t>Study flow</w:t>
      </w:r>
      <w:r w:rsidR="00834B08" w:rsidRPr="00C01031">
        <w:rPr>
          <w:b w:val="0"/>
          <w:bCs w:val="0"/>
          <w:color w:val="000000" w:themeColor="text1"/>
        </w:rPr>
        <w:t xml:space="preserve">. </w:t>
      </w:r>
      <w:r w:rsidRPr="00C01031">
        <w:rPr>
          <w:b w:val="0"/>
          <w:bCs w:val="0"/>
          <w:color w:val="000000" w:themeColor="text1"/>
        </w:rPr>
        <w:t>ITT, intention to treat</w:t>
      </w:r>
      <w:bookmarkEnd w:id="17"/>
    </w:p>
    <w:p w14:paraId="09FD66F4" w14:textId="4458AA0B" w:rsidR="0059437A" w:rsidRPr="00C01031" w:rsidRDefault="008F1301" w:rsidP="0059437A">
      <w:pPr>
        <w:spacing w:line="480" w:lineRule="auto"/>
        <w:rPr>
          <w:rFonts w:eastAsia="Batang" w:cs="Arial"/>
          <w:bCs/>
          <w:color w:val="000000" w:themeColor="text1"/>
          <w:szCs w:val="20"/>
          <w:lang w:val="en-US"/>
        </w:rPr>
      </w:pPr>
      <w:r w:rsidRPr="00C01031">
        <w:rPr>
          <w:rFonts w:eastAsia="Batang" w:cs="Arial"/>
          <w:b/>
          <w:noProof/>
          <w:color w:val="000000" w:themeColor="text1"/>
          <w:spacing w:val="-4"/>
          <w:szCs w:val="20"/>
          <w:lang w:val="en-IN" w:eastAsia="en-IN"/>
        </w:rPr>
        <w:drawing>
          <wp:inline distT="0" distB="0" distL="0" distR="0" wp14:anchorId="12A9F754" wp14:editId="169A9BD3">
            <wp:extent cx="8008620" cy="33985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08620" cy="3398520"/>
                    </a:xfrm>
                    <a:prstGeom prst="rect">
                      <a:avLst/>
                    </a:prstGeom>
                    <a:noFill/>
                    <a:ln>
                      <a:noFill/>
                    </a:ln>
                  </pic:spPr>
                </pic:pic>
              </a:graphicData>
            </a:graphic>
          </wp:inline>
        </w:drawing>
      </w:r>
    </w:p>
    <w:p w14:paraId="59634680" w14:textId="77777777" w:rsidR="0088050B" w:rsidRPr="00C01031" w:rsidRDefault="0088050B">
      <w:pPr>
        <w:rPr>
          <w:color w:val="000000" w:themeColor="text1"/>
          <w:lang w:val="en-US"/>
        </w:rPr>
      </w:pPr>
    </w:p>
    <w:sectPr w:rsidR="0088050B" w:rsidRPr="00C01031" w:rsidSect="00C01031">
      <w:type w:val="continuous"/>
      <w:pgSz w:w="15842" w:h="12242" w:orient="landscape" w:code="1"/>
      <w:pgMar w:top="1440" w:right="1440" w:bottom="1440" w:left="1440" w:header="709"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F11779" w14:textId="77777777" w:rsidR="003B4AAF" w:rsidRDefault="003B4AAF">
      <w:r>
        <w:separator/>
      </w:r>
    </w:p>
  </w:endnote>
  <w:endnote w:type="continuationSeparator" w:id="0">
    <w:p w14:paraId="25BE5B43" w14:textId="77777777" w:rsidR="003B4AAF" w:rsidRDefault="003B4AAF">
      <w:r>
        <w:continuationSeparator/>
      </w:r>
    </w:p>
  </w:endnote>
  <w:endnote w:type="continuationNotice" w:id="1">
    <w:p w14:paraId="64017582" w14:textId="77777777" w:rsidR="003B4AAF" w:rsidRDefault="003B4A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3" w:usb1="10000000" w:usb2="00000000" w:usb3="00000000" w:csb0="80000001"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4B32E" w14:textId="77777777" w:rsidR="008F1301" w:rsidRDefault="008F13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A831B7" w14:textId="293FCC73" w:rsidR="0088050B" w:rsidRDefault="008F1301" w:rsidP="0088050B">
    <w:pPr>
      <w:pStyle w:val="Footer"/>
    </w:pPr>
    <w:r>
      <w:rPr>
        <w:noProof/>
        <w:lang w:val="en-IN" w:eastAsia="en-IN"/>
      </w:rPr>
      <mc:AlternateContent>
        <mc:Choice Requires="wps">
          <w:drawing>
            <wp:anchor distT="0" distB="0" distL="114300" distR="114300" simplePos="0" relativeHeight="251658240" behindDoc="0" locked="0" layoutInCell="0" allowOverlap="1" wp14:anchorId="1CAE37BD" wp14:editId="57D1DE08">
              <wp:simplePos x="0" y="0"/>
              <wp:positionH relativeFrom="page">
                <wp:posOffset>0</wp:posOffset>
              </wp:positionH>
              <wp:positionV relativeFrom="page">
                <wp:posOffset>9492615</wp:posOffset>
              </wp:positionV>
              <wp:extent cx="7773670" cy="37592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3670" cy="375920"/>
                      </a:xfrm>
                      <a:prstGeom prst="rect">
                        <a:avLst/>
                      </a:prstGeom>
                      <a:noFill/>
                      <a:ln w="6350">
                        <a:noFill/>
                      </a:ln>
                    </wps:spPr>
                    <wps:txbx>
                      <w:txbxContent>
                        <w:p w14:paraId="629D08DA" w14:textId="77777777" w:rsidR="0088050B" w:rsidRPr="00C43C29" w:rsidRDefault="0088050B" w:rsidP="0088050B"/>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AE37BD" id="_x0000_t202" coordsize="21600,21600" o:spt="202" path="m,l,21600r21600,l21600,xe">
              <v:stroke joinstyle="miter"/>
              <v:path gradientshapeok="t" o:connecttype="rect"/>
            </v:shapetype>
            <v:shape id="Text Box 1" o:spid="_x0000_s1026" type="#_x0000_t202" style="position:absolute;margin-left:0;margin-top:747.45pt;width:612.1pt;height:2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" o:allowincell="f" filled="f" stroked="f" strokeweight=".5pt">
              <v:textbox inset=",0,20pt,0">
                <w:txbxContent>
                  <w:p w14:paraId="629D08DA" w14:textId="77777777" w:rsidR="0088050B" w:rsidRPr="00C43C29" w:rsidRDefault="0088050B" w:rsidP="0088050B"/>
                </w:txbxContent>
              </v:textbox>
              <w10:wrap anchorx="page" anchory="page"/>
            </v:shape>
          </w:pict>
        </mc:Fallback>
      </mc:AlternateContent>
    </w:r>
  </w:p>
  <w:p w14:paraId="45882FCB" w14:textId="77777777" w:rsidR="0088050B" w:rsidRDefault="0088050B" w:rsidP="0088050B">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49E5165" w14:textId="77777777" w:rsidR="0088050B" w:rsidRDefault="0088050B" w:rsidP="0088050B">
    <w:pPr>
      <w:pStyle w:val="Footer"/>
      <w:jc w:val="right"/>
      <w:rPr>
        <w:noProof/>
      </w:rPr>
    </w:pPr>
  </w:p>
  <w:p w14:paraId="18A55095" w14:textId="77777777" w:rsidR="0088050B" w:rsidRPr="000652DF" w:rsidRDefault="0088050B" w:rsidP="0088050B">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95793" w14:textId="77777777" w:rsidR="008F1301" w:rsidRDefault="008F13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E448E9" w14:textId="77777777" w:rsidR="003B4AAF" w:rsidRDefault="003B4AAF">
      <w:r>
        <w:separator/>
      </w:r>
    </w:p>
  </w:footnote>
  <w:footnote w:type="continuationSeparator" w:id="0">
    <w:p w14:paraId="7DAB0F0F" w14:textId="77777777" w:rsidR="003B4AAF" w:rsidRDefault="003B4AAF">
      <w:r>
        <w:continuationSeparator/>
      </w:r>
    </w:p>
  </w:footnote>
  <w:footnote w:type="continuationNotice" w:id="1">
    <w:p w14:paraId="577758EB" w14:textId="77777777" w:rsidR="003B4AAF" w:rsidRDefault="003B4AA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6B0BF6" w14:textId="77777777" w:rsidR="008F1301" w:rsidRDefault="008F13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2D9FA7" w14:textId="77777777" w:rsidR="008F1301" w:rsidRDefault="008F13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FF1AE" w14:textId="77777777" w:rsidR="008F1301" w:rsidRDefault="008F13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99627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C08F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CC6EB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B8D1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2F7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E15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EA97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5EAB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BCC4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E022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73EE4"/>
    <w:multiLevelType w:val="hybridMultilevel"/>
    <w:tmpl w:val="3020ADFE"/>
    <w:lvl w:ilvl="0" w:tplc="04140011">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1" w15:restartNumberingAfterBreak="0">
    <w:nsid w:val="0671511A"/>
    <w:multiLevelType w:val="hybridMultilevel"/>
    <w:tmpl w:val="49943B80"/>
    <w:lvl w:ilvl="0" w:tplc="0D7E2148">
      <w:numFmt w:val="bullet"/>
      <w:lvlText w:val=""/>
      <w:lvlJc w:val="left"/>
      <w:pPr>
        <w:ind w:left="720" w:hanging="360"/>
      </w:pPr>
      <w:rPr>
        <w:rFonts w:ascii="Wingdings" w:eastAsia="Batang"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15520D"/>
    <w:multiLevelType w:val="hybridMultilevel"/>
    <w:tmpl w:val="DD3AB9C8"/>
    <w:lvl w:ilvl="0" w:tplc="1D06B240">
      <w:numFmt w:val="bullet"/>
      <w:lvlText w:val="-"/>
      <w:lvlJc w:val="left"/>
      <w:pPr>
        <w:ind w:left="720" w:hanging="360"/>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636E92"/>
    <w:multiLevelType w:val="hybridMultilevel"/>
    <w:tmpl w:val="0BEC9A9C"/>
    <w:lvl w:ilvl="0" w:tplc="A6D23F2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193BE1"/>
    <w:multiLevelType w:val="hybridMultilevel"/>
    <w:tmpl w:val="9D845D04"/>
    <w:lvl w:ilvl="0" w:tplc="D18696C2">
      <w:start w:val="1"/>
      <w:numFmt w:val="bullet"/>
      <w:pStyle w:val="Bullet1"/>
      <w:lvlText w:val=""/>
      <w:lvlJc w:val="left"/>
      <w:pPr>
        <w:ind w:left="720" w:hanging="360"/>
      </w:pPr>
      <w:rPr>
        <w:rFonts w:ascii="Symbol" w:hAnsi="Symbol" w:hint="default"/>
      </w:rPr>
    </w:lvl>
    <w:lvl w:ilvl="1" w:tplc="55BA594A">
      <w:start w:val="1"/>
      <w:numFmt w:val="bullet"/>
      <w:pStyle w:val="Bullet2"/>
      <w:lvlText w:val="o"/>
      <w:lvlJc w:val="left"/>
      <w:pPr>
        <w:ind w:left="1440" w:hanging="360"/>
      </w:pPr>
      <w:rPr>
        <w:rFonts w:ascii="Courier New" w:hAnsi="Courier New" w:cs="Courier New" w:hint="default"/>
      </w:rPr>
    </w:lvl>
    <w:lvl w:ilvl="2" w:tplc="39280B8C">
      <w:start w:val="1"/>
      <w:numFmt w:val="bullet"/>
      <w:pStyle w:val="Bullet3"/>
      <w:lvlText w:val=""/>
      <w:lvlJc w:val="left"/>
      <w:pPr>
        <w:ind w:left="2160" w:hanging="360"/>
      </w:pPr>
      <w:rPr>
        <w:rFonts w:ascii="Wingdings" w:hAnsi="Wingdings" w:hint="default"/>
      </w:rPr>
    </w:lvl>
    <w:lvl w:ilvl="3" w:tplc="8F5063B6">
      <w:start w:val="1"/>
      <w:numFmt w:val="bullet"/>
      <w:pStyle w:val="Bullet1"/>
      <w:lvlText w:val=""/>
      <w:lvlJc w:val="left"/>
      <w:pPr>
        <w:ind w:left="2880" w:hanging="360"/>
      </w:pPr>
      <w:rPr>
        <w:rFonts w:ascii="Symbol" w:hAnsi="Symbol" w:hint="default"/>
      </w:rPr>
    </w:lvl>
    <w:lvl w:ilvl="4" w:tplc="F56824EC">
      <w:start w:val="1"/>
      <w:numFmt w:val="bullet"/>
      <w:pStyle w:val="Bullet5"/>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B9140D"/>
    <w:multiLevelType w:val="hybridMultilevel"/>
    <w:tmpl w:val="240A1AA4"/>
    <w:lvl w:ilvl="0" w:tplc="21F297D4">
      <w:numFmt w:val="bullet"/>
      <w:lvlText w:val="-"/>
      <w:lvlJc w:val="left"/>
      <w:pPr>
        <w:ind w:left="720" w:hanging="360"/>
      </w:pPr>
      <w:rPr>
        <w:rFonts w:ascii="Arial" w:eastAsia="Batang"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1B7CFA"/>
    <w:multiLevelType w:val="hybridMultilevel"/>
    <w:tmpl w:val="E54AF92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584221"/>
    <w:multiLevelType w:val="hybridMultilevel"/>
    <w:tmpl w:val="780AABE2"/>
    <w:lvl w:ilvl="0" w:tplc="7B0E4CF8">
      <w:start w:val="1"/>
      <w:numFmt w:val="decimal"/>
      <w:lvlText w:val="%1."/>
      <w:lvlJc w:val="left"/>
      <w:pPr>
        <w:ind w:left="900" w:hanging="360"/>
      </w:pPr>
      <w:rPr>
        <w:rFonts w:hint="default"/>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815C43"/>
    <w:multiLevelType w:val="hybridMultilevel"/>
    <w:tmpl w:val="2D4C1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CD373C"/>
    <w:multiLevelType w:val="hybridMultilevel"/>
    <w:tmpl w:val="548271F4"/>
    <w:lvl w:ilvl="0" w:tplc="B302FF2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7B51F8"/>
    <w:multiLevelType w:val="hybridMultilevel"/>
    <w:tmpl w:val="B51095DA"/>
    <w:lvl w:ilvl="0" w:tplc="3D18138A">
      <w:start w:val="1"/>
      <w:numFmt w:val="bullet"/>
      <w:lvlText w:val=""/>
      <w:lvlJc w:val="left"/>
      <w:pPr>
        <w:tabs>
          <w:tab w:val="num" w:pos="720"/>
        </w:tabs>
        <w:ind w:left="720" w:hanging="360"/>
      </w:pPr>
      <w:rPr>
        <w:rFonts w:ascii="Symbol" w:hAnsi="Symbol" w:hint="default"/>
      </w:rPr>
    </w:lvl>
    <w:lvl w:ilvl="1" w:tplc="E9CE0442">
      <w:start w:val="1"/>
      <w:numFmt w:val="bullet"/>
      <w:lvlText w:val=""/>
      <w:lvlJc w:val="left"/>
      <w:pPr>
        <w:tabs>
          <w:tab w:val="num" w:pos="1440"/>
        </w:tabs>
        <w:ind w:left="1440" w:hanging="360"/>
      </w:pPr>
      <w:rPr>
        <w:rFonts w:ascii="Symbol" w:hAnsi="Symbol" w:hint="default"/>
      </w:rPr>
    </w:lvl>
    <w:lvl w:ilvl="2" w:tplc="9762F176" w:tentative="1">
      <w:start w:val="1"/>
      <w:numFmt w:val="bullet"/>
      <w:lvlText w:val=""/>
      <w:lvlJc w:val="left"/>
      <w:pPr>
        <w:tabs>
          <w:tab w:val="num" w:pos="2160"/>
        </w:tabs>
        <w:ind w:left="2160" w:hanging="360"/>
      </w:pPr>
      <w:rPr>
        <w:rFonts w:ascii="Symbol" w:hAnsi="Symbol" w:hint="default"/>
      </w:rPr>
    </w:lvl>
    <w:lvl w:ilvl="3" w:tplc="D9F412C8" w:tentative="1">
      <w:start w:val="1"/>
      <w:numFmt w:val="bullet"/>
      <w:lvlText w:val=""/>
      <w:lvlJc w:val="left"/>
      <w:pPr>
        <w:tabs>
          <w:tab w:val="num" w:pos="2880"/>
        </w:tabs>
        <w:ind w:left="2880" w:hanging="360"/>
      </w:pPr>
      <w:rPr>
        <w:rFonts w:ascii="Symbol" w:hAnsi="Symbol" w:hint="default"/>
      </w:rPr>
    </w:lvl>
    <w:lvl w:ilvl="4" w:tplc="F712014A" w:tentative="1">
      <w:start w:val="1"/>
      <w:numFmt w:val="bullet"/>
      <w:lvlText w:val=""/>
      <w:lvlJc w:val="left"/>
      <w:pPr>
        <w:tabs>
          <w:tab w:val="num" w:pos="3600"/>
        </w:tabs>
        <w:ind w:left="3600" w:hanging="360"/>
      </w:pPr>
      <w:rPr>
        <w:rFonts w:ascii="Symbol" w:hAnsi="Symbol" w:hint="default"/>
      </w:rPr>
    </w:lvl>
    <w:lvl w:ilvl="5" w:tplc="CDD87AF4" w:tentative="1">
      <w:start w:val="1"/>
      <w:numFmt w:val="bullet"/>
      <w:lvlText w:val=""/>
      <w:lvlJc w:val="left"/>
      <w:pPr>
        <w:tabs>
          <w:tab w:val="num" w:pos="4320"/>
        </w:tabs>
        <w:ind w:left="4320" w:hanging="360"/>
      </w:pPr>
      <w:rPr>
        <w:rFonts w:ascii="Symbol" w:hAnsi="Symbol" w:hint="default"/>
      </w:rPr>
    </w:lvl>
    <w:lvl w:ilvl="6" w:tplc="58B2358E" w:tentative="1">
      <w:start w:val="1"/>
      <w:numFmt w:val="bullet"/>
      <w:lvlText w:val=""/>
      <w:lvlJc w:val="left"/>
      <w:pPr>
        <w:tabs>
          <w:tab w:val="num" w:pos="5040"/>
        </w:tabs>
        <w:ind w:left="5040" w:hanging="360"/>
      </w:pPr>
      <w:rPr>
        <w:rFonts w:ascii="Symbol" w:hAnsi="Symbol" w:hint="default"/>
      </w:rPr>
    </w:lvl>
    <w:lvl w:ilvl="7" w:tplc="1A94FC88" w:tentative="1">
      <w:start w:val="1"/>
      <w:numFmt w:val="bullet"/>
      <w:lvlText w:val=""/>
      <w:lvlJc w:val="left"/>
      <w:pPr>
        <w:tabs>
          <w:tab w:val="num" w:pos="5760"/>
        </w:tabs>
        <w:ind w:left="5760" w:hanging="360"/>
      </w:pPr>
      <w:rPr>
        <w:rFonts w:ascii="Symbol" w:hAnsi="Symbol" w:hint="default"/>
      </w:rPr>
    </w:lvl>
    <w:lvl w:ilvl="8" w:tplc="B9F43766"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6136243"/>
    <w:multiLevelType w:val="hybridMultilevel"/>
    <w:tmpl w:val="01522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E83037"/>
    <w:multiLevelType w:val="multilevel"/>
    <w:tmpl w:val="16BC76A0"/>
    <w:lvl w:ilvl="0">
      <w:start w:val="3"/>
      <w:numFmt w:val="decimal"/>
      <w:pStyle w:val="Heading1"/>
      <w:lvlText w:val="%1."/>
      <w:lvlJc w:val="left"/>
      <w:pPr>
        <w:tabs>
          <w:tab w:val="num" w:pos="0"/>
        </w:tabs>
        <w:ind w:left="1134" w:hanging="1134"/>
      </w:pPr>
      <w:rPr>
        <w:rFonts w:hint="default"/>
        <w:b/>
        <w:sz w:val="28"/>
      </w:rPr>
    </w:lvl>
    <w:lvl w:ilvl="1">
      <w:start w:val="1"/>
      <w:numFmt w:val="decimal"/>
      <w:pStyle w:val="Heading2"/>
      <w:lvlText w:val="%1.%2"/>
      <w:lvlJc w:val="left"/>
      <w:pPr>
        <w:tabs>
          <w:tab w:val="num" w:pos="0"/>
        </w:tabs>
        <w:ind w:left="1134" w:hanging="1134"/>
      </w:pPr>
      <w:rPr>
        <w:rFonts w:hint="default"/>
        <w:b/>
      </w:rPr>
    </w:lvl>
    <w:lvl w:ilvl="2">
      <w:start w:val="1"/>
      <w:numFmt w:val="decimal"/>
      <w:pStyle w:val="Heading3"/>
      <w:lvlText w:val="%1.%2.%3"/>
      <w:lvlJc w:val="left"/>
      <w:pPr>
        <w:tabs>
          <w:tab w:val="num" w:pos="0"/>
        </w:tabs>
        <w:ind w:left="1134" w:hanging="1134"/>
      </w:pPr>
      <w:rPr>
        <w:rFonts w:hint="default"/>
        <w:b/>
      </w:rPr>
    </w:lvl>
    <w:lvl w:ilvl="3">
      <w:start w:val="1"/>
      <w:numFmt w:val="decimal"/>
      <w:pStyle w:val="Heading4"/>
      <w:lvlText w:val="%1.%2.%3.%4"/>
      <w:lvlJc w:val="left"/>
      <w:pPr>
        <w:tabs>
          <w:tab w:val="num" w:pos="0"/>
        </w:tabs>
        <w:ind w:left="1134" w:hanging="1134"/>
      </w:pPr>
      <w:rPr>
        <w:rFonts w:hint="default"/>
      </w:rPr>
    </w:lvl>
    <w:lvl w:ilvl="4">
      <w:start w:val="1"/>
      <w:numFmt w:val="decimal"/>
      <w:pStyle w:val="Heading5"/>
      <w:lvlText w:val="%1.%2.%3.%4.%5"/>
      <w:lvlJc w:val="left"/>
      <w:pPr>
        <w:tabs>
          <w:tab w:val="num" w:pos="0"/>
        </w:tabs>
        <w:ind w:left="1134" w:hanging="1134"/>
      </w:pPr>
      <w:rPr>
        <w:rFonts w:hint="default"/>
      </w:rPr>
    </w:lvl>
    <w:lvl w:ilvl="5">
      <w:start w:val="1"/>
      <w:numFmt w:val="decimal"/>
      <w:pStyle w:val="Heading6"/>
      <w:lvlText w:val="%1.%2.%3.%4.%5.%6"/>
      <w:lvlJc w:val="left"/>
      <w:pPr>
        <w:tabs>
          <w:tab w:val="num" w:pos="0"/>
        </w:tabs>
        <w:ind w:left="1134" w:hanging="1134"/>
      </w:pPr>
      <w:rPr>
        <w:rFonts w:hint="default"/>
      </w:rPr>
    </w:lvl>
    <w:lvl w:ilvl="6">
      <w:start w:val="1"/>
      <w:numFmt w:val="decimal"/>
      <w:pStyle w:val="Heading7"/>
      <w:lvlText w:val="%1.%2.%3.%4.%5.%6.%7"/>
      <w:lvlJc w:val="left"/>
      <w:pPr>
        <w:tabs>
          <w:tab w:val="num" w:pos="0"/>
        </w:tabs>
        <w:ind w:left="1134" w:hanging="1134"/>
      </w:pPr>
      <w:rPr>
        <w:rFonts w:hint="default"/>
      </w:rPr>
    </w:lvl>
    <w:lvl w:ilvl="7">
      <w:start w:val="1"/>
      <w:numFmt w:val="decimal"/>
      <w:pStyle w:val="Heading8"/>
      <w:lvlText w:val="%1.%2.%3.%4.%5.%6.%7.%8"/>
      <w:lvlJc w:val="left"/>
      <w:pPr>
        <w:tabs>
          <w:tab w:val="num" w:pos="0"/>
        </w:tabs>
        <w:ind w:left="1134" w:hanging="1134"/>
      </w:pPr>
      <w:rPr>
        <w:rFonts w:hint="default"/>
      </w:rPr>
    </w:lvl>
    <w:lvl w:ilvl="8">
      <w:start w:val="1"/>
      <w:numFmt w:val="decimal"/>
      <w:pStyle w:val="Heading9"/>
      <w:lvlText w:val="%1.%2.%3.%4.%5.%6.%7.%8.%9"/>
      <w:lvlJc w:val="left"/>
      <w:pPr>
        <w:tabs>
          <w:tab w:val="num" w:pos="0"/>
        </w:tabs>
        <w:ind w:left="1134" w:hanging="1134"/>
      </w:pPr>
      <w:rPr>
        <w:rFonts w:hint="default"/>
      </w:rPr>
    </w:lvl>
  </w:abstractNum>
  <w:abstractNum w:abstractNumId="23" w15:restartNumberingAfterBreak="0">
    <w:nsid w:val="5D3D2E0F"/>
    <w:multiLevelType w:val="hybridMultilevel"/>
    <w:tmpl w:val="DF5A10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29530B"/>
    <w:multiLevelType w:val="hybridMultilevel"/>
    <w:tmpl w:val="D8C47BE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D34566"/>
    <w:multiLevelType w:val="hybridMultilevel"/>
    <w:tmpl w:val="22AA3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B27A13"/>
    <w:multiLevelType w:val="hybridMultilevel"/>
    <w:tmpl w:val="6422DB48"/>
    <w:lvl w:ilvl="0" w:tplc="4AF2BA7C">
      <w:start w:val="1"/>
      <w:numFmt w:val="bullet"/>
      <w:lvlText w:val="•"/>
      <w:lvlJc w:val="left"/>
      <w:pPr>
        <w:ind w:left="720" w:hanging="360"/>
      </w:pPr>
      <w:rPr>
        <w:rFonts w:ascii="Arial" w:hAnsi="Arial" w:hint="default"/>
        <w:color w:val="auto"/>
      </w:rPr>
    </w:lvl>
    <w:lvl w:ilvl="1" w:tplc="9896207A">
      <w:start w:val="1"/>
      <w:numFmt w:val="bullet"/>
      <w:lvlText w:val="-"/>
      <w:lvlJc w:val="left"/>
      <w:pPr>
        <w:ind w:left="216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3E7002"/>
    <w:multiLevelType w:val="hybridMultilevel"/>
    <w:tmpl w:val="40B4A232"/>
    <w:lvl w:ilvl="0" w:tplc="CA78141C">
      <w:start w:val="1"/>
      <w:numFmt w:val="decimal"/>
      <w:lvlText w:val="%1."/>
      <w:lvlJc w:val="left"/>
      <w:pPr>
        <w:ind w:left="720" w:hanging="360"/>
      </w:pPr>
      <w:rPr>
        <w:rFonts w:ascii="Arial" w:eastAsia="Batang"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2"/>
  </w:num>
  <w:num w:numId="3">
    <w:abstractNumId w:val="24"/>
  </w:num>
  <w:num w:numId="4">
    <w:abstractNumId w:val="17"/>
  </w:num>
  <w:num w:numId="5">
    <w:abstractNumId w:val="16"/>
  </w:num>
  <w:num w:numId="6">
    <w:abstractNumId w:val="19"/>
  </w:num>
  <w:num w:numId="7">
    <w:abstractNumId w:val="23"/>
  </w:num>
  <w:num w:numId="8">
    <w:abstractNumId w:val="25"/>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1"/>
  </w:num>
  <w:num w:numId="20">
    <w:abstractNumId w:val="18"/>
  </w:num>
  <w:num w:numId="21">
    <w:abstractNumId w:val="15"/>
  </w:num>
  <w:num w:numId="22">
    <w:abstractNumId w:val="12"/>
  </w:num>
  <w:num w:numId="23">
    <w:abstractNumId w:val="11"/>
  </w:num>
  <w:num w:numId="24">
    <w:abstractNumId w:val="13"/>
  </w:num>
  <w:num w:numId="25">
    <w:abstractNumId w:val="27"/>
  </w:num>
  <w:num w:numId="26">
    <w:abstractNumId w:val="26"/>
  </w:num>
  <w:num w:numId="27">
    <w:abstractNumId w:val="2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37A"/>
    <w:rsid w:val="000455FF"/>
    <w:rsid w:val="00054DDC"/>
    <w:rsid w:val="00061139"/>
    <w:rsid w:val="00083D86"/>
    <w:rsid w:val="00096ED5"/>
    <w:rsid w:val="000A10CF"/>
    <w:rsid w:val="000B1A32"/>
    <w:rsid w:val="000D0548"/>
    <w:rsid w:val="000D4A42"/>
    <w:rsid w:val="000E7975"/>
    <w:rsid w:val="00106428"/>
    <w:rsid w:val="001471A3"/>
    <w:rsid w:val="001760B5"/>
    <w:rsid w:val="001B5D83"/>
    <w:rsid w:val="001B7AB5"/>
    <w:rsid w:val="001D0134"/>
    <w:rsid w:val="001D302D"/>
    <w:rsid w:val="0022422E"/>
    <w:rsid w:val="00263034"/>
    <w:rsid w:val="0026596B"/>
    <w:rsid w:val="00266302"/>
    <w:rsid w:val="00270B2D"/>
    <w:rsid w:val="00274385"/>
    <w:rsid w:val="002834E2"/>
    <w:rsid w:val="00293136"/>
    <w:rsid w:val="002C23B3"/>
    <w:rsid w:val="002D5659"/>
    <w:rsid w:val="002E7EDF"/>
    <w:rsid w:val="00323D14"/>
    <w:rsid w:val="0032568D"/>
    <w:rsid w:val="0038016C"/>
    <w:rsid w:val="003B3DEB"/>
    <w:rsid w:val="003B4AAF"/>
    <w:rsid w:val="003B523C"/>
    <w:rsid w:val="003C565A"/>
    <w:rsid w:val="003F27B7"/>
    <w:rsid w:val="004004B1"/>
    <w:rsid w:val="00405120"/>
    <w:rsid w:val="00407632"/>
    <w:rsid w:val="004142B1"/>
    <w:rsid w:val="00426A10"/>
    <w:rsid w:val="00464396"/>
    <w:rsid w:val="004B540A"/>
    <w:rsid w:val="004B79B1"/>
    <w:rsid w:val="00530666"/>
    <w:rsid w:val="00530CA3"/>
    <w:rsid w:val="0059437A"/>
    <w:rsid w:val="005943E8"/>
    <w:rsid w:val="00596DFD"/>
    <w:rsid w:val="005B429A"/>
    <w:rsid w:val="005C5D5D"/>
    <w:rsid w:val="005D4063"/>
    <w:rsid w:val="005E2E14"/>
    <w:rsid w:val="005F3E7C"/>
    <w:rsid w:val="00600891"/>
    <w:rsid w:val="00603718"/>
    <w:rsid w:val="00623EE1"/>
    <w:rsid w:val="0062440F"/>
    <w:rsid w:val="006420CB"/>
    <w:rsid w:val="00654F51"/>
    <w:rsid w:val="006565C0"/>
    <w:rsid w:val="00666827"/>
    <w:rsid w:val="00690A48"/>
    <w:rsid w:val="006B22E2"/>
    <w:rsid w:val="006B745C"/>
    <w:rsid w:val="006F3058"/>
    <w:rsid w:val="006F5B14"/>
    <w:rsid w:val="00746014"/>
    <w:rsid w:val="00753513"/>
    <w:rsid w:val="007604A8"/>
    <w:rsid w:val="0077233C"/>
    <w:rsid w:val="00777263"/>
    <w:rsid w:val="00795291"/>
    <w:rsid w:val="007B26FE"/>
    <w:rsid w:val="007D08DF"/>
    <w:rsid w:val="007D39D1"/>
    <w:rsid w:val="00805963"/>
    <w:rsid w:val="00817E2E"/>
    <w:rsid w:val="00822771"/>
    <w:rsid w:val="00832AEA"/>
    <w:rsid w:val="00834B08"/>
    <w:rsid w:val="008423EB"/>
    <w:rsid w:val="008458FD"/>
    <w:rsid w:val="00865530"/>
    <w:rsid w:val="0087406F"/>
    <w:rsid w:val="0088050B"/>
    <w:rsid w:val="00895A2F"/>
    <w:rsid w:val="008A265C"/>
    <w:rsid w:val="008C1B65"/>
    <w:rsid w:val="008F1301"/>
    <w:rsid w:val="008F1BA2"/>
    <w:rsid w:val="00904103"/>
    <w:rsid w:val="00915CBF"/>
    <w:rsid w:val="00926CA5"/>
    <w:rsid w:val="0094154B"/>
    <w:rsid w:val="009510A2"/>
    <w:rsid w:val="0097018E"/>
    <w:rsid w:val="009A2391"/>
    <w:rsid w:val="009C21E9"/>
    <w:rsid w:val="009C2DBD"/>
    <w:rsid w:val="009E585D"/>
    <w:rsid w:val="009F6FD0"/>
    <w:rsid w:val="00A176AE"/>
    <w:rsid w:val="00AA255A"/>
    <w:rsid w:val="00AB07D2"/>
    <w:rsid w:val="00AF273F"/>
    <w:rsid w:val="00B00E99"/>
    <w:rsid w:val="00B146E7"/>
    <w:rsid w:val="00B311A1"/>
    <w:rsid w:val="00B34520"/>
    <w:rsid w:val="00B37FB6"/>
    <w:rsid w:val="00B53B34"/>
    <w:rsid w:val="00B6158F"/>
    <w:rsid w:val="00B61A92"/>
    <w:rsid w:val="00B82D91"/>
    <w:rsid w:val="00BA26C8"/>
    <w:rsid w:val="00BC79D2"/>
    <w:rsid w:val="00BD7C0C"/>
    <w:rsid w:val="00BF58E7"/>
    <w:rsid w:val="00BF7C34"/>
    <w:rsid w:val="00C01031"/>
    <w:rsid w:val="00C0178E"/>
    <w:rsid w:val="00C126D0"/>
    <w:rsid w:val="00C16A5C"/>
    <w:rsid w:val="00C66C27"/>
    <w:rsid w:val="00C66DE2"/>
    <w:rsid w:val="00C73C10"/>
    <w:rsid w:val="00CE3621"/>
    <w:rsid w:val="00D105AE"/>
    <w:rsid w:val="00D15B12"/>
    <w:rsid w:val="00D23FA9"/>
    <w:rsid w:val="00D54E94"/>
    <w:rsid w:val="00D62E1F"/>
    <w:rsid w:val="00D82B88"/>
    <w:rsid w:val="00D86711"/>
    <w:rsid w:val="00DD1403"/>
    <w:rsid w:val="00DF0E45"/>
    <w:rsid w:val="00DF1B17"/>
    <w:rsid w:val="00DF5D95"/>
    <w:rsid w:val="00E06705"/>
    <w:rsid w:val="00E1265B"/>
    <w:rsid w:val="00E16BB5"/>
    <w:rsid w:val="00E16C2F"/>
    <w:rsid w:val="00E35C8A"/>
    <w:rsid w:val="00E57495"/>
    <w:rsid w:val="00E73ED6"/>
    <w:rsid w:val="00EA7235"/>
    <w:rsid w:val="00EB0E86"/>
    <w:rsid w:val="00EE4BC9"/>
    <w:rsid w:val="00EE7495"/>
    <w:rsid w:val="00F030F2"/>
    <w:rsid w:val="00F05C35"/>
    <w:rsid w:val="00F1673A"/>
    <w:rsid w:val="00F24641"/>
    <w:rsid w:val="00F25032"/>
    <w:rsid w:val="00F26D45"/>
    <w:rsid w:val="00F30BD1"/>
    <w:rsid w:val="00F3670B"/>
    <w:rsid w:val="00F6568C"/>
    <w:rsid w:val="00F80EFD"/>
    <w:rsid w:val="00FA1783"/>
    <w:rsid w:val="00FB4142"/>
    <w:rsid w:val="00FF3B23"/>
    <w:rsid w:val="00FF75D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13FF0"/>
  <w15:chartTrackingRefBased/>
  <w15:docId w15:val="{CDAB056E-E488-4D98-A3CD-B8B02E69E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Cs w:val="22"/>
      <w:lang w:val="en-GB" w:eastAsia="en-US"/>
    </w:rPr>
  </w:style>
  <w:style w:type="paragraph" w:styleId="Heading1">
    <w:name w:val="heading 1"/>
    <w:aliases w:val="Bayer-Heading 1,Bayer Heading 1,Kopje"/>
    <w:basedOn w:val="Normal"/>
    <w:next w:val="Normal"/>
    <w:link w:val="Heading1Char"/>
    <w:uiPriority w:val="9"/>
    <w:rsid w:val="0059437A"/>
    <w:pPr>
      <w:keepNext/>
      <w:numPr>
        <w:numId w:val="2"/>
      </w:numPr>
      <w:tabs>
        <w:tab w:val="left" w:pos="851"/>
      </w:tabs>
      <w:spacing w:before="240" w:after="120"/>
      <w:outlineLvl w:val="0"/>
    </w:pPr>
    <w:rPr>
      <w:rFonts w:ascii="Times New Roman" w:eastAsia="Times New Roman" w:hAnsi="Times New Roman"/>
      <w:b/>
      <w:kern w:val="28"/>
      <w:sz w:val="28"/>
      <w:szCs w:val="20"/>
      <w:lang w:val="en-US"/>
    </w:rPr>
  </w:style>
  <w:style w:type="paragraph" w:styleId="Heading2">
    <w:name w:val="heading 2"/>
    <w:aliases w:val="Bayer-Heading 2,Bayer Heading 2"/>
    <w:basedOn w:val="Heading1"/>
    <w:next w:val="Normal"/>
    <w:link w:val="Heading2Char"/>
    <w:rsid w:val="0059437A"/>
    <w:pPr>
      <w:numPr>
        <w:ilvl w:val="1"/>
      </w:numPr>
      <w:tabs>
        <w:tab w:val="clear" w:pos="851"/>
        <w:tab w:val="left" w:pos="992"/>
      </w:tabs>
      <w:outlineLvl w:val="1"/>
    </w:pPr>
    <w:rPr>
      <w:sz w:val="26"/>
    </w:rPr>
  </w:style>
  <w:style w:type="paragraph" w:styleId="Heading3">
    <w:name w:val="heading 3"/>
    <w:aliases w:val="Bayer-Heading 3,Bayer Heading 3"/>
    <w:basedOn w:val="Heading1"/>
    <w:next w:val="Normal"/>
    <w:link w:val="Heading3Char"/>
    <w:rsid w:val="0059437A"/>
    <w:pPr>
      <w:numPr>
        <w:ilvl w:val="2"/>
      </w:numPr>
      <w:tabs>
        <w:tab w:val="clear" w:pos="851"/>
        <w:tab w:val="left" w:pos="1134"/>
      </w:tabs>
      <w:spacing w:before="120" w:after="0"/>
      <w:outlineLvl w:val="2"/>
    </w:pPr>
    <w:rPr>
      <w:sz w:val="26"/>
    </w:rPr>
  </w:style>
  <w:style w:type="paragraph" w:styleId="Heading4">
    <w:name w:val="heading 4"/>
    <w:aliases w:val="Bayer-Heading 4,Bayer Heading 4"/>
    <w:basedOn w:val="Heading1"/>
    <w:next w:val="Normal"/>
    <w:link w:val="Heading4Char"/>
    <w:rsid w:val="0059437A"/>
    <w:pPr>
      <w:numPr>
        <w:ilvl w:val="3"/>
      </w:numPr>
      <w:tabs>
        <w:tab w:val="clear" w:pos="851"/>
        <w:tab w:val="left" w:pos="1276"/>
      </w:tabs>
      <w:spacing w:before="120" w:after="0"/>
      <w:outlineLvl w:val="3"/>
    </w:pPr>
    <w:rPr>
      <w:sz w:val="26"/>
    </w:rPr>
  </w:style>
  <w:style w:type="paragraph" w:styleId="Heading5">
    <w:name w:val="heading 5"/>
    <w:aliases w:val="Bayer-Heading 5,Bayer Heading 5"/>
    <w:basedOn w:val="Heading1"/>
    <w:next w:val="Normal"/>
    <w:link w:val="Heading5Char"/>
    <w:rsid w:val="0059437A"/>
    <w:pPr>
      <w:numPr>
        <w:ilvl w:val="4"/>
      </w:numPr>
      <w:tabs>
        <w:tab w:val="clear" w:pos="851"/>
        <w:tab w:val="left" w:pos="1418"/>
      </w:tabs>
      <w:spacing w:before="120" w:after="0"/>
      <w:outlineLvl w:val="4"/>
    </w:pPr>
    <w:rPr>
      <w:sz w:val="26"/>
    </w:rPr>
  </w:style>
  <w:style w:type="paragraph" w:styleId="Heading6">
    <w:name w:val="heading 6"/>
    <w:aliases w:val="Bayer-Heading 6"/>
    <w:basedOn w:val="Heading1"/>
    <w:next w:val="Normal"/>
    <w:link w:val="Heading6Char"/>
    <w:rsid w:val="0059437A"/>
    <w:pPr>
      <w:numPr>
        <w:ilvl w:val="5"/>
      </w:numPr>
      <w:tabs>
        <w:tab w:val="clear" w:pos="851"/>
        <w:tab w:val="left" w:pos="1559"/>
      </w:tabs>
      <w:spacing w:before="120" w:after="0"/>
      <w:outlineLvl w:val="5"/>
    </w:pPr>
    <w:rPr>
      <w:sz w:val="26"/>
    </w:rPr>
  </w:style>
  <w:style w:type="paragraph" w:styleId="Heading7">
    <w:name w:val="heading 7"/>
    <w:aliases w:val="Bayer-Heading 7"/>
    <w:basedOn w:val="Heading1"/>
    <w:next w:val="Normal"/>
    <w:link w:val="Heading7Char"/>
    <w:rsid w:val="0059437A"/>
    <w:pPr>
      <w:numPr>
        <w:ilvl w:val="6"/>
      </w:numPr>
      <w:tabs>
        <w:tab w:val="clear" w:pos="851"/>
        <w:tab w:val="left" w:pos="1701"/>
      </w:tabs>
      <w:spacing w:before="120" w:after="0"/>
      <w:outlineLvl w:val="6"/>
    </w:pPr>
    <w:rPr>
      <w:sz w:val="26"/>
    </w:rPr>
  </w:style>
  <w:style w:type="paragraph" w:styleId="Heading8">
    <w:name w:val="heading 8"/>
    <w:aliases w:val="Bayer-Heading 8"/>
    <w:basedOn w:val="Heading1"/>
    <w:next w:val="Normal"/>
    <w:link w:val="Heading8Char"/>
    <w:rsid w:val="0059437A"/>
    <w:pPr>
      <w:numPr>
        <w:ilvl w:val="7"/>
      </w:numPr>
      <w:tabs>
        <w:tab w:val="clear" w:pos="851"/>
        <w:tab w:val="left" w:pos="1843"/>
      </w:tabs>
      <w:spacing w:before="120" w:after="0"/>
      <w:outlineLvl w:val="7"/>
    </w:pPr>
    <w:rPr>
      <w:sz w:val="26"/>
    </w:rPr>
  </w:style>
  <w:style w:type="paragraph" w:styleId="Heading9">
    <w:name w:val="heading 9"/>
    <w:aliases w:val="Bayer-Heading 9"/>
    <w:basedOn w:val="Heading1"/>
    <w:next w:val="Normal"/>
    <w:link w:val="Heading9Char"/>
    <w:rsid w:val="0059437A"/>
    <w:pPr>
      <w:numPr>
        <w:ilvl w:val="8"/>
      </w:numPr>
      <w:tabs>
        <w:tab w:val="clear" w:pos="851"/>
        <w:tab w:val="left" w:pos="1985"/>
      </w:tabs>
      <w:spacing w:before="120" w:after="0"/>
      <w:outlineLvl w:val="8"/>
    </w:pPr>
    <w:rPr>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ayer-Heading 1 Char,Bayer Heading 1 Char,Kopje Char"/>
    <w:link w:val="Heading1"/>
    <w:uiPriority w:val="9"/>
    <w:rsid w:val="0059437A"/>
    <w:rPr>
      <w:rFonts w:ascii="Times New Roman" w:eastAsia="Times New Roman" w:hAnsi="Times New Roman" w:cs="Times New Roman"/>
      <w:b/>
      <w:kern w:val="28"/>
      <w:sz w:val="28"/>
      <w:szCs w:val="20"/>
      <w:lang w:val="en-US"/>
    </w:rPr>
  </w:style>
  <w:style w:type="character" w:customStyle="1" w:styleId="Heading2Char">
    <w:name w:val="Heading 2 Char"/>
    <w:aliases w:val="Bayer-Heading 2 Char,Bayer Heading 2 Char"/>
    <w:link w:val="Heading2"/>
    <w:rsid w:val="0059437A"/>
    <w:rPr>
      <w:rFonts w:ascii="Times New Roman" w:eastAsia="Times New Roman" w:hAnsi="Times New Roman" w:cs="Times New Roman"/>
      <w:b/>
      <w:kern w:val="28"/>
      <w:sz w:val="26"/>
      <w:szCs w:val="20"/>
      <w:lang w:val="en-US"/>
    </w:rPr>
  </w:style>
  <w:style w:type="character" w:customStyle="1" w:styleId="Heading3Char">
    <w:name w:val="Heading 3 Char"/>
    <w:aliases w:val="Bayer-Heading 3 Char,Bayer Heading 3 Char"/>
    <w:link w:val="Heading3"/>
    <w:rsid w:val="0059437A"/>
    <w:rPr>
      <w:rFonts w:ascii="Times New Roman" w:eastAsia="Times New Roman" w:hAnsi="Times New Roman" w:cs="Times New Roman"/>
      <w:b/>
      <w:kern w:val="28"/>
      <w:sz w:val="26"/>
      <w:szCs w:val="20"/>
      <w:lang w:val="en-US"/>
    </w:rPr>
  </w:style>
  <w:style w:type="character" w:customStyle="1" w:styleId="Heading4Char">
    <w:name w:val="Heading 4 Char"/>
    <w:aliases w:val="Bayer-Heading 4 Char,Bayer Heading 4 Char"/>
    <w:link w:val="Heading4"/>
    <w:rsid w:val="0059437A"/>
    <w:rPr>
      <w:rFonts w:ascii="Times New Roman" w:eastAsia="Times New Roman" w:hAnsi="Times New Roman" w:cs="Times New Roman"/>
      <w:b/>
      <w:kern w:val="28"/>
      <w:sz w:val="26"/>
      <w:szCs w:val="20"/>
      <w:lang w:val="en-US"/>
    </w:rPr>
  </w:style>
  <w:style w:type="character" w:customStyle="1" w:styleId="Heading5Char">
    <w:name w:val="Heading 5 Char"/>
    <w:aliases w:val="Bayer-Heading 5 Char,Bayer Heading 5 Char"/>
    <w:link w:val="Heading5"/>
    <w:rsid w:val="0059437A"/>
    <w:rPr>
      <w:rFonts w:ascii="Times New Roman" w:eastAsia="Times New Roman" w:hAnsi="Times New Roman" w:cs="Times New Roman"/>
      <w:b/>
      <w:kern w:val="28"/>
      <w:sz w:val="26"/>
      <w:szCs w:val="20"/>
      <w:lang w:val="en-US"/>
    </w:rPr>
  </w:style>
  <w:style w:type="character" w:customStyle="1" w:styleId="Heading6Char">
    <w:name w:val="Heading 6 Char"/>
    <w:aliases w:val="Bayer-Heading 6 Char"/>
    <w:link w:val="Heading6"/>
    <w:rsid w:val="0059437A"/>
    <w:rPr>
      <w:rFonts w:ascii="Times New Roman" w:eastAsia="Times New Roman" w:hAnsi="Times New Roman" w:cs="Times New Roman"/>
      <w:b/>
      <w:kern w:val="28"/>
      <w:sz w:val="26"/>
      <w:szCs w:val="20"/>
      <w:lang w:val="en-US"/>
    </w:rPr>
  </w:style>
  <w:style w:type="character" w:customStyle="1" w:styleId="Heading7Char">
    <w:name w:val="Heading 7 Char"/>
    <w:aliases w:val="Bayer-Heading 7 Char"/>
    <w:link w:val="Heading7"/>
    <w:rsid w:val="0059437A"/>
    <w:rPr>
      <w:rFonts w:ascii="Times New Roman" w:eastAsia="Times New Roman" w:hAnsi="Times New Roman" w:cs="Times New Roman"/>
      <w:b/>
      <w:kern w:val="28"/>
      <w:sz w:val="26"/>
      <w:szCs w:val="20"/>
      <w:lang w:val="en-US"/>
    </w:rPr>
  </w:style>
  <w:style w:type="character" w:customStyle="1" w:styleId="Heading8Char">
    <w:name w:val="Heading 8 Char"/>
    <w:aliases w:val="Bayer-Heading 8 Char"/>
    <w:link w:val="Heading8"/>
    <w:rsid w:val="0059437A"/>
    <w:rPr>
      <w:rFonts w:ascii="Times New Roman" w:eastAsia="Times New Roman" w:hAnsi="Times New Roman" w:cs="Times New Roman"/>
      <w:b/>
      <w:kern w:val="28"/>
      <w:sz w:val="26"/>
      <w:szCs w:val="20"/>
      <w:lang w:val="en-US"/>
    </w:rPr>
  </w:style>
  <w:style w:type="character" w:customStyle="1" w:styleId="Heading9Char">
    <w:name w:val="Heading 9 Char"/>
    <w:aliases w:val="Bayer-Heading 9 Char"/>
    <w:link w:val="Heading9"/>
    <w:rsid w:val="0059437A"/>
    <w:rPr>
      <w:rFonts w:ascii="Times New Roman" w:eastAsia="Times New Roman" w:hAnsi="Times New Roman" w:cs="Times New Roman"/>
      <w:b/>
      <w:kern w:val="28"/>
      <w:sz w:val="26"/>
      <w:szCs w:val="20"/>
      <w:lang w:val="en-US"/>
    </w:rPr>
  </w:style>
  <w:style w:type="paragraph" w:styleId="Footer">
    <w:name w:val="footer"/>
    <w:basedOn w:val="Normal"/>
    <w:link w:val="FooterChar"/>
    <w:uiPriority w:val="99"/>
    <w:unhideWhenUsed/>
    <w:rsid w:val="0059437A"/>
    <w:pPr>
      <w:tabs>
        <w:tab w:val="center" w:pos="4513"/>
        <w:tab w:val="right" w:pos="9026"/>
      </w:tabs>
    </w:pPr>
    <w:rPr>
      <w:rFonts w:eastAsia="Batang" w:cs="Arial"/>
      <w:szCs w:val="20"/>
      <w:lang w:val="en-US"/>
    </w:rPr>
  </w:style>
  <w:style w:type="character" w:customStyle="1" w:styleId="FooterChar">
    <w:name w:val="Footer Char"/>
    <w:link w:val="Footer"/>
    <w:uiPriority w:val="99"/>
    <w:rsid w:val="0059437A"/>
    <w:rPr>
      <w:rFonts w:eastAsia="Batang" w:cs="Arial"/>
      <w:szCs w:val="20"/>
      <w:lang w:val="en-US"/>
    </w:rPr>
  </w:style>
  <w:style w:type="table" w:styleId="TableGrid">
    <w:name w:val="Table Grid"/>
    <w:basedOn w:val="TableNormal"/>
    <w:uiPriority w:val="39"/>
    <w:rsid w:val="0059437A"/>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9437A"/>
    <w:rPr>
      <w:color w:val="0563C1"/>
      <w:u w:val="single"/>
    </w:rPr>
  </w:style>
  <w:style w:type="character" w:styleId="CommentReference">
    <w:name w:val="annotation reference"/>
    <w:uiPriority w:val="99"/>
    <w:semiHidden/>
    <w:unhideWhenUsed/>
    <w:rsid w:val="0059437A"/>
    <w:rPr>
      <w:sz w:val="16"/>
      <w:szCs w:val="16"/>
    </w:rPr>
  </w:style>
  <w:style w:type="paragraph" w:styleId="CommentText">
    <w:name w:val="annotation text"/>
    <w:basedOn w:val="Normal"/>
    <w:link w:val="CommentTextChar"/>
    <w:uiPriority w:val="99"/>
    <w:unhideWhenUsed/>
    <w:rsid w:val="0059437A"/>
    <w:rPr>
      <w:rFonts w:eastAsia="Batang" w:cs="Arial"/>
      <w:szCs w:val="20"/>
      <w:lang w:val="en-US"/>
    </w:rPr>
  </w:style>
  <w:style w:type="character" w:customStyle="1" w:styleId="CommentTextChar">
    <w:name w:val="Comment Text Char"/>
    <w:link w:val="CommentText"/>
    <w:uiPriority w:val="99"/>
    <w:rsid w:val="0059437A"/>
    <w:rPr>
      <w:rFonts w:eastAsia="Batang" w:cs="Arial"/>
      <w:szCs w:val="20"/>
      <w:lang w:val="en-US"/>
    </w:rPr>
  </w:style>
  <w:style w:type="paragraph" w:styleId="CommentSubject">
    <w:name w:val="annotation subject"/>
    <w:basedOn w:val="CommentText"/>
    <w:next w:val="CommentText"/>
    <w:link w:val="CommentSubjectChar"/>
    <w:uiPriority w:val="99"/>
    <w:semiHidden/>
    <w:unhideWhenUsed/>
    <w:rsid w:val="0059437A"/>
    <w:rPr>
      <w:b/>
      <w:bCs/>
    </w:rPr>
  </w:style>
  <w:style w:type="character" w:customStyle="1" w:styleId="CommentSubjectChar">
    <w:name w:val="Comment Subject Char"/>
    <w:link w:val="CommentSubject"/>
    <w:uiPriority w:val="99"/>
    <w:semiHidden/>
    <w:rsid w:val="0059437A"/>
    <w:rPr>
      <w:rFonts w:eastAsia="Batang" w:cs="Arial"/>
      <w:b/>
      <w:bCs/>
      <w:szCs w:val="20"/>
      <w:lang w:val="en-US"/>
    </w:rPr>
  </w:style>
  <w:style w:type="paragraph" w:styleId="BalloonText">
    <w:name w:val="Balloon Text"/>
    <w:basedOn w:val="Normal"/>
    <w:link w:val="BalloonTextChar"/>
    <w:uiPriority w:val="99"/>
    <w:semiHidden/>
    <w:unhideWhenUsed/>
    <w:rsid w:val="0059437A"/>
    <w:rPr>
      <w:rFonts w:ascii="Segoe UI" w:eastAsia="Batang" w:hAnsi="Segoe UI" w:cs="Segoe UI"/>
      <w:sz w:val="18"/>
      <w:szCs w:val="18"/>
      <w:lang w:val="en-US"/>
    </w:rPr>
  </w:style>
  <w:style w:type="character" w:customStyle="1" w:styleId="BalloonTextChar">
    <w:name w:val="Balloon Text Char"/>
    <w:link w:val="BalloonText"/>
    <w:uiPriority w:val="99"/>
    <w:semiHidden/>
    <w:rsid w:val="0059437A"/>
    <w:rPr>
      <w:rFonts w:ascii="Segoe UI" w:eastAsia="Batang" w:hAnsi="Segoe UI" w:cs="Segoe UI"/>
      <w:sz w:val="18"/>
      <w:szCs w:val="18"/>
      <w:lang w:val="en-US"/>
    </w:rPr>
  </w:style>
  <w:style w:type="character" w:customStyle="1" w:styleId="UnresolvedMention1">
    <w:name w:val="Unresolved Mention1"/>
    <w:uiPriority w:val="99"/>
    <w:semiHidden/>
    <w:unhideWhenUsed/>
    <w:rsid w:val="0059437A"/>
    <w:rPr>
      <w:color w:val="605E5C"/>
      <w:shd w:val="clear" w:color="auto" w:fill="E1DFDD"/>
    </w:rPr>
  </w:style>
  <w:style w:type="paragraph" w:styleId="NormalWeb">
    <w:name w:val="Normal (Web)"/>
    <w:basedOn w:val="Normal"/>
    <w:uiPriority w:val="99"/>
    <w:semiHidden/>
    <w:unhideWhenUsed/>
    <w:rsid w:val="0059437A"/>
    <w:pPr>
      <w:spacing w:before="100" w:beforeAutospacing="1" w:after="100" w:afterAutospacing="1"/>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59437A"/>
    <w:pPr>
      <w:tabs>
        <w:tab w:val="center" w:pos="4680"/>
        <w:tab w:val="right" w:pos="9360"/>
      </w:tabs>
    </w:pPr>
    <w:rPr>
      <w:rFonts w:eastAsia="Batang" w:cs="Arial"/>
      <w:szCs w:val="20"/>
      <w:lang w:val="en-US"/>
    </w:rPr>
  </w:style>
  <w:style w:type="character" w:customStyle="1" w:styleId="HeaderChar">
    <w:name w:val="Header Char"/>
    <w:link w:val="Header"/>
    <w:uiPriority w:val="99"/>
    <w:rsid w:val="0059437A"/>
    <w:rPr>
      <w:rFonts w:eastAsia="Batang" w:cs="Arial"/>
      <w:szCs w:val="20"/>
      <w:lang w:val="en-US"/>
    </w:rPr>
  </w:style>
  <w:style w:type="paragraph" w:styleId="Revision">
    <w:name w:val="Revision"/>
    <w:hidden/>
    <w:uiPriority w:val="99"/>
    <w:semiHidden/>
    <w:rsid w:val="0059437A"/>
    <w:rPr>
      <w:rFonts w:eastAsia="Batang" w:cs="Arial"/>
      <w:lang w:eastAsia="en-US"/>
    </w:rPr>
  </w:style>
  <w:style w:type="character" w:customStyle="1" w:styleId="UnresolvedMention2">
    <w:name w:val="Unresolved Mention2"/>
    <w:uiPriority w:val="99"/>
    <w:semiHidden/>
    <w:unhideWhenUsed/>
    <w:rsid w:val="0059437A"/>
    <w:rPr>
      <w:color w:val="605E5C"/>
      <w:shd w:val="clear" w:color="auto" w:fill="E1DFDD"/>
    </w:rPr>
  </w:style>
  <w:style w:type="character" w:styleId="FollowedHyperlink">
    <w:name w:val="FollowedHyperlink"/>
    <w:uiPriority w:val="99"/>
    <w:semiHidden/>
    <w:unhideWhenUsed/>
    <w:rsid w:val="0059437A"/>
    <w:rPr>
      <w:color w:val="954F72"/>
      <w:u w:val="single"/>
    </w:rPr>
  </w:style>
  <w:style w:type="paragraph" w:customStyle="1" w:styleId="EndNoteBibliographyTitle">
    <w:name w:val="EndNote Bibliography Title"/>
    <w:basedOn w:val="Normal"/>
    <w:link w:val="EndNoteBibliographyTitleChar"/>
    <w:rsid w:val="0059437A"/>
    <w:pPr>
      <w:spacing w:line="480" w:lineRule="auto"/>
      <w:jc w:val="center"/>
    </w:pPr>
    <w:rPr>
      <w:rFonts w:eastAsia="Batang" w:cs="Arial"/>
      <w:sz w:val="22"/>
      <w:szCs w:val="20"/>
      <w:lang w:val="en-US"/>
    </w:rPr>
  </w:style>
  <w:style w:type="character" w:customStyle="1" w:styleId="EndNoteBibliographyTitleChar">
    <w:name w:val="EndNote Bibliography Title Char"/>
    <w:link w:val="EndNoteBibliographyTitle"/>
    <w:rsid w:val="0059437A"/>
    <w:rPr>
      <w:rFonts w:eastAsia="Batang" w:cs="Arial"/>
      <w:sz w:val="22"/>
      <w:szCs w:val="20"/>
      <w:lang w:val="en-US"/>
    </w:rPr>
  </w:style>
  <w:style w:type="paragraph" w:customStyle="1" w:styleId="EndNoteBibliography">
    <w:name w:val="EndNote Bibliography"/>
    <w:basedOn w:val="Normal"/>
    <w:link w:val="EndNoteBibliographyChar"/>
    <w:rsid w:val="0059437A"/>
    <w:pPr>
      <w:spacing w:line="480" w:lineRule="auto"/>
    </w:pPr>
    <w:rPr>
      <w:rFonts w:eastAsia="Batang" w:cs="Arial"/>
      <w:sz w:val="22"/>
      <w:szCs w:val="20"/>
      <w:lang w:val="en-US"/>
    </w:rPr>
  </w:style>
  <w:style w:type="character" w:customStyle="1" w:styleId="EndNoteBibliographyChar">
    <w:name w:val="EndNote Bibliography Char"/>
    <w:link w:val="EndNoteBibliography"/>
    <w:rsid w:val="0059437A"/>
    <w:rPr>
      <w:rFonts w:eastAsia="Batang" w:cs="Arial"/>
      <w:sz w:val="22"/>
      <w:szCs w:val="20"/>
      <w:lang w:val="en-US"/>
    </w:rPr>
  </w:style>
  <w:style w:type="paragraph" w:customStyle="1" w:styleId="Bullet1">
    <w:name w:val="Bullet 1"/>
    <w:basedOn w:val="Normal"/>
    <w:link w:val="Bullet1Char"/>
    <w:rsid w:val="0059437A"/>
    <w:pPr>
      <w:numPr>
        <w:ilvl w:val="3"/>
        <w:numId w:val="1"/>
      </w:numPr>
      <w:spacing w:line="480" w:lineRule="auto"/>
      <w:ind w:left="720"/>
      <w:contextualSpacing/>
    </w:pPr>
    <w:rPr>
      <w:rFonts w:eastAsia="Batang" w:cs="Arial"/>
      <w:lang w:val="en-US"/>
    </w:rPr>
  </w:style>
  <w:style w:type="character" w:customStyle="1" w:styleId="Bullet1Char">
    <w:name w:val="Bullet 1 Char"/>
    <w:link w:val="Bullet1"/>
    <w:rsid w:val="0059437A"/>
    <w:rPr>
      <w:rFonts w:eastAsia="Batang" w:cs="Arial"/>
      <w:lang w:val="en-US"/>
    </w:rPr>
  </w:style>
  <w:style w:type="paragraph" w:customStyle="1" w:styleId="Bullet2">
    <w:name w:val="Bullet 2"/>
    <w:basedOn w:val="Normal"/>
    <w:link w:val="Bullet2Char"/>
    <w:rsid w:val="0059437A"/>
    <w:pPr>
      <w:numPr>
        <w:ilvl w:val="1"/>
        <w:numId w:val="1"/>
      </w:numPr>
      <w:spacing w:line="480" w:lineRule="auto"/>
    </w:pPr>
    <w:rPr>
      <w:rFonts w:eastAsia="Batang" w:cs="Arial"/>
      <w:lang w:val="en-US"/>
    </w:rPr>
  </w:style>
  <w:style w:type="character" w:customStyle="1" w:styleId="Bullet2Char">
    <w:name w:val="Bullet 2 Char"/>
    <w:link w:val="Bullet2"/>
    <w:rsid w:val="0059437A"/>
    <w:rPr>
      <w:rFonts w:eastAsia="Batang" w:cs="Arial"/>
      <w:lang w:val="en-US"/>
    </w:rPr>
  </w:style>
  <w:style w:type="paragraph" w:customStyle="1" w:styleId="Bullet3">
    <w:name w:val="Bullet 3"/>
    <w:basedOn w:val="Bullet2"/>
    <w:link w:val="Bullet3Char"/>
    <w:rsid w:val="0059437A"/>
    <w:pPr>
      <w:numPr>
        <w:ilvl w:val="2"/>
      </w:numPr>
      <w:ind w:left="1418" w:hanging="284"/>
    </w:pPr>
  </w:style>
  <w:style w:type="character" w:customStyle="1" w:styleId="Bullet3Char">
    <w:name w:val="Bullet 3 Char"/>
    <w:link w:val="Bullet3"/>
    <w:rsid w:val="0059437A"/>
    <w:rPr>
      <w:rFonts w:eastAsia="Batang" w:cs="Arial"/>
      <w:lang w:val="en-US"/>
    </w:rPr>
  </w:style>
  <w:style w:type="paragraph" w:customStyle="1" w:styleId="Bullet4">
    <w:name w:val="Bullet 4"/>
    <w:basedOn w:val="Bullet1"/>
    <w:link w:val="Bullet4Char"/>
    <w:rsid w:val="0059437A"/>
    <w:pPr>
      <w:ind w:left="1985"/>
    </w:pPr>
  </w:style>
  <w:style w:type="character" w:customStyle="1" w:styleId="Bullet4Char">
    <w:name w:val="Bullet 4 Char"/>
    <w:link w:val="Bullet4"/>
    <w:rsid w:val="0059437A"/>
    <w:rPr>
      <w:rFonts w:eastAsia="Batang" w:cs="Arial"/>
      <w:lang w:val="en-US"/>
    </w:rPr>
  </w:style>
  <w:style w:type="paragraph" w:customStyle="1" w:styleId="Bullet5">
    <w:name w:val="Bullet 5"/>
    <w:basedOn w:val="Bullet4"/>
    <w:link w:val="Bullet5Char"/>
    <w:rsid w:val="0059437A"/>
    <w:pPr>
      <w:numPr>
        <w:ilvl w:val="4"/>
      </w:numPr>
      <w:ind w:left="2552" w:hanging="284"/>
    </w:pPr>
  </w:style>
  <w:style w:type="character" w:customStyle="1" w:styleId="Bullet5Char">
    <w:name w:val="Bullet 5 Char"/>
    <w:link w:val="Bullet5"/>
    <w:rsid w:val="0059437A"/>
    <w:rPr>
      <w:rFonts w:eastAsia="Batang" w:cs="Arial"/>
      <w:lang w:val="en-US"/>
    </w:rPr>
  </w:style>
  <w:style w:type="table" w:customStyle="1" w:styleId="TableGrid0">
    <w:name w:val="TableGrid"/>
    <w:rsid w:val="0059437A"/>
    <w:rPr>
      <w:rFonts w:ascii="Calibri" w:eastAsia="DengXian" w:hAnsi="Calibri"/>
      <w:sz w:val="24"/>
      <w:szCs w:val="24"/>
      <w:lang w:val="en-NZ" w:eastAsia="en-GB"/>
    </w:rPr>
    <w:tblPr>
      <w:tblCellMar>
        <w:top w:w="0" w:type="dxa"/>
        <w:left w:w="0" w:type="dxa"/>
        <w:bottom w:w="0" w:type="dxa"/>
        <w:right w:w="0" w:type="dxa"/>
      </w:tblCellMar>
    </w:tblPr>
  </w:style>
  <w:style w:type="paragraph" w:customStyle="1" w:styleId="Head1">
    <w:name w:val="Head1"/>
    <w:basedOn w:val="Normal"/>
    <w:next w:val="Normal"/>
    <w:link w:val="Head1Char"/>
    <w:qFormat/>
    <w:rsid w:val="00CE3621"/>
    <w:pPr>
      <w:spacing w:after="160" w:line="259" w:lineRule="auto"/>
      <w:outlineLvl w:val="0"/>
    </w:pPr>
    <w:rPr>
      <w:rFonts w:eastAsia="Batang" w:cs="Arial"/>
      <w:b/>
      <w:bCs/>
      <w:szCs w:val="20"/>
      <w:lang w:val="en-US"/>
    </w:rPr>
  </w:style>
  <w:style w:type="character" w:customStyle="1" w:styleId="Head1Char">
    <w:name w:val="Head1 Char"/>
    <w:link w:val="Head1"/>
    <w:rsid w:val="00CE3621"/>
    <w:rPr>
      <w:rFonts w:eastAsia="Batang" w:cs="Arial"/>
      <w:b/>
      <w:bCs/>
    </w:rPr>
  </w:style>
  <w:style w:type="paragraph" w:customStyle="1" w:styleId="Head2">
    <w:name w:val="Head2"/>
    <w:basedOn w:val="Normal"/>
    <w:next w:val="Normal"/>
    <w:link w:val="Head2Char"/>
    <w:qFormat/>
    <w:rsid w:val="00CE3621"/>
    <w:pPr>
      <w:spacing w:after="160" w:line="259" w:lineRule="auto"/>
      <w:outlineLvl w:val="1"/>
    </w:pPr>
    <w:rPr>
      <w:rFonts w:eastAsia="Batang" w:cs="Arial"/>
      <w:b/>
      <w:bCs/>
      <w:szCs w:val="20"/>
      <w:lang w:val="en-US"/>
    </w:rPr>
  </w:style>
  <w:style w:type="character" w:customStyle="1" w:styleId="Head2Char">
    <w:name w:val="Head2 Char"/>
    <w:link w:val="Head2"/>
    <w:rsid w:val="00CE3621"/>
    <w:rPr>
      <w:rFonts w:eastAsia="Batang" w:cs="Arial"/>
      <w:b/>
      <w:bCs/>
    </w:rPr>
  </w:style>
  <w:style w:type="paragraph" w:customStyle="1" w:styleId="Head3">
    <w:name w:val="Head3"/>
    <w:basedOn w:val="Normal"/>
    <w:link w:val="Head3Char"/>
    <w:rsid w:val="0059437A"/>
    <w:pPr>
      <w:spacing w:line="480" w:lineRule="auto"/>
    </w:pPr>
    <w:rPr>
      <w:rFonts w:eastAsia="Batang" w:cs="Arial"/>
      <w:i/>
      <w:iCs/>
      <w:lang w:val="en-US"/>
    </w:rPr>
  </w:style>
  <w:style w:type="character" w:customStyle="1" w:styleId="Head3Char">
    <w:name w:val="Head3 Char"/>
    <w:link w:val="Head3"/>
    <w:rsid w:val="0059437A"/>
    <w:rPr>
      <w:rFonts w:eastAsia="Batang" w:cs="Arial"/>
      <w:i/>
      <w:iCs/>
      <w:lang w:val="en-US"/>
    </w:rPr>
  </w:style>
  <w:style w:type="paragraph" w:styleId="Caption">
    <w:name w:val="caption"/>
    <w:basedOn w:val="Normal"/>
    <w:next w:val="Normal"/>
    <w:uiPriority w:val="35"/>
    <w:semiHidden/>
    <w:unhideWhenUsed/>
    <w:qFormat/>
    <w:rsid w:val="0059437A"/>
    <w:pPr>
      <w:spacing w:after="200"/>
    </w:pPr>
    <w:rPr>
      <w:rFonts w:eastAsia="Batang" w:cs="Arial"/>
      <w:i/>
      <w:iCs/>
      <w:color w:val="44546A"/>
      <w:sz w:val="18"/>
      <w:szCs w:val="18"/>
      <w:lang w:val="en-US"/>
    </w:rPr>
  </w:style>
  <w:style w:type="character" w:styleId="LineNumber">
    <w:name w:val="line number"/>
    <w:uiPriority w:val="99"/>
    <w:semiHidden/>
    <w:unhideWhenUsed/>
    <w:rsid w:val="0059437A"/>
    <w:rPr>
      <w:rFonts w:ascii="Arial" w:hAnsi="Arial"/>
      <w:sz w:val="16"/>
    </w:rPr>
  </w:style>
  <w:style w:type="paragraph" w:styleId="ListParagraph">
    <w:name w:val="List Paragraph"/>
    <w:basedOn w:val="Normal"/>
    <w:link w:val="ListParagraphChar"/>
    <w:uiPriority w:val="34"/>
    <w:qFormat/>
    <w:rsid w:val="0059437A"/>
    <w:pPr>
      <w:spacing w:line="480" w:lineRule="auto"/>
      <w:ind w:left="720"/>
      <w:contextualSpacing/>
    </w:pPr>
    <w:rPr>
      <w:rFonts w:eastAsia="Batang" w:cs="Arial"/>
      <w:szCs w:val="20"/>
      <w:lang w:val="en-US"/>
    </w:rPr>
  </w:style>
  <w:style w:type="character" w:styleId="PlaceholderText">
    <w:name w:val="Placeholder Text"/>
    <w:uiPriority w:val="99"/>
    <w:semiHidden/>
    <w:rsid w:val="0059437A"/>
    <w:rPr>
      <w:color w:val="808080"/>
    </w:rPr>
  </w:style>
  <w:style w:type="paragraph" w:customStyle="1" w:styleId="Indentpara">
    <w:name w:val="Indentpara"/>
    <w:basedOn w:val="Normal"/>
    <w:link w:val="IndentparaChar"/>
    <w:qFormat/>
    <w:rsid w:val="0059437A"/>
    <w:pPr>
      <w:spacing w:line="480" w:lineRule="auto"/>
      <w:ind w:firstLine="567"/>
    </w:pPr>
    <w:rPr>
      <w:rFonts w:eastAsia="Batang" w:cs="Arial"/>
      <w:noProof/>
      <w:szCs w:val="20"/>
      <w:lang w:val="en-US"/>
    </w:rPr>
  </w:style>
  <w:style w:type="character" w:customStyle="1" w:styleId="IndentparaChar">
    <w:name w:val="Indentpara Char"/>
    <w:link w:val="Indentpara"/>
    <w:rsid w:val="0059437A"/>
    <w:rPr>
      <w:rFonts w:eastAsia="Batang" w:cs="Arial"/>
      <w:noProof/>
      <w:szCs w:val="20"/>
      <w:lang w:val="en-US"/>
    </w:rPr>
  </w:style>
  <w:style w:type="character" w:customStyle="1" w:styleId="UnresolvedMention">
    <w:name w:val="Unresolved Mention"/>
    <w:uiPriority w:val="99"/>
    <w:unhideWhenUsed/>
    <w:rsid w:val="0059437A"/>
    <w:rPr>
      <w:color w:val="605E5C"/>
      <w:shd w:val="clear" w:color="auto" w:fill="E1DFDD"/>
    </w:rPr>
  </w:style>
  <w:style w:type="character" w:customStyle="1" w:styleId="Mention">
    <w:name w:val="Mention"/>
    <w:uiPriority w:val="99"/>
    <w:unhideWhenUsed/>
    <w:rsid w:val="0059437A"/>
    <w:rPr>
      <w:color w:val="2B579A"/>
      <w:shd w:val="clear" w:color="auto" w:fill="E1DFDD"/>
    </w:rPr>
  </w:style>
  <w:style w:type="paragraph" w:styleId="FootnoteText">
    <w:name w:val="footnote text"/>
    <w:basedOn w:val="Normal"/>
    <w:link w:val="FootnoteTextChar"/>
    <w:uiPriority w:val="99"/>
    <w:semiHidden/>
    <w:unhideWhenUsed/>
    <w:rsid w:val="0059437A"/>
    <w:rPr>
      <w:rFonts w:eastAsia="Batang" w:cs="Arial"/>
      <w:szCs w:val="20"/>
      <w:lang w:val="en-US"/>
    </w:rPr>
  </w:style>
  <w:style w:type="character" w:customStyle="1" w:styleId="FootnoteTextChar">
    <w:name w:val="Footnote Text Char"/>
    <w:link w:val="FootnoteText"/>
    <w:uiPriority w:val="99"/>
    <w:semiHidden/>
    <w:rsid w:val="0059437A"/>
    <w:rPr>
      <w:rFonts w:eastAsia="Batang" w:cs="Arial"/>
      <w:szCs w:val="20"/>
      <w:lang w:val="en-US"/>
    </w:rPr>
  </w:style>
  <w:style w:type="character" w:styleId="FootnoteReference">
    <w:name w:val="footnote reference"/>
    <w:uiPriority w:val="99"/>
    <w:semiHidden/>
    <w:unhideWhenUsed/>
    <w:rsid w:val="0059437A"/>
    <w:rPr>
      <w:vertAlign w:val="superscript"/>
    </w:rPr>
  </w:style>
  <w:style w:type="character" w:customStyle="1" w:styleId="ListParagraphChar">
    <w:name w:val="List Paragraph Char"/>
    <w:link w:val="ListParagraph"/>
    <w:uiPriority w:val="34"/>
    <w:rsid w:val="0059437A"/>
    <w:rPr>
      <w:rFonts w:eastAsia="Batang" w:cs="Arial"/>
      <w:szCs w:val="20"/>
      <w:lang w:val="en-US"/>
    </w:rPr>
  </w:style>
  <w:style w:type="character" w:customStyle="1" w:styleId="o1056pnejmcme1213755donenap4o0ru">
    <w:name w:val="o1056pnejmcme1213755donenap4o0ru"/>
    <w:basedOn w:val="DefaultParagraphFont"/>
    <w:rsid w:val="0059437A"/>
  </w:style>
  <w:style w:type="paragraph" w:styleId="TOCHeading">
    <w:name w:val="TOC Heading"/>
    <w:basedOn w:val="Heading1"/>
    <w:next w:val="Normal"/>
    <w:uiPriority w:val="39"/>
    <w:unhideWhenUsed/>
    <w:qFormat/>
    <w:rsid w:val="00CE3621"/>
    <w:pPr>
      <w:keepLines/>
      <w:numPr>
        <w:numId w:val="0"/>
      </w:numPr>
      <w:tabs>
        <w:tab w:val="clear" w:pos="851"/>
      </w:tabs>
      <w:spacing w:after="0" w:line="259" w:lineRule="auto"/>
      <w:outlineLvl w:val="9"/>
    </w:pPr>
    <w:rPr>
      <w:rFonts w:ascii="Calibri Light" w:hAnsi="Calibri Light"/>
      <w:b w:val="0"/>
      <w:color w:val="2F5496"/>
      <w:kern w:val="0"/>
      <w:sz w:val="32"/>
      <w:szCs w:val="32"/>
    </w:rPr>
  </w:style>
  <w:style w:type="paragraph" w:styleId="TOC2">
    <w:name w:val="toc 2"/>
    <w:basedOn w:val="Normal"/>
    <w:next w:val="Normal"/>
    <w:autoRedefine/>
    <w:uiPriority w:val="39"/>
    <w:unhideWhenUsed/>
    <w:rsid w:val="00CE3621"/>
    <w:pPr>
      <w:spacing w:after="100" w:line="259" w:lineRule="auto"/>
      <w:ind w:left="220"/>
    </w:pPr>
    <w:rPr>
      <w:rFonts w:ascii="Calibri" w:eastAsia="Times New Roman" w:hAnsi="Calibri"/>
      <w:sz w:val="22"/>
      <w:lang w:val="en-US"/>
    </w:rPr>
  </w:style>
  <w:style w:type="paragraph" w:styleId="TOC1">
    <w:name w:val="toc 1"/>
    <w:basedOn w:val="Normal"/>
    <w:next w:val="Normal"/>
    <w:autoRedefine/>
    <w:uiPriority w:val="39"/>
    <w:unhideWhenUsed/>
    <w:rsid w:val="00CE3621"/>
    <w:pPr>
      <w:tabs>
        <w:tab w:val="right" w:leader="dot" w:pos="9352"/>
      </w:tabs>
      <w:spacing w:after="100" w:line="259" w:lineRule="auto"/>
    </w:pPr>
    <w:rPr>
      <w:rFonts w:ascii="Calibri" w:eastAsia="Times New Roman" w:hAnsi="Calibri"/>
      <w:sz w:val="22"/>
      <w:lang w:val="en-US"/>
    </w:rPr>
  </w:style>
  <w:style w:type="paragraph" w:styleId="TOC3">
    <w:name w:val="toc 3"/>
    <w:basedOn w:val="Normal"/>
    <w:next w:val="Normal"/>
    <w:autoRedefine/>
    <w:uiPriority w:val="39"/>
    <w:unhideWhenUsed/>
    <w:rsid w:val="00CE3621"/>
    <w:pPr>
      <w:spacing w:after="100" w:line="259" w:lineRule="auto"/>
      <w:ind w:left="440"/>
    </w:pPr>
    <w:rPr>
      <w:rFonts w:ascii="Calibri" w:eastAsia="Times New Roman" w:hAnsi="Calibr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20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e.coleman@sheffield.ac.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hope.rugo@ucsf.ed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9d223e1-a2f3-475d-99c3-a55ef67a7e31" xsi:nil="true"/>
    <lcf76f155ced4ddcb4097134ff3c332f xmlns="07508784-0039-4dc3-b89a-4cfeb50d67e8">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FD20D25444F0469D3A174D8769E189" ma:contentTypeVersion="13" ma:contentTypeDescription="Create a new document." ma:contentTypeScope="" ma:versionID="6374db66915d3e297af14a604cdf3362">
  <xsd:schema xmlns:xsd="http://www.w3.org/2001/XMLSchema" xmlns:xs="http://www.w3.org/2001/XMLSchema" xmlns:p="http://schemas.microsoft.com/office/2006/metadata/properties" xmlns:ns2="07508784-0039-4dc3-b89a-4cfeb50d67e8" xmlns:ns3="59d223e1-a2f3-475d-99c3-a55ef67a7e31" targetNamespace="http://schemas.microsoft.com/office/2006/metadata/properties" ma:root="true" ma:fieldsID="81b94bbab12b6b5705a45a55a8565ef9" ns2:_="" ns3:_="">
    <xsd:import namespace="07508784-0039-4dc3-b89a-4cfeb50d67e8"/>
    <xsd:import namespace="59d223e1-a2f3-475d-99c3-a55ef67a7e3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08784-0039-4dc3-b89a-4cfeb50d6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223e1-a2f3-475d-99c3-a55ef67a7e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9857cb-2b2a-441b-b0c4-a8402bc6c44b}" ma:internalName="TaxCatchAll" ma:showField="CatchAllData" ma:web="59d223e1-a2f3-475d-99c3-a55ef67a7e3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3CEAB-F12E-4D0E-932A-17EDFF2E61FF}">
  <ds:schemaRefs>
    <ds:schemaRef ds:uri="http://schemas.microsoft.com/sharepoint/v3/contenttype/forms"/>
  </ds:schemaRefs>
</ds:datastoreItem>
</file>

<file path=customXml/itemProps2.xml><?xml version="1.0" encoding="utf-8"?>
<ds:datastoreItem xmlns:ds="http://schemas.openxmlformats.org/officeDocument/2006/customXml" ds:itemID="{63D095A8-CA54-42EC-BB2A-9E8AE4A2D2FA}">
  <ds:schemaRefs>
    <ds:schemaRef ds:uri="http://schemas.microsoft.com/office/2006/metadata/properties"/>
    <ds:schemaRef ds:uri="http://schemas.microsoft.com/office/infopath/2007/PartnerControls"/>
    <ds:schemaRef ds:uri="59d223e1-a2f3-475d-99c3-a55ef67a7e31"/>
    <ds:schemaRef ds:uri="07508784-0039-4dc3-b89a-4cfeb50d67e8"/>
  </ds:schemaRefs>
</ds:datastoreItem>
</file>

<file path=customXml/itemProps3.xml><?xml version="1.0" encoding="utf-8"?>
<ds:datastoreItem xmlns:ds="http://schemas.openxmlformats.org/officeDocument/2006/customXml" ds:itemID="{4BC48B0E-9277-4DF8-A23D-1B7AD23EF8D2}">
  <ds:schemaRefs>
    <ds:schemaRef ds:uri="http://schemas.microsoft.com/office/2006/metadata/longProperties"/>
  </ds:schemaRefs>
</ds:datastoreItem>
</file>

<file path=customXml/itemProps4.xml><?xml version="1.0" encoding="utf-8"?>
<ds:datastoreItem xmlns:ds="http://schemas.openxmlformats.org/officeDocument/2006/customXml" ds:itemID="{10212058-DCC8-43B7-81E4-814E98B23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508784-0039-4dc3-b89a-4cfeb50d67e8"/>
    <ds:schemaRef ds:uri="59d223e1-a2f3-475d-99c3-a55ef67a7e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8C82264-5497-4692-8680-7EC06F432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6539</Words>
  <Characters>37277</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43729</CharactersWithSpaces>
  <SharedDoc>false</SharedDoc>
  <HLinks>
    <vt:vector size="84" baseType="variant">
      <vt:variant>
        <vt:i4>1310776</vt:i4>
      </vt:variant>
      <vt:variant>
        <vt:i4>74</vt:i4>
      </vt:variant>
      <vt:variant>
        <vt:i4>0</vt:i4>
      </vt:variant>
      <vt:variant>
        <vt:i4>5</vt:i4>
      </vt:variant>
      <vt:variant>
        <vt:lpwstr/>
      </vt:variant>
      <vt:variant>
        <vt:lpwstr>_Toc116384758</vt:lpwstr>
      </vt:variant>
      <vt:variant>
        <vt:i4>1310776</vt:i4>
      </vt:variant>
      <vt:variant>
        <vt:i4>68</vt:i4>
      </vt:variant>
      <vt:variant>
        <vt:i4>0</vt:i4>
      </vt:variant>
      <vt:variant>
        <vt:i4>5</vt:i4>
      </vt:variant>
      <vt:variant>
        <vt:lpwstr/>
      </vt:variant>
      <vt:variant>
        <vt:lpwstr>_Toc116384757</vt:lpwstr>
      </vt:variant>
      <vt:variant>
        <vt:i4>1310776</vt:i4>
      </vt:variant>
      <vt:variant>
        <vt:i4>62</vt:i4>
      </vt:variant>
      <vt:variant>
        <vt:i4>0</vt:i4>
      </vt:variant>
      <vt:variant>
        <vt:i4>5</vt:i4>
      </vt:variant>
      <vt:variant>
        <vt:lpwstr/>
      </vt:variant>
      <vt:variant>
        <vt:lpwstr>_Toc116384756</vt:lpwstr>
      </vt:variant>
      <vt:variant>
        <vt:i4>1310776</vt:i4>
      </vt:variant>
      <vt:variant>
        <vt:i4>56</vt:i4>
      </vt:variant>
      <vt:variant>
        <vt:i4>0</vt:i4>
      </vt:variant>
      <vt:variant>
        <vt:i4>5</vt:i4>
      </vt:variant>
      <vt:variant>
        <vt:lpwstr/>
      </vt:variant>
      <vt:variant>
        <vt:lpwstr>_Toc116384755</vt:lpwstr>
      </vt:variant>
      <vt:variant>
        <vt:i4>1310776</vt:i4>
      </vt:variant>
      <vt:variant>
        <vt:i4>50</vt:i4>
      </vt:variant>
      <vt:variant>
        <vt:i4>0</vt:i4>
      </vt:variant>
      <vt:variant>
        <vt:i4>5</vt:i4>
      </vt:variant>
      <vt:variant>
        <vt:lpwstr/>
      </vt:variant>
      <vt:variant>
        <vt:lpwstr>_Toc116384754</vt:lpwstr>
      </vt:variant>
      <vt:variant>
        <vt:i4>1310776</vt:i4>
      </vt:variant>
      <vt:variant>
        <vt:i4>44</vt:i4>
      </vt:variant>
      <vt:variant>
        <vt:i4>0</vt:i4>
      </vt:variant>
      <vt:variant>
        <vt:i4>5</vt:i4>
      </vt:variant>
      <vt:variant>
        <vt:lpwstr/>
      </vt:variant>
      <vt:variant>
        <vt:lpwstr>_Toc116384753</vt:lpwstr>
      </vt:variant>
      <vt:variant>
        <vt:i4>1310776</vt:i4>
      </vt:variant>
      <vt:variant>
        <vt:i4>38</vt:i4>
      </vt:variant>
      <vt:variant>
        <vt:i4>0</vt:i4>
      </vt:variant>
      <vt:variant>
        <vt:i4>5</vt:i4>
      </vt:variant>
      <vt:variant>
        <vt:lpwstr/>
      </vt:variant>
      <vt:variant>
        <vt:lpwstr>_Toc116384752</vt:lpwstr>
      </vt:variant>
      <vt:variant>
        <vt:i4>1310776</vt:i4>
      </vt:variant>
      <vt:variant>
        <vt:i4>32</vt:i4>
      </vt:variant>
      <vt:variant>
        <vt:i4>0</vt:i4>
      </vt:variant>
      <vt:variant>
        <vt:i4>5</vt:i4>
      </vt:variant>
      <vt:variant>
        <vt:lpwstr/>
      </vt:variant>
      <vt:variant>
        <vt:lpwstr>_Toc116384751</vt:lpwstr>
      </vt:variant>
      <vt:variant>
        <vt:i4>1310776</vt:i4>
      </vt:variant>
      <vt:variant>
        <vt:i4>26</vt:i4>
      </vt:variant>
      <vt:variant>
        <vt:i4>0</vt:i4>
      </vt:variant>
      <vt:variant>
        <vt:i4>5</vt:i4>
      </vt:variant>
      <vt:variant>
        <vt:lpwstr/>
      </vt:variant>
      <vt:variant>
        <vt:lpwstr>_Toc116384750</vt:lpwstr>
      </vt:variant>
      <vt:variant>
        <vt:i4>1376312</vt:i4>
      </vt:variant>
      <vt:variant>
        <vt:i4>20</vt:i4>
      </vt:variant>
      <vt:variant>
        <vt:i4>0</vt:i4>
      </vt:variant>
      <vt:variant>
        <vt:i4>5</vt:i4>
      </vt:variant>
      <vt:variant>
        <vt:lpwstr/>
      </vt:variant>
      <vt:variant>
        <vt:lpwstr>_Toc116384749</vt:lpwstr>
      </vt:variant>
      <vt:variant>
        <vt:i4>1376312</vt:i4>
      </vt:variant>
      <vt:variant>
        <vt:i4>14</vt:i4>
      </vt:variant>
      <vt:variant>
        <vt:i4>0</vt:i4>
      </vt:variant>
      <vt:variant>
        <vt:i4>5</vt:i4>
      </vt:variant>
      <vt:variant>
        <vt:lpwstr/>
      </vt:variant>
      <vt:variant>
        <vt:lpwstr>_Toc116384748</vt:lpwstr>
      </vt:variant>
      <vt:variant>
        <vt:i4>1376312</vt:i4>
      </vt:variant>
      <vt:variant>
        <vt:i4>8</vt:i4>
      </vt:variant>
      <vt:variant>
        <vt:i4>0</vt:i4>
      </vt:variant>
      <vt:variant>
        <vt:i4>5</vt:i4>
      </vt:variant>
      <vt:variant>
        <vt:lpwstr/>
      </vt:variant>
      <vt:variant>
        <vt:lpwstr>_Toc116384747</vt:lpwstr>
      </vt:variant>
      <vt:variant>
        <vt:i4>2883666</vt:i4>
      </vt:variant>
      <vt:variant>
        <vt:i4>3</vt:i4>
      </vt:variant>
      <vt:variant>
        <vt:i4>0</vt:i4>
      </vt:variant>
      <vt:variant>
        <vt:i4>5</vt:i4>
      </vt:variant>
      <vt:variant>
        <vt:lpwstr>mailto:r.e.coleman@sheffield.ac.uk</vt:lpwstr>
      </vt:variant>
      <vt:variant>
        <vt:lpwstr/>
      </vt:variant>
      <vt:variant>
        <vt:i4>131189</vt:i4>
      </vt:variant>
      <vt:variant>
        <vt:i4>0</vt:i4>
      </vt:variant>
      <vt:variant>
        <vt:i4>0</vt:i4>
      </vt:variant>
      <vt:variant>
        <vt:i4>5</vt:i4>
      </vt:variant>
      <vt:variant>
        <vt:lpwstr>mailto:hope.rugo@ucsf.edu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OPEN Health</dc:creator>
  <cp:keywords/>
  <dc:description/>
  <cp:lastModifiedBy>Reshma Velan</cp:lastModifiedBy>
  <cp:revision>6</cp:revision>
  <cp:lastPrinted>2022-10-11T11:46:00Z</cp:lastPrinted>
  <dcterms:created xsi:type="dcterms:W3CDTF">2023-04-20T15:41:00Z</dcterms:created>
  <dcterms:modified xsi:type="dcterms:W3CDTF">2023-10-12T06:38:00Z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OPEN Health</vt:lpwstr>
  </property>
  <property fmtid="{D5CDD505-2E9C-101B-9397-08002B2CF9AE}" pid="3" name="Order">
    <vt:lpwstr>100.000000000000</vt:lpwstr>
  </property>
  <property fmtid="{D5CDD505-2E9C-101B-9397-08002B2CF9AE}" pid="4" name="display_urn:schemas-microsoft-com:office:office#Author">
    <vt:lpwstr>OPEN Health</vt:lpwstr>
  </property>
  <property fmtid="{D5CDD505-2E9C-101B-9397-08002B2CF9AE}" pid="5" name="MSIP_Label_7f850223-87a8-40c3-9eb2-432606efca2a_Enabled">
    <vt:lpwstr>true</vt:lpwstr>
  </property>
  <property fmtid="{D5CDD505-2E9C-101B-9397-08002B2CF9AE}" pid="6" name="MSIP_Label_7f850223-87a8-40c3-9eb2-432606efca2a_SetDate">
    <vt:lpwstr>2023-03-27T15:20:15Z</vt:lpwstr>
  </property>
  <property fmtid="{D5CDD505-2E9C-101B-9397-08002B2CF9AE}" pid="7" name="MSIP_Label_7f850223-87a8-40c3-9eb2-432606efca2a_Method">
    <vt:lpwstr>Privileged</vt:lpwstr>
  </property>
  <property fmtid="{D5CDD505-2E9C-101B-9397-08002B2CF9AE}" pid="8" name="MSIP_Label_7f850223-87a8-40c3-9eb2-432606efca2a_Name">
    <vt:lpwstr>7f850223-87a8-40c3-9eb2-432606efca2a</vt:lpwstr>
  </property>
  <property fmtid="{D5CDD505-2E9C-101B-9397-08002B2CF9AE}" pid="9" name="MSIP_Label_7f850223-87a8-40c3-9eb2-432606efca2a_SiteId">
    <vt:lpwstr>fcb2b37b-5da0-466b-9b83-0014b67a7c78</vt:lpwstr>
  </property>
  <property fmtid="{D5CDD505-2E9C-101B-9397-08002B2CF9AE}" pid="10" name="MSIP_Label_7f850223-87a8-40c3-9eb2-432606efca2a_ActionId">
    <vt:lpwstr>49c28c57-33f1-478e-856d-1fd7c412acf1</vt:lpwstr>
  </property>
  <property fmtid="{D5CDD505-2E9C-101B-9397-08002B2CF9AE}" pid="11" name="MSIP_Label_7f850223-87a8-40c3-9eb2-432606efca2a_ContentBits">
    <vt:lpwstr>0</vt:lpwstr>
  </property>
  <property fmtid="{D5CDD505-2E9C-101B-9397-08002B2CF9AE}" pid="12" name="MediaServiceImageTags">
    <vt:lpwstr/>
  </property>
  <property fmtid="{D5CDD505-2E9C-101B-9397-08002B2CF9AE}" pid="13" name="ContentTypeId">
    <vt:lpwstr>0x01010063FD20D25444F0469D3A174D8769E189</vt:lpwstr>
  </property>
  <property fmtid="{D5CDD505-2E9C-101B-9397-08002B2CF9AE}" pid="14" name="MSIP_Label_2c76c141-ac86-40e5-abf2-c6f60e474cee_Enabled">
    <vt:lpwstr>true</vt:lpwstr>
  </property>
  <property fmtid="{D5CDD505-2E9C-101B-9397-08002B2CF9AE}" pid="15" name="MSIP_Label_2c76c141-ac86-40e5-abf2-c6f60e474cee_SetDate">
    <vt:lpwstr>2023-03-27T01:08:18Z</vt:lpwstr>
  </property>
  <property fmtid="{D5CDD505-2E9C-101B-9397-08002B2CF9AE}" pid="16" name="MSIP_Label_2c76c141-ac86-40e5-abf2-c6f60e474cee_Method">
    <vt:lpwstr>Privileged</vt:lpwstr>
  </property>
  <property fmtid="{D5CDD505-2E9C-101B-9397-08002B2CF9AE}" pid="17" name="MSIP_Label_2c76c141-ac86-40e5-abf2-c6f60e474cee_Name">
    <vt:lpwstr>2c76c141-ac86-40e5-abf2-c6f60e474cee</vt:lpwstr>
  </property>
  <property fmtid="{D5CDD505-2E9C-101B-9397-08002B2CF9AE}" pid="18" name="MSIP_Label_2c76c141-ac86-40e5-abf2-c6f60e474cee_SiteId">
    <vt:lpwstr>fcb2b37b-5da0-466b-9b83-0014b67a7c78</vt:lpwstr>
  </property>
  <property fmtid="{D5CDD505-2E9C-101B-9397-08002B2CF9AE}" pid="19" name="MSIP_Label_2c76c141-ac86-40e5-abf2-c6f60e474cee_ActionId">
    <vt:lpwstr>51a05908-b1fa-436f-b243-842184250078</vt:lpwstr>
  </property>
  <property fmtid="{D5CDD505-2E9C-101B-9397-08002B2CF9AE}" pid="20" name="MSIP_Label_2c76c141-ac86-40e5-abf2-c6f60e474cee_ContentBits">
    <vt:lpwstr>2</vt:lpwstr>
  </property>
</Properties>
</file>