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77DBF" w14:textId="77777777" w:rsidR="00EB39EF" w:rsidRDefault="00EB39EF" w:rsidP="00EB39EF">
      <w:pPr>
        <w:spacing w:line="360" w:lineRule="auto"/>
        <w:rPr>
          <w:rFonts w:ascii="Times New Roman" w:eastAsia="Times New Roman" w:hAnsi="Times New Roman"/>
          <w:b/>
          <w:szCs w:val="21"/>
        </w:rPr>
      </w:pPr>
      <w:r>
        <w:rPr>
          <w:rFonts w:hint="eastAsia"/>
          <w:b/>
          <w:bCs/>
        </w:rPr>
        <w:t>The cytokine profile correlates with less tumor-infiltrating lymphocytes in luminal A breast cancer</w:t>
      </w:r>
    </w:p>
    <w:p w14:paraId="3700B1DA" w14:textId="77777777" w:rsidR="00E41080" w:rsidRPr="00EB39EF" w:rsidRDefault="00E41080" w:rsidP="0018723A">
      <w:pPr>
        <w:spacing w:line="360" w:lineRule="auto"/>
        <w:rPr>
          <w:rFonts w:ascii="Times New Roman" w:eastAsia="Times New Roman" w:hAnsi="Times New Roman"/>
          <w:szCs w:val="21"/>
        </w:rPr>
      </w:pPr>
    </w:p>
    <w:p w14:paraId="6537D4A3" w14:textId="42970752" w:rsidR="00735769" w:rsidRPr="00ED06A0" w:rsidRDefault="00327BCA" w:rsidP="0018723A">
      <w:pPr>
        <w:spacing w:line="360" w:lineRule="auto"/>
        <w:rPr>
          <w:rFonts w:ascii="Times New Roman" w:eastAsia="Times New Roman" w:hAnsi="Times New Roman"/>
          <w:szCs w:val="21"/>
        </w:rPr>
      </w:pPr>
      <w:r w:rsidRPr="00ED06A0">
        <w:rPr>
          <w:rFonts w:ascii="Times New Roman" w:eastAsia="Times New Roman" w:hAnsi="Times New Roman"/>
          <w:szCs w:val="21"/>
        </w:rPr>
        <w:t>Eri Ishikawa</w:t>
      </w:r>
      <w:r w:rsidRPr="00ED06A0">
        <w:rPr>
          <w:rFonts w:ascii="Times New Roman" w:eastAsia="Times New Roman" w:hAnsi="Times New Roman"/>
          <w:szCs w:val="21"/>
          <w:vertAlign w:val="superscript"/>
        </w:rPr>
        <w:t>1</w:t>
      </w:r>
      <w:r w:rsidRPr="00ED06A0">
        <w:rPr>
          <w:rFonts w:ascii="Times New Roman" w:eastAsia="Times New Roman" w:hAnsi="Times New Roman"/>
          <w:szCs w:val="21"/>
        </w:rPr>
        <w:t xml:space="preserve">, Takahiro </w:t>
      </w:r>
      <w:r w:rsidRPr="00ED06A0">
        <w:rPr>
          <w:rFonts w:ascii="Times New Roman" w:eastAsia="游明朝" w:hAnsi="Times New Roman"/>
          <w:szCs w:val="21"/>
        </w:rPr>
        <w:t>Watanabe</w:t>
      </w:r>
      <w:r w:rsidRPr="00ED06A0">
        <w:rPr>
          <w:rFonts w:ascii="Times New Roman" w:eastAsia="Times New Roman" w:hAnsi="Times New Roman"/>
          <w:szCs w:val="21"/>
          <w:vertAlign w:val="superscript"/>
        </w:rPr>
        <w:t>1</w:t>
      </w:r>
      <w:r>
        <w:rPr>
          <w:rFonts w:ascii="Times New Roman" w:eastAsia="Times New Roman" w:hAnsi="Times New Roman"/>
          <w:szCs w:val="21"/>
          <w:vertAlign w:val="superscript"/>
        </w:rPr>
        <w:t xml:space="preserve">, </w:t>
      </w:r>
      <w:r w:rsidRPr="00BE59C5">
        <w:rPr>
          <w:rFonts w:ascii="Times New Roman" w:eastAsia="Times New Roman" w:hAnsi="Times New Roman"/>
          <w:color w:val="000000" w:themeColor="text1"/>
          <w:szCs w:val="21"/>
          <w:vertAlign w:val="superscript"/>
        </w:rPr>
        <w:t>2</w:t>
      </w:r>
      <w:r w:rsidRPr="00BE59C5">
        <w:rPr>
          <w:rFonts w:ascii="Times New Roman" w:eastAsia="游明朝" w:hAnsi="Times New Roman"/>
          <w:color w:val="000000" w:themeColor="text1"/>
          <w:szCs w:val="21"/>
        </w:rPr>
        <w:t>, Takako Kihara</w:t>
      </w:r>
      <w:r w:rsidRPr="00BE59C5">
        <w:rPr>
          <w:rFonts w:ascii="Times New Roman" w:eastAsia="Times New Roman" w:hAnsi="Times New Roman"/>
          <w:color w:val="000000" w:themeColor="text1"/>
          <w:szCs w:val="21"/>
          <w:vertAlign w:val="superscript"/>
        </w:rPr>
        <w:t>1</w:t>
      </w:r>
      <w:r w:rsidRPr="00BE59C5">
        <w:rPr>
          <w:rFonts w:ascii="Times New Roman" w:eastAsia="游明朝" w:hAnsi="Times New Roman"/>
          <w:color w:val="000000" w:themeColor="text1"/>
          <w:szCs w:val="21"/>
        </w:rPr>
        <w:t>,</w:t>
      </w:r>
      <w:r w:rsidRPr="00ED06A0">
        <w:rPr>
          <w:rFonts w:ascii="Times New Roman" w:eastAsia="游明朝" w:hAnsi="Times New Roman"/>
          <w:szCs w:val="21"/>
        </w:rPr>
        <w:t xml:space="preserve"> </w:t>
      </w:r>
      <w:r w:rsidRPr="00ED06A0">
        <w:rPr>
          <w:rFonts w:ascii="Times New Roman" w:eastAsia="Times New Roman" w:hAnsi="Times New Roman"/>
          <w:szCs w:val="21"/>
        </w:rPr>
        <w:t>Mamiko Kuroiwa</w:t>
      </w:r>
      <w:r>
        <w:rPr>
          <w:rFonts w:ascii="Times New Roman" w:eastAsia="Times New Roman" w:hAnsi="Times New Roman"/>
          <w:szCs w:val="21"/>
          <w:vertAlign w:val="superscript"/>
        </w:rPr>
        <w:t>3</w:t>
      </w:r>
      <w:r w:rsidRPr="00ED06A0">
        <w:rPr>
          <w:rFonts w:ascii="Times New Roman" w:eastAsia="Times New Roman" w:hAnsi="Times New Roman"/>
          <w:szCs w:val="21"/>
        </w:rPr>
        <w:t>, Miki Komatsu</w:t>
      </w:r>
      <w:r>
        <w:rPr>
          <w:rFonts w:ascii="Times New Roman" w:eastAsia="Times New Roman" w:hAnsi="Times New Roman"/>
          <w:szCs w:val="21"/>
          <w:vertAlign w:val="superscript"/>
        </w:rPr>
        <w:t>3</w:t>
      </w:r>
      <w:r w:rsidRPr="00ED06A0">
        <w:rPr>
          <w:rFonts w:ascii="Times New Roman" w:eastAsia="Times New Roman" w:hAnsi="Times New Roman"/>
          <w:szCs w:val="21"/>
        </w:rPr>
        <w:t>, Sayaka</w:t>
      </w:r>
      <w:r w:rsidRPr="00ED06A0">
        <w:rPr>
          <w:rFonts w:ascii="Times New Roman" w:eastAsia="Times New Roman" w:hAnsi="Times New Roman"/>
          <w:color w:val="000000" w:themeColor="text1"/>
          <w:szCs w:val="21"/>
        </w:rPr>
        <w:t xml:space="preserve"> Urano</w:t>
      </w:r>
      <w:r>
        <w:rPr>
          <w:rFonts w:ascii="Times New Roman" w:eastAsia="Times New Roman" w:hAnsi="Times New Roman"/>
          <w:szCs w:val="21"/>
          <w:vertAlign w:val="superscript"/>
        </w:rPr>
        <w:t>3</w:t>
      </w:r>
      <w:r w:rsidRPr="00ED06A0">
        <w:rPr>
          <w:rFonts w:ascii="Times New Roman" w:eastAsia="Times New Roman" w:hAnsi="Times New Roman"/>
          <w:szCs w:val="21"/>
        </w:rPr>
        <w:t>, Masayuki Nagahashi</w:t>
      </w:r>
      <w:r>
        <w:rPr>
          <w:rFonts w:ascii="Times New Roman" w:eastAsia="Times New Roman" w:hAnsi="Times New Roman"/>
          <w:szCs w:val="21"/>
          <w:vertAlign w:val="superscript"/>
        </w:rPr>
        <w:t>3</w:t>
      </w:r>
      <w:r w:rsidRPr="00ED06A0">
        <w:rPr>
          <w:rFonts w:ascii="Times New Roman" w:eastAsia="Times New Roman" w:hAnsi="Times New Roman"/>
          <w:szCs w:val="21"/>
        </w:rPr>
        <w:t>, Seiichi Hirota</w:t>
      </w:r>
      <w:r w:rsidRPr="00ED06A0">
        <w:rPr>
          <w:rFonts w:ascii="Times New Roman" w:eastAsia="Times New Roman" w:hAnsi="Times New Roman"/>
          <w:szCs w:val="21"/>
          <w:vertAlign w:val="superscript"/>
        </w:rPr>
        <w:t>1</w:t>
      </w:r>
      <w:r w:rsidRPr="00ED06A0">
        <w:rPr>
          <w:rFonts w:ascii="Times New Roman" w:eastAsia="Times New Roman" w:hAnsi="Times New Roman"/>
          <w:szCs w:val="21"/>
        </w:rPr>
        <w:t xml:space="preserve"> and Yasuo Miyoshi</w:t>
      </w:r>
      <w:r>
        <w:rPr>
          <w:rFonts w:ascii="Times New Roman" w:eastAsia="Times New Roman" w:hAnsi="Times New Roman"/>
          <w:szCs w:val="21"/>
          <w:vertAlign w:val="superscript"/>
        </w:rPr>
        <w:t>3</w:t>
      </w:r>
    </w:p>
    <w:p w14:paraId="29E56FEC" w14:textId="77777777" w:rsidR="00735769" w:rsidRDefault="00735769" w:rsidP="0018723A">
      <w:pPr>
        <w:spacing w:line="360" w:lineRule="auto"/>
        <w:rPr>
          <w:rFonts w:ascii="Times New Roman" w:eastAsia="Times New Roman" w:hAnsi="Times New Roman"/>
          <w:szCs w:val="21"/>
        </w:rPr>
      </w:pPr>
    </w:p>
    <w:p w14:paraId="62036A21" w14:textId="77777777" w:rsidR="00735769" w:rsidRPr="00121F5E" w:rsidRDefault="00327BCA" w:rsidP="0018723A">
      <w:pPr>
        <w:spacing w:line="360" w:lineRule="auto"/>
        <w:rPr>
          <w:rFonts w:ascii="Times New Roman" w:eastAsia="Times New Roman" w:hAnsi="Times New Roman"/>
          <w:szCs w:val="21"/>
        </w:rPr>
      </w:pPr>
      <w:r w:rsidRPr="00121F5E">
        <w:rPr>
          <w:rFonts w:ascii="Times New Roman" w:eastAsia="Times New Roman" w:hAnsi="Times New Roman"/>
          <w:szCs w:val="21"/>
          <w:vertAlign w:val="superscript"/>
        </w:rPr>
        <w:t xml:space="preserve">1 </w:t>
      </w:r>
      <w:r w:rsidRPr="00121F5E">
        <w:rPr>
          <w:rFonts w:ascii="Times New Roman" w:eastAsia="Times New Roman" w:hAnsi="Times New Roman"/>
          <w:szCs w:val="21"/>
        </w:rPr>
        <w:t>Department of Surgical Pathology, School of Medicine, Hyogo Medical University, Nishinomiya City, Hyogo, Japan</w:t>
      </w:r>
    </w:p>
    <w:p w14:paraId="380B5313" w14:textId="77777777" w:rsidR="00735769" w:rsidRPr="00ED06A0" w:rsidRDefault="00327BCA" w:rsidP="0018723A">
      <w:pPr>
        <w:spacing w:line="360" w:lineRule="auto"/>
        <w:rPr>
          <w:rFonts w:ascii="Times New Roman" w:eastAsia="游明朝" w:hAnsi="Times New Roman"/>
          <w:szCs w:val="21"/>
        </w:rPr>
      </w:pPr>
      <w:r>
        <w:rPr>
          <w:rFonts w:ascii="Times New Roman" w:eastAsia="Times New Roman" w:hAnsi="Times New Roman"/>
          <w:szCs w:val="21"/>
          <w:vertAlign w:val="superscript"/>
        </w:rPr>
        <w:t xml:space="preserve">2 </w:t>
      </w:r>
      <w:r w:rsidRPr="00ED06A0">
        <w:rPr>
          <w:rFonts w:ascii="Times New Roman" w:eastAsia="Times New Roman" w:hAnsi="Times New Roman"/>
          <w:szCs w:val="21"/>
        </w:rPr>
        <w:t>Department of Clinical Pathology, Chibune General Hospital,</w:t>
      </w:r>
      <w:r>
        <w:rPr>
          <w:rFonts w:ascii="Times New Roman" w:eastAsia="游明朝" w:hAnsi="Times New Roman" w:hint="eastAsia"/>
          <w:szCs w:val="21"/>
        </w:rPr>
        <w:t xml:space="preserve"> </w:t>
      </w:r>
      <w:r w:rsidRPr="00ED06A0">
        <w:rPr>
          <w:rFonts w:ascii="Times New Roman" w:eastAsia="Times New Roman" w:hAnsi="Times New Roman"/>
          <w:szCs w:val="21"/>
        </w:rPr>
        <w:t>Osaka, Japan</w:t>
      </w:r>
    </w:p>
    <w:p w14:paraId="257EC6A3" w14:textId="77777777" w:rsidR="00735769" w:rsidRPr="00121F5E" w:rsidRDefault="00327BCA" w:rsidP="0018723A">
      <w:pPr>
        <w:spacing w:line="360" w:lineRule="auto"/>
        <w:rPr>
          <w:rFonts w:ascii="Times New Roman" w:eastAsia="游明朝" w:hAnsi="Times New Roman"/>
          <w:szCs w:val="21"/>
        </w:rPr>
      </w:pPr>
      <w:r>
        <w:rPr>
          <w:rFonts w:ascii="Times New Roman" w:eastAsia="Times New Roman" w:hAnsi="Times New Roman"/>
          <w:szCs w:val="21"/>
          <w:vertAlign w:val="superscript"/>
        </w:rPr>
        <w:t>3</w:t>
      </w:r>
      <w:r w:rsidRPr="00121F5E">
        <w:rPr>
          <w:rFonts w:ascii="Times New Roman" w:eastAsia="Times New Roman" w:hAnsi="Times New Roman"/>
          <w:szCs w:val="21"/>
          <w:vertAlign w:val="superscript"/>
        </w:rPr>
        <w:t xml:space="preserve"> </w:t>
      </w:r>
      <w:r w:rsidRPr="00121F5E">
        <w:rPr>
          <w:rFonts w:ascii="Times New Roman" w:eastAsia="Times New Roman" w:hAnsi="Times New Roman"/>
          <w:szCs w:val="21"/>
        </w:rPr>
        <w:t>Department of Surgery, Division of Breast and Endocrine Surgery, School of Medicine, Hyogo Medical University, Nishinomiya City, Hyogo, Japan</w:t>
      </w:r>
    </w:p>
    <w:p w14:paraId="0B9720AD" w14:textId="77777777" w:rsidR="00735769" w:rsidRPr="00121F5E" w:rsidRDefault="00735769" w:rsidP="0018723A">
      <w:pPr>
        <w:spacing w:line="360" w:lineRule="auto"/>
        <w:rPr>
          <w:rFonts w:ascii="Times New Roman" w:eastAsia="Times New Roman" w:hAnsi="Times New Roman"/>
          <w:szCs w:val="21"/>
          <w:vertAlign w:val="superscript"/>
        </w:rPr>
      </w:pPr>
    </w:p>
    <w:p w14:paraId="3FCD4EEF" w14:textId="77777777" w:rsidR="00735769" w:rsidRPr="00121F5E" w:rsidRDefault="00735769" w:rsidP="0018723A">
      <w:pPr>
        <w:spacing w:line="360" w:lineRule="auto"/>
        <w:rPr>
          <w:rFonts w:ascii="Times New Roman" w:eastAsia="Times New Roman" w:hAnsi="Times New Roman"/>
          <w:szCs w:val="21"/>
          <w:vertAlign w:val="superscript"/>
        </w:rPr>
      </w:pPr>
    </w:p>
    <w:p w14:paraId="425A089B" w14:textId="77777777" w:rsidR="00735769" w:rsidRPr="00121F5E" w:rsidRDefault="00327BCA" w:rsidP="0018723A">
      <w:pPr>
        <w:spacing w:line="360" w:lineRule="auto"/>
        <w:rPr>
          <w:rFonts w:ascii="Times New Roman" w:eastAsia="Times New Roman" w:hAnsi="Times New Roman"/>
          <w:szCs w:val="21"/>
        </w:rPr>
      </w:pPr>
      <w:r w:rsidRPr="00121F5E">
        <w:rPr>
          <w:rFonts w:ascii="Times New Roman" w:eastAsia="Times New Roman" w:hAnsi="Times New Roman"/>
          <w:b/>
          <w:szCs w:val="21"/>
        </w:rPr>
        <w:t>Correspondence to:</w:t>
      </w:r>
      <w:r w:rsidRPr="00121F5E">
        <w:rPr>
          <w:rFonts w:ascii="Times New Roman" w:eastAsia="Times New Roman" w:hAnsi="Times New Roman"/>
          <w:szCs w:val="21"/>
        </w:rPr>
        <w:t xml:space="preserve"> Yasuo Miyoshi</w:t>
      </w:r>
    </w:p>
    <w:p w14:paraId="1308FDB9" w14:textId="77777777" w:rsidR="00735769" w:rsidRPr="00121F5E" w:rsidRDefault="00327BCA" w:rsidP="0018723A">
      <w:pPr>
        <w:spacing w:line="360" w:lineRule="auto"/>
        <w:rPr>
          <w:rFonts w:ascii="Times New Roman" w:eastAsia="Times New Roman" w:hAnsi="Times New Roman"/>
          <w:szCs w:val="21"/>
        </w:rPr>
      </w:pPr>
      <w:r w:rsidRPr="00121F5E">
        <w:rPr>
          <w:rFonts w:ascii="Times New Roman" w:eastAsia="Times New Roman" w:hAnsi="Times New Roman"/>
          <w:szCs w:val="21"/>
        </w:rPr>
        <w:t>Department of Surgery, Division of Breast and Endocrine Surgery, School of Medicine, Hyogo Medical University, Mukogawa-cho 1-1, Nishinomiya City, Hyogo 663-8501, Japan.</w:t>
      </w:r>
    </w:p>
    <w:p w14:paraId="5AFA6CC2" w14:textId="77777777" w:rsidR="00735769" w:rsidRPr="00121F5E" w:rsidRDefault="00327BCA" w:rsidP="0018723A">
      <w:pPr>
        <w:spacing w:line="360" w:lineRule="auto"/>
        <w:rPr>
          <w:rFonts w:ascii="Times New Roman" w:eastAsia="Times New Roman" w:hAnsi="Times New Roman"/>
          <w:szCs w:val="21"/>
        </w:rPr>
      </w:pPr>
      <w:r w:rsidRPr="00121F5E">
        <w:rPr>
          <w:rFonts w:ascii="Times New Roman" w:eastAsia="Times New Roman" w:hAnsi="Times New Roman"/>
          <w:szCs w:val="21"/>
        </w:rPr>
        <w:t xml:space="preserve">Tel: +81 798456374. Fax: +81 798456252, e-mail: </w:t>
      </w:r>
      <w:hyperlink r:id="rId6" w:history="1">
        <w:r w:rsidRPr="00121F5E">
          <w:rPr>
            <w:rFonts w:ascii="Times New Roman" w:eastAsia="Times New Roman" w:hAnsi="Times New Roman"/>
            <w:szCs w:val="21"/>
          </w:rPr>
          <w:t>ymiyoshi@hyo-med.ac.jp</w:t>
        </w:r>
      </w:hyperlink>
    </w:p>
    <w:p w14:paraId="542B446A" w14:textId="77777777" w:rsidR="00D00286" w:rsidRDefault="00D00286" w:rsidP="00327BCA">
      <w:pPr>
        <w:spacing w:line="360" w:lineRule="auto"/>
      </w:pPr>
    </w:p>
    <w:p w14:paraId="1AEC6C9A" w14:textId="77777777" w:rsidR="00735769" w:rsidRDefault="00735769" w:rsidP="00327BCA">
      <w:pPr>
        <w:spacing w:line="360" w:lineRule="auto"/>
      </w:pPr>
    </w:p>
    <w:p w14:paraId="7B0F1E78" w14:textId="77777777" w:rsidR="00735769" w:rsidRDefault="00735769" w:rsidP="00327BCA">
      <w:pPr>
        <w:spacing w:line="360" w:lineRule="auto"/>
      </w:pPr>
    </w:p>
    <w:p w14:paraId="0E10C939" w14:textId="77777777" w:rsidR="00735769" w:rsidRDefault="00735769" w:rsidP="00327BCA">
      <w:pPr>
        <w:spacing w:line="360" w:lineRule="auto"/>
      </w:pPr>
    </w:p>
    <w:p w14:paraId="35044B47" w14:textId="77777777" w:rsidR="00735769" w:rsidRDefault="00735769" w:rsidP="00327BCA">
      <w:pPr>
        <w:spacing w:line="360" w:lineRule="auto"/>
      </w:pPr>
    </w:p>
    <w:p w14:paraId="00C8A5C8" w14:textId="77777777" w:rsidR="00735769" w:rsidRDefault="00735769" w:rsidP="00327BCA">
      <w:pPr>
        <w:spacing w:line="360" w:lineRule="auto"/>
      </w:pPr>
    </w:p>
    <w:p w14:paraId="2C8CABF8" w14:textId="77777777" w:rsidR="00735769" w:rsidRDefault="00735769" w:rsidP="00327BCA">
      <w:pPr>
        <w:spacing w:line="360" w:lineRule="auto"/>
      </w:pPr>
    </w:p>
    <w:p w14:paraId="2BAE196B" w14:textId="77777777" w:rsidR="00735769" w:rsidRDefault="00735769" w:rsidP="00327BCA">
      <w:pPr>
        <w:spacing w:line="360" w:lineRule="auto"/>
      </w:pPr>
    </w:p>
    <w:p w14:paraId="5111F86C" w14:textId="77777777" w:rsidR="00735769" w:rsidRDefault="00735769" w:rsidP="00327BCA">
      <w:pPr>
        <w:spacing w:line="360" w:lineRule="auto"/>
      </w:pPr>
    </w:p>
    <w:p w14:paraId="39742190" w14:textId="77777777" w:rsidR="00735769" w:rsidRDefault="00735769" w:rsidP="00327BCA">
      <w:pPr>
        <w:spacing w:line="360" w:lineRule="auto"/>
      </w:pPr>
    </w:p>
    <w:p w14:paraId="373856B2" w14:textId="77777777" w:rsidR="00735769" w:rsidRDefault="00735769" w:rsidP="00327BCA">
      <w:pPr>
        <w:spacing w:line="360" w:lineRule="auto"/>
      </w:pPr>
    </w:p>
    <w:p w14:paraId="0762CC26" w14:textId="77777777" w:rsidR="00735769" w:rsidRDefault="00735769" w:rsidP="00327BCA">
      <w:pPr>
        <w:spacing w:line="360" w:lineRule="auto"/>
      </w:pPr>
    </w:p>
    <w:p w14:paraId="743E8D57" w14:textId="77777777" w:rsidR="00735769" w:rsidRDefault="00735769" w:rsidP="00327BCA">
      <w:pPr>
        <w:spacing w:line="360" w:lineRule="auto"/>
      </w:pPr>
    </w:p>
    <w:p w14:paraId="1EC14402" w14:textId="77777777" w:rsidR="00735769" w:rsidRDefault="00735769" w:rsidP="00327BCA">
      <w:pPr>
        <w:spacing w:line="360" w:lineRule="auto"/>
      </w:pPr>
    </w:p>
    <w:p w14:paraId="775ACEE0" w14:textId="77777777" w:rsidR="00735769" w:rsidRDefault="00735769" w:rsidP="00327BCA">
      <w:pPr>
        <w:spacing w:line="360" w:lineRule="auto"/>
      </w:pPr>
    </w:p>
    <w:p w14:paraId="71BF5285" w14:textId="77777777" w:rsidR="00735769" w:rsidRDefault="00735769" w:rsidP="00327BCA">
      <w:pPr>
        <w:spacing w:line="360" w:lineRule="auto"/>
      </w:pPr>
    </w:p>
    <w:p w14:paraId="53CDAEED" w14:textId="77777777" w:rsidR="00735769" w:rsidRDefault="00735769" w:rsidP="00327BCA">
      <w:pPr>
        <w:spacing w:line="360" w:lineRule="auto"/>
      </w:pPr>
    </w:p>
    <w:p w14:paraId="14BCA89F" w14:textId="77777777" w:rsidR="00735769" w:rsidRDefault="00735769" w:rsidP="00327BCA">
      <w:pPr>
        <w:spacing w:line="360" w:lineRule="auto"/>
      </w:pPr>
    </w:p>
    <w:p w14:paraId="580E0E90" w14:textId="77777777" w:rsidR="00735769" w:rsidRDefault="00735769" w:rsidP="00327BCA">
      <w:pPr>
        <w:spacing w:line="360" w:lineRule="auto"/>
      </w:pPr>
    </w:p>
    <w:p w14:paraId="4AE230C8" w14:textId="72846FED" w:rsidR="0018723A" w:rsidRDefault="0018723A" w:rsidP="0018723A">
      <w:pPr>
        <w:widowControl/>
        <w:spacing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S</w:t>
      </w:r>
      <w:r>
        <w:rPr>
          <w:rFonts w:ascii="Times New Roman" w:hAnsi="Times New Roman"/>
        </w:rPr>
        <w:t>upplementary Information S1</w:t>
      </w:r>
    </w:p>
    <w:p w14:paraId="2E518414" w14:textId="459211CD" w:rsidR="0018723A" w:rsidRDefault="00E41080" w:rsidP="0018723A">
      <w:pPr>
        <w:widowControl/>
        <w:spacing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Neoadjuvant chemotherapy (</w:t>
      </w:r>
      <w:r w:rsidR="0018723A" w:rsidRPr="00327BCA">
        <w:rPr>
          <w:rFonts w:ascii="Times New Roman" w:hAnsi="Times New Roman"/>
        </w:rPr>
        <w:t>NAC</w:t>
      </w:r>
      <w:r>
        <w:rPr>
          <w:rFonts w:ascii="Times New Roman" w:hAnsi="Times New Roman"/>
        </w:rPr>
        <w:t>)</w:t>
      </w:r>
      <w:r w:rsidR="0018723A" w:rsidRPr="00327BCA">
        <w:rPr>
          <w:rFonts w:ascii="Times New Roman" w:hAnsi="Times New Roman"/>
        </w:rPr>
        <w:t xml:space="preserve"> involved sequential administration of taxane and anthracycline (n=11), taxane (n=3), and others (n=2). The duration of NAC ranged from 1 month to </w:t>
      </w:r>
      <w:r w:rsidR="0018723A">
        <w:rPr>
          <w:rFonts w:ascii="Times New Roman" w:hAnsi="Times New Roman"/>
        </w:rPr>
        <w:t>45</w:t>
      </w:r>
      <w:r w:rsidR="0018723A" w:rsidRPr="00327BCA">
        <w:rPr>
          <w:rFonts w:ascii="Times New Roman" w:hAnsi="Times New Roman"/>
        </w:rPr>
        <w:t xml:space="preserve"> months (median, 6 months), and trastuzumab plus pertuzumab was combined with chemotherapy in three cases. Maintenance therapy with trastuzumab and pertuzumab after combination therapy with chemotherapy was applied to the patient treated for </w:t>
      </w:r>
      <w:r>
        <w:rPr>
          <w:rFonts w:ascii="Times New Roman" w:hAnsi="Times New Roman"/>
        </w:rPr>
        <w:t>45</w:t>
      </w:r>
      <w:r w:rsidR="0018723A" w:rsidRPr="00327BCA">
        <w:rPr>
          <w:rFonts w:ascii="Times New Roman" w:hAnsi="Times New Roman"/>
        </w:rPr>
        <w:t xml:space="preserve"> months. Aromatase inhibitors (n=7), ovarian function suppression plus tamoxifen (n=2), and fulvestrant (n=1) were administered for 1–10 months (median, 2 months) as </w:t>
      </w:r>
      <w:r>
        <w:rPr>
          <w:rFonts w:ascii="Times New Roman" w:hAnsi="Times New Roman"/>
        </w:rPr>
        <w:t>neoadjuvant endocrine therapy (</w:t>
      </w:r>
      <w:r w:rsidR="0018723A" w:rsidRPr="00327BCA">
        <w:rPr>
          <w:rFonts w:ascii="Times New Roman" w:hAnsi="Times New Roman"/>
        </w:rPr>
        <w:t>NET</w:t>
      </w:r>
      <w:r>
        <w:rPr>
          <w:rFonts w:ascii="Times New Roman" w:hAnsi="Times New Roman"/>
        </w:rPr>
        <w:t>)</w:t>
      </w:r>
      <w:r w:rsidR="0018723A" w:rsidRPr="00327BCA">
        <w:rPr>
          <w:rFonts w:ascii="Times New Roman" w:hAnsi="Times New Roman"/>
        </w:rPr>
        <w:t>.</w:t>
      </w:r>
    </w:p>
    <w:p w14:paraId="6192575F" w14:textId="462EBDDD" w:rsidR="001072F3" w:rsidRDefault="001072F3" w:rsidP="0018723A">
      <w:pPr>
        <w:widowControl/>
        <w:spacing w:after="160" w:line="360" w:lineRule="auto"/>
        <w:jc w:val="left"/>
        <w:rPr>
          <w:rFonts w:ascii="Times New Roman" w:hAnsi="Times New Roman"/>
        </w:rPr>
      </w:pPr>
    </w:p>
    <w:p w14:paraId="0A36A5C6" w14:textId="5CDD93DD" w:rsidR="001072F3" w:rsidRDefault="001072F3" w:rsidP="0018723A">
      <w:pPr>
        <w:widowControl/>
        <w:spacing w:after="160" w:line="360" w:lineRule="auto"/>
        <w:jc w:val="left"/>
      </w:pPr>
      <w:r>
        <w:t>Supplementary Information S2</w:t>
      </w:r>
    </w:p>
    <w:p w14:paraId="3B7E5FB9" w14:textId="0A676EF8" w:rsidR="001072F3" w:rsidRDefault="001072F3" w:rsidP="0018723A">
      <w:pPr>
        <w:widowControl/>
        <w:spacing w:after="160" w:line="360" w:lineRule="auto"/>
        <w:jc w:val="left"/>
        <w:rPr>
          <w:rFonts w:ascii="Cambria" w:hAnsi="Cambria"/>
          <w:color w:val="212121"/>
          <w:highlight w:val="yellow"/>
          <w:shd w:val="clear" w:color="auto" w:fill="FFFCF0"/>
        </w:rPr>
      </w:pPr>
      <w:r w:rsidRPr="00262FD4">
        <w:rPr>
          <w:rFonts w:ascii="Times New Roman" w:eastAsia="Times New Roman" w:hAnsi="Times New Roman"/>
          <w:color w:val="000000" w:themeColor="text1"/>
          <w:szCs w:val="21"/>
        </w:rPr>
        <w:t>In the hotspot</w:t>
      </w:r>
      <w:r>
        <w:rPr>
          <w:rFonts w:ascii="Times New Roman" w:eastAsia="Times New Roman" w:hAnsi="Times New Roman"/>
          <w:color w:val="000000" w:themeColor="text1"/>
          <w:szCs w:val="21"/>
        </w:rPr>
        <w:t xml:space="preserve"> method, </w:t>
      </w:r>
      <w:r w:rsidRPr="00262FD4">
        <w:rPr>
          <w:rFonts w:ascii="Times New Roman" w:eastAsia="Times New Roman" w:hAnsi="Times New Roman"/>
          <w:color w:val="000000" w:themeColor="text1"/>
          <w:szCs w:val="21"/>
        </w:rPr>
        <w:t xml:space="preserve">we microscopically identified lesions containing lymphocyte infiltration using a low-power field (×40) and a medium-power field (×100), </w:t>
      </w:r>
      <w:r>
        <w:rPr>
          <w:rFonts w:ascii="Times New Roman" w:eastAsia="Times New Roman" w:hAnsi="Times New Roman"/>
          <w:color w:val="000000"/>
          <w:szCs w:val="21"/>
        </w:rPr>
        <w:t xml:space="preserve">and the area with </w:t>
      </w:r>
      <w:r w:rsidRPr="00262FD4">
        <w:rPr>
          <w:rFonts w:ascii="Times New Roman" w:eastAsia="Times New Roman" w:hAnsi="Times New Roman"/>
          <w:color w:val="000000" w:themeColor="text1"/>
          <w:szCs w:val="21"/>
        </w:rPr>
        <w:t>the highest lymphocyte infiltration was selected</w:t>
      </w:r>
      <w:r>
        <w:rPr>
          <w:rFonts w:ascii="Times New Roman" w:eastAsia="Times New Roman" w:hAnsi="Times New Roman"/>
          <w:color w:val="000000" w:themeColor="text1"/>
          <w:szCs w:val="21"/>
        </w:rPr>
        <w:t xml:space="preserve"> for counting</w:t>
      </w:r>
      <w:r w:rsidRPr="00262FD4">
        <w:rPr>
          <w:rFonts w:ascii="Times New Roman" w:eastAsia="Times New Roman" w:hAnsi="Times New Roman"/>
          <w:color w:val="000000" w:themeColor="text1"/>
          <w:szCs w:val="21"/>
        </w:rPr>
        <w:t>. Lymphocytes and plasma cells were selected; however, neutrophils, eosinophils, and macrophages were excluded in the peri- and intra</w:t>
      </w:r>
      <w:r>
        <w:rPr>
          <w:rFonts w:ascii="Times New Roman" w:eastAsia="Times New Roman" w:hAnsi="Times New Roman"/>
          <w:color w:val="000000" w:themeColor="text1"/>
          <w:szCs w:val="21"/>
        </w:rPr>
        <w:t>-</w:t>
      </w:r>
      <w:r w:rsidRPr="00262FD4">
        <w:rPr>
          <w:rFonts w:ascii="Times New Roman" w:eastAsia="Times New Roman" w:hAnsi="Times New Roman"/>
          <w:color w:val="000000" w:themeColor="text1"/>
          <w:szCs w:val="21"/>
        </w:rPr>
        <w:t>tumoral stromal regions. TIL levels were identified as the percentage of areas containing lymphocytes and plasma cells in the entire tumor and adjacent stroma</w:t>
      </w:r>
      <w:r>
        <w:rPr>
          <w:rFonts w:ascii="Times New Roman" w:eastAsia="Times New Roman" w:hAnsi="Times New Roman"/>
          <w:color w:val="000000"/>
          <w:szCs w:val="21"/>
        </w:rPr>
        <w:t xml:space="preserve">, following </w:t>
      </w:r>
      <w:r w:rsidRPr="00262FD4">
        <w:rPr>
          <w:rFonts w:ascii="Times New Roman" w:eastAsia="Times New Roman" w:hAnsi="Times New Roman"/>
          <w:color w:val="000000" w:themeColor="text1"/>
          <w:szCs w:val="21"/>
        </w:rPr>
        <w:t>a previously described method [13]</w:t>
      </w:r>
      <w:r>
        <w:rPr>
          <w:rFonts w:ascii="Times New Roman" w:eastAsia="Times New Roman" w:hAnsi="Times New Roman"/>
          <w:color w:val="000000" w:themeColor="text1"/>
          <w:szCs w:val="21"/>
        </w:rPr>
        <w:t xml:space="preserve">. In the average method, </w:t>
      </w:r>
      <w:r w:rsidR="00265E31">
        <w:rPr>
          <w:rFonts w:ascii="Times New Roman" w:eastAsia="Times New Roman" w:hAnsi="Times New Roman"/>
          <w:color w:val="000000" w:themeColor="text1"/>
          <w:szCs w:val="21"/>
        </w:rPr>
        <w:t xml:space="preserve">TIL levels were evaluated using the </w:t>
      </w:r>
      <w:r w:rsidR="00265E31" w:rsidRPr="00262FD4">
        <w:rPr>
          <w:rFonts w:ascii="Times New Roman" w:eastAsia="Times New Roman" w:hAnsi="Times New Roman"/>
          <w:color w:val="000000" w:themeColor="text1"/>
          <w:szCs w:val="21"/>
        </w:rPr>
        <w:t>International TILs Working Group 2014</w:t>
      </w:r>
      <w:r w:rsidR="00265E31">
        <w:rPr>
          <w:rFonts w:ascii="Times New Roman" w:eastAsia="Times New Roman" w:hAnsi="Times New Roman"/>
          <w:color w:val="000000" w:themeColor="text1"/>
          <w:szCs w:val="21"/>
        </w:rPr>
        <w:t xml:space="preserve"> [14]. </w:t>
      </w:r>
      <w:r w:rsidR="00265E31" w:rsidRPr="00327BCA">
        <w:rPr>
          <w:rFonts w:ascii="Times New Roman" w:eastAsia="Times New Roman" w:hAnsi="Times New Roman"/>
          <w:color w:val="000000" w:themeColor="text1"/>
          <w:szCs w:val="21"/>
        </w:rPr>
        <w:t xml:space="preserve">Briefly, we determined </w:t>
      </w:r>
      <w:r w:rsidR="00265E31" w:rsidRPr="00327BCA">
        <w:rPr>
          <w:rFonts w:ascii="Times New Roman" w:eastAsia="Times New Roman" w:hAnsi="Times New Roman"/>
          <w:color w:val="000000"/>
          <w:szCs w:val="21"/>
        </w:rPr>
        <w:t xml:space="preserve">the area occupied by </w:t>
      </w:r>
      <w:r w:rsidR="00265E31" w:rsidRPr="00327BCA">
        <w:rPr>
          <w:rFonts w:ascii="Cambria" w:hAnsi="Cambria"/>
          <w:color w:val="212121"/>
          <w:shd w:val="clear" w:color="auto" w:fill="FFFCF0"/>
        </w:rPr>
        <w:t xml:space="preserve">mononuclear inflammatory cells over </w:t>
      </w:r>
      <w:r w:rsidR="00265E31" w:rsidRPr="00327BCA">
        <w:rPr>
          <w:rFonts w:ascii="Cambria" w:hAnsi="Cambria"/>
          <w:color w:val="212121"/>
        </w:rPr>
        <w:t>the total intra</w:t>
      </w:r>
      <w:r w:rsidR="00265E31" w:rsidRPr="00327BCA">
        <w:rPr>
          <w:rFonts w:ascii="Cambria" w:hAnsi="Cambria"/>
          <w:color w:val="212121"/>
          <w:shd w:val="clear" w:color="auto" w:fill="FFFCF0"/>
        </w:rPr>
        <w:t xml:space="preserve">tumoral stromal area and obtained </w:t>
      </w:r>
      <w:r w:rsidR="00265E31" w:rsidRPr="00327BCA">
        <w:rPr>
          <w:rFonts w:ascii="Cambria" w:hAnsi="Cambria"/>
          <w:color w:val="212121"/>
        </w:rPr>
        <w:t xml:space="preserve">the percentage of </w:t>
      </w:r>
      <w:r w:rsidR="00265E31" w:rsidRPr="00327BCA">
        <w:rPr>
          <w:rFonts w:ascii="Cambria" w:hAnsi="Cambria"/>
          <w:color w:val="212121"/>
          <w:shd w:val="clear" w:color="auto" w:fill="FFFCF0"/>
        </w:rPr>
        <w:t>the full assessment of the tumor area as the average TILs.</w:t>
      </w:r>
    </w:p>
    <w:p w14:paraId="3D18E122" w14:textId="7E81A24D" w:rsidR="00265E31" w:rsidRDefault="00265E31" w:rsidP="0018723A">
      <w:pPr>
        <w:widowControl/>
        <w:spacing w:after="160" w:line="360" w:lineRule="auto"/>
        <w:jc w:val="left"/>
        <w:rPr>
          <w:rFonts w:ascii="Times New Roman" w:hAnsi="Times New Roman"/>
        </w:rPr>
      </w:pPr>
    </w:p>
    <w:p w14:paraId="3B429133" w14:textId="77777777" w:rsidR="00265E31" w:rsidRPr="00327BCA" w:rsidRDefault="00265E31" w:rsidP="0018723A">
      <w:pPr>
        <w:widowControl/>
        <w:spacing w:after="160" w:line="360" w:lineRule="auto"/>
        <w:jc w:val="left"/>
      </w:pPr>
      <w:r w:rsidRPr="00327BCA">
        <w:t>Supplementary Information S3</w:t>
      </w:r>
    </w:p>
    <w:p w14:paraId="4E3C52B7" w14:textId="43EE8FD6" w:rsidR="00265E31" w:rsidRPr="00327BCA" w:rsidRDefault="00265E31" w:rsidP="00327BCA">
      <w:pPr>
        <w:widowControl/>
        <w:spacing w:after="160" w:line="360" w:lineRule="auto"/>
        <w:jc w:val="left"/>
        <w:rPr>
          <w:rFonts w:ascii="Times New Roman" w:hAnsi="Times New Roman"/>
        </w:rPr>
      </w:pPr>
      <w:r w:rsidRPr="00327BCA">
        <w:rPr>
          <w:rFonts w:ascii="Times New Roman" w:eastAsia="游明朝" w:hAnsi="Times New Roman"/>
          <w:szCs w:val="21"/>
        </w:rPr>
        <w:t>The Bio-Plex Pro Human Cytokine GI 27-plex Panel measures cytokines (</w:t>
      </w:r>
      <w:r w:rsidR="00E41080">
        <w:rPr>
          <w:rFonts w:ascii="Times New Roman" w:eastAsia="游明朝" w:hAnsi="Times New Roman"/>
          <w:szCs w:val="21"/>
        </w:rPr>
        <w:t>interleukin (</w:t>
      </w:r>
      <w:r w:rsidRPr="00327BCA">
        <w:rPr>
          <w:rFonts w:ascii="Times New Roman" w:eastAsia="游明朝" w:hAnsi="Times New Roman"/>
          <w:szCs w:val="21"/>
        </w:rPr>
        <w:t>IL</w:t>
      </w:r>
      <w:r w:rsidR="00E41080">
        <w:rPr>
          <w:rFonts w:ascii="Times New Roman" w:eastAsia="游明朝" w:hAnsi="Times New Roman"/>
          <w:szCs w:val="21"/>
        </w:rPr>
        <w:t>)</w:t>
      </w:r>
      <w:r w:rsidRPr="00327BCA">
        <w:rPr>
          <w:rFonts w:ascii="Times New Roman" w:eastAsia="游明朝" w:hAnsi="Times New Roman"/>
          <w:szCs w:val="21"/>
        </w:rPr>
        <w:t xml:space="preserve">-1β, IL-1 receptor antagonist (IL-1ra), IL-2, IL-4, IL-5, IL-6, IL-7, IL-8, IL-9, IL-10, IL-12 (p70), IL-13, IL-15, IL-17, </w:t>
      </w:r>
      <w:r w:rsidR="00E41080">
        <w:rPr>
          <w:rFonts w:ascii="Times New Roman" w:eastAsia="游明朝" w:hAnsi="Times New Roman"/>
          <w:szCs w:val="21"/>
        </w:rPr>
        <w:t>interferon (</w:t>
      </w:r>
      <w:r w:rsidRPr="00327BCA">
        <w:rPr>
          <w:rFonts w:ascii="Times New Roman" w:eastAsia="游明朝" w:hAnsi="Times New Roman"/>
          <w:szCs w:val="21"/>
        </w:rPr>
        <w:t>IFN</w:t>
      </w:r>
      <w:r w:rsidR="00E41080">
        <w:rPr>
          <w:rFonts w:ascii="Times New Roman" w:eastAsia="游明朝" w:hAnsi="Times New Roman"/>
          <w:szCs w:val="21"/>
        </w:rPr>
        <w:t>)</w:t>
      </w:r>
      <w:r w:rsidRPr="00327BCA">
        <w:rPr>
          <w:rFonts w:ascii="Times New Roman" w:eastAsia="游明朝" w:hAnsi="Times New Roman"/>
          <w:szCs w:val="21"/>
        </w:rPr>
        <w:t>-</w:t>
      </w:r>
      <w:r w:rsidRPr="00327BCA">
        <w:rPr>
          <w:rFonts w:ascii="Symbol" w:eastAsia="游明朝" w:hAnsi="Symbol" w:hint="eastAsia"/>
          <w:szCs w:val="21"/>
        </w:rPr>
        <w:sym w:font="Symbol" w:char="F067"/>
      </w:r>
      <w:r w:rsidRPr="00327BCA">
        <w:rPr>
          <w:rFonts w:ascii="Times New Roman" w:eastAsia="游明朝" w:hAnsi="Times New Roman"/>
          <w:szCs w:val="21"/>
        </w:rPr>
        <w:t>, and tumor necrosis factor alpha (TNF-a), chemokines (</w:t>
      </w:r>
      <w:r w:rsidR="0061495E">
        <w:rPr>
          <w:rFonts w:ascii="Times New Roman" w:eastAsia="游明朝" w:hAnsi="Times New Roman"/>
          <w:szCs w:val="21"/>
        </w:rPr>
        <w:t>c</w:t>
      </w:r>
      <w:r w:rsidR="0061495E" w:rsidRPr="000F63C8">
        <w:rPr>
          <w:rFonts w:ascii="Times New Roman" w:eastAsia="游明朝" w:hAnsi="Times New Roman"/>
          <w:szCs w:val="21"/>
        </w:rPr>
        <w:t>hem</w:t>
      </w:r>
      <w:r w:rsidR="0061495E">
        <w:rPr>
          <w:rFonts w:ascii="Times New Roman" w:eastAsia="游明朝" w:hAnsi="Times New Roman"/>
          <w:szCs w:val="21"/>
        </w:rPr>
        <w:t>okine C-C motif l</w:t>
      </w:r>
      <w:r w:rsidR="0061495E" w:rsidRPr="000F63C8">
        <w:rPr>
          <w:rFonts w:ascii="Times New Roman" w:eastAsia="游明朝" w:hAnsi="Times New Roman"/>
          <w:szCs w:val="21"/>
        </w:rPr>
        <w:t>igand</w:t>
      </w:r>
      <w:r w:rsidR="0061495E">
        <w:rPr>
          <w:rFonts w:ascii="Times New Roman" w:eastAsia="游明朝" w:hAnsi="Times New Roman"/>
          <w:szCs w:val="21"/>
        </w:rPr>
        <w:t xml:space="preserve"> 2 (</w:t>
      </w:r>
      <w:r w:rsidRPr="00327BCA">
        <w:rPr>
          <w:rFonts w:ascii="Times New Roman" w:eastAsia="游明朝" w:hAnsi="Times New Roman"/>
          <w:szCs w:val="21"/>
        </w:rPr>
        <w:t>CCL2</w:t>
      </w:r>
      <w:r w:rsidR="0061495E">
        <w:rPr>
          <w:rFonts w:ascii="Times New Roman" w:eastAsia="游明朝" w:hAnsi="Times New Roman"/>
          <w:szCs w:val="21"/>
        </w:rPr>
        <w:t>)</w:t>
      </w:r>
      <w:r w:rsidRPr="00327BCA">
        <w:rPr>
          <w:rFonts w:ascii="Times New Roman" w:eastAsia="游明朝" w:hAnsi="Times New Roman"/>
          <w:szCs w:val="21"/>
        </w:rPr>
        <w:t xml:space="preserve"> [monocyte chemotactic protein 1, MCP-1], CCL3 [macrophage inflammatory protein-1α, MIP-1a], CCL4 [MIP-1b], CCL5 [RANTES], </w:t>
      </w:r>
      <w:r w:rsidR="0061495E" w:rsidRPr="000F63C8">
        <w:rPr>
          <w:rFonts w:ascii="Times New Roman" w:eastAsia="游明朝" w:hAnsi="Times New Roman"/>
          <w:szCs w:val="21"/>
        </w:rPr>
        <w:t>C-X-C motif chemokine ligand</w:t>
      </w:r>
      <w:r w:rsidR="0061495E">
        <w:rPr>
          <w:rFonts w:ascii="Times New Roman" w:eastAsia="游明朝" w:hAnsi="Times New Roman"/>
          <w:szCs w:val="21"/>
        </w:rPr>
        <w:t xml:space="preserve"> 10 (</w:t>
      </w:r>
      <w:r w:rsidRPr="00327BCA">
        <w:rPr>
          <w:rFonts w:ascii="Times New Roman" w:eastAsia="游明朝" w:hAnsi="Times New Roman"/>
          <w:szCs w:val="21"/>
        </w:rPr>
        <w:t>CXCL10</w:t>
      </w:r>
      <w:r w:rsidR="0061495E">
        <w:rPr>
          <w:rFonts w:ascii="Times New Roman" w:eastAsia="游明朝" w:hAnsi="Times New Roman"/>
          <w:szCs w:val="21"/>
        </w:rPr>
        <w:t>)</w:t>
      </w:r>
      <w:r w:rsidRPr="00327BCA">
        <w:rPr>
          <w:rFonts w:ascii="Times New Roman" w:eastAsia="游明朝" w:hAnsi="Times New Roman"/>
          <w:szCs w:val="21"/>
        </w:rPr>
        <w:t xml:space="preserve"> [interferon gamma-induced protein 10, IP-10], and Eotaxin), and growth factors (fibroblast growth factor [FGF] basic, granulocyte colony stimulating factor [G-CSF], granulocyte macrophage colony stimulating factor [GM-CSF], homodimer of platelet-derived growth factor B</w:t>
      </w:r>
      <w:r w:rsidR="00CF08CB">
        <w:rPr>
          <w:rFonts w:ascii="Times New Roman" w:eastAsia="游明朝" w:hAnsi="Times New Roman"/>
          <w:szCs w:val="21"/>
        </w:rPr>
        <w:t xml:space="preserve"> homodimer</w:t>
      </w:r>
      <w:r w:rsidRPr="00327BCA">
        <w:rPr>
          <w:rFonts w:ascii="Times New Roman" w:eastAsia="游明朝" w:hAnsi="Times New Roman"/>
          <w:szCs w:val="21"/>
        </w:rPr>
        <w:t xml:space="preserve"> [PDGF-bb], and vascular endothelial growth factor [VEGF]).</w:t>
      </w:r>
      <w:r w:rsidRPr="00327BCA">
        <w:rPr>
          <w:rFonts w:ascii="Times New Roman" w:hAnsi="Times New Roman"/>
          <w:szCs w:val="21"/>
        </w:rPr>
        <w:t xml:space="preserve"> </w:t>
      </w:r>
      <w:r w:rsidRPr="00327BCA">
        <w:rPr>
          <w:rFonts w:ascii="Times New Roman" w:eastAsia="游明朝" w:hAnsi="Times New Roman"/>
          <w:szCs w:val="21"/>
        </w:rPr>
        <w:t>In this study, we successfully obtained data as for eotaxin, IL-1ra, IL-4, IL-8, IL-9, IL-12, IL-17, IP-10, MCP-1, MIP-1b, PDGF-bb, RANTES, and TNF-a. As the measured concentrations were below the lower limit of the detection range in more than three-quarters of the cases, data on other factors were excluded.</w:t>
      </w:r>
    </w:p>
    <w:p w14:paraId="48F30B9F" w14:textId="6E9E4973" w:rsidR="0018723A" w:rsidRPr="00327BCA" w:rsidRDefault="0018723A" w:rsidP="00327BCA">
      <w:pPr>
        <w:widowControl/>
        <w:spacing w:after="160" w:line="360" w:lineRule="auto"/>
        <w:jc w:val="left"/>
        <w:rPr>
          <w:rFonts w:ascii="Times New Roman" w:hAnsi="Times New Roman"/>
        </w:rPr>
      </w:pPr>
    </w:p>
    <w:p w14:paraId="199119B8" w14:textId="77777777" w:rsidR="00AA1BC2" w:rsidRDefault="00AA1BC2" w:rsidP="0018723A">
      <w:pPr>
        <w:spacing w:line="360" w:lineRule="auto"/>
        <w:rPr>
          <w:rFonts w:ascii="Times New Roman" w:eastAsia="游明朝" w:hAnsi="Times New Roman"/>
          <w:b/>
          <w:szCs w:val="21"/>
        </w:rPr>
      </w:pPr>
      <w:r w:rsidRPr="00AA1BC2">
        <w:rPr>
          <w:rFonts w:ascii="Times New Roman" w:eastAsia="游明朝" w:hAnsi="Times New Roman"/>
          <w:b/>
          <w:noProof/>
          <w:szCs w:val="21"/>
        </w:rPr>
        <w:drawing>
          <wp:inline distT="0" distB="0" distL="0" distR="0" wp14:anchorId="729818C7" wp14:editId="168478B1">
            <wp:extent cx="5943600" cy="3342231"/>
            <wp:effectExtent l="0" t="0" r="0" b="0"/>
            <wp:docPr id="4" name="図 4" descr="C:\Users\Miyoshi\Desktop\Supple Figures\Supple Fig.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yoshi\Desktop\Supple Figures\Supple Fig.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2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3BC9F" w14:textId="77777777" w:rsidR="00AA1BC2" w:rsidRDefault="00AA1BC2" w:rsidP="0018723A">
      <w:pPr>
        <w:spacing w:line="360" w:lineRule="auto"/>
        <w:rPr>
          <w:rFonts w:ascii="Times New Roman" w:eastAsia="游明朝" w:hAnsi="Times New Roman"/>
          <w:b/>
          <w:szCs w:val="21"/>
        </w:rPr>
      </w:pPr>
    </w:p>
    <w:p w14:paraId="0844BDF9" w14:textId="6E946356" w:rsidR="00735769" w:rsidRPr="00735769" w:rsidRDefault="00327BCA" w:rsidP="0018723A">
      <w:pPr>
        <w:spacing w:line="360" w:lineRule="auto"/>
        <w:rPr>
          <w:rFonts w:ascii="Times New Roman" w:eastAsia="Times New Roman" w:hAnsi="Times New Roman"/>
          <w:b/>
          <w:szCs w:val="21"/>
        </w:rPr>
      </w:pPr>
      <w:r w:rsidRPr="00327BCA">
        <w:rPr>
          <w:rFonts w:ascii="Times New Roman" w:eastAsia="游明朝" w:hAnsi="Times New Roman"/>
          <w:b/>
          <w:szCs w:val="21"/>
        </w:rPr>
        <w:t xml:space="preserve">Supplementary </w:t>
      </w:r>
      <w:r w:rsidR="00E41080">
        <w:rPr>
          <w:rFonts w:ascii="Times New Roman" w:eastAsia="游明朝" w:hAnsi="Times New Roman"/>
          <w:b/>
          <w:szCs w:val="21"/>
        </w:rPr>
        <w:t xml:space="preserve">Fig. </w:t>
      </w:r>
      <w:r w:rsidRPr="00327BCA">
        <w:rPr>
          <w:rFonts w:ascii="Times New Roman" w:eastAsia="游明朝" w:hAnsi="Times New Roman"/>
          <w:b/>
          <w:szCs w:val="21"/>
        </w:rPr>
        <w:t>1</w:t>
      </w:r>
    </w:p>
    <w:p w14:paraId="5038B09B" w14:textId="084D9132" w:rsidR="00735769" w:rsidRPr="002B6F04" w:rsidRDefault="00327BCA" w:rsidP="00265E31">
      <w:pPr>
        <w:spacing w:line="360" w:lineRule="auto"/>
        <w:rPr>
          <w:rFonts w:ascii="Times New Roman" w:eastAsia="游明朝" w:hAnsi="Times New Roman"/>
          <w:b/>
          <w:szCs w:val="21"/>
        </w:rPr>
      </w:pPr>
      <w:r>
        <w:rPr>
          <w:rFonts w:ascii="Times New Roman" w:eastAsia="游明朝" w:hAnsi="Times New Roman"/>
          <w:b/>
          <w:szCs w:val="21"/>
        </w:rPr>
        <w:t>Tumor-infiltrating lymphocyte levels in each breast cancer subtype</w:t>
      </w:r>
      <w:r w:rsidR="00EB39EF">
        <w:rPr>
          <w:rFonts w:ascii="Times New Roman" w:eastAsia="游明朝" w:hAnsi="Times New Roman"/>
          <w:b/>
          <w:szCs w:val="21"/>
        </w:rPr>
        <w:t>.</w:t>
      </w:r>
    </w:p>
    <w:p w14:paraId="76CC0C2A" w14:textId="55FED62B" w:rsidR="00735769" w:rsidRDefault="00327BCA" w:rsidP="00EB08BF">
      <w:pPr>
        <w:spacing w:line="360" w:lineRule="auto"/>
        <w:rPr>
          <w:rFonts w:ascii="Times New Roman" w:eastAsia="游明朝" w:hAnsi="Times New Roman"/>
          <w:szCs w:val="21"/>
        </w:rPr>
      </w:pPr>
      <w:r>
        <w:rPr>
          <w:rFonts w:ascii="Times New Roman" w:eastAsia="游明朝" w:hAnsi="Times New Roman" w:hint="eastAsia"/>
          <w:szCs w:val="21"/>
        </w:rPr>
        <w:t>T</w:t>
      </w:r>
      <w:r>
        <w:rPr>
          <w:rFonts w:ascii="Times New Roman" w:eastAsia="游明朝" w:hAnsi="Times New Roman"/>
          <w:szCs w:val="21"/>
        </w:rPr>
        <w:t>umor-infiltrating lymphocyte (TIL) levels evaluated hotspots or the average of the entire tumor area in each subtype.</w:t>
      </w:r>
      <w:r w:rsidR="00E41080">
        <w:rPr>
          <w:rFonts w:ascii="Times New Roman" w:eastAsia="游明朝" w:hAnsi="Times New Roman" w:hint="eastAsia"/>
          <w:szCs w:val="21"/>
        </w:rPr>
        <w:t xml:space="preserve"> </w:t>
      </w:r>
      <w:r>
        <w:rPr>
          <w:rFonts w:ascii="Times New Roman" w:eastAsia="游明朝" w:hAnsi="Times New Roman"/>
          <w:bCs/>
          <w:szCs w:val="21"/>
        </w:rPr>
        <w:t xml:space="preserve">Subtypes were classified as follows; </w:t>
      </w:r>
      <w:r w:rsidRPr="00436657">
        <w:rPr>
          <w:rFonts w:ascii="Times New Roman" w:eastAsia="游明朝" w:hAnsi="Times New Roman"/>
          <w:szCs w:val="21"/>
        </w:rPr>
        <w:t xml:space="preserve">Luminal A, estrogen receptor (ER)-positive/human epidermal growth factor 2 (HER2)-negative and Ki67 &lt;25%; Luminal B, ER-positive/HER2-negative and Ki67 ≥25%; </w:t>
      </w:r>
      <w:r>
        <w:rPr>
          <w:rFonts w:ascii="Times New Roman" w:eastAsia="游明朝" w:hAnsi="Times New Roman"/>
          <w:szCs w:val="21"/>
        </w:rPr>
        <w:t xml:space="preserve">HER2, HER2-positive; </w:t>
      </w:r>
      <w:r w:rsidRPr="00436657">
        <w:rPr>
          <w:rFonts w:ascii="Times New Roman" w:eastAsia="游明朝" w:hAnsi="Times New Roman"/>
          <w:szCs w:val="21"/>
        </w:rPr>
        <w:t>T</w:t>
      </w:r>
      <w:r>
        <w:rPr>
          <w:rFonts w:ascii="Times New Roman" w:eastAsia="游明朝" w:hAnsi="Times New Roman"/>
          <w:szCs w:val="21"/>
        </w:rPr>
        <w:t>N</w:t>
      </w:r>
      <w:r w:rsidRPr="00436657">
        <w:rPr>
          <w:rFonts w:ascii="Times New Roman" w:eastAsia="游明朝" w:hAnsi="Times New Roman"/>
          <w:szCs w:val="21"/>
        </w:rPr>
        <w:t>, ER-negative/HER2-negative</w:t>
      </w:r>
      <w:r>
        <w:rPr>
          <w:rFonts w:ascii="Times New Roman" w:eastAsia="游明朝" w:hAnsi="Times New Roman"/>
          <w:szCs w:val="21"/>
        </w:rPr>
        <w:t xml:space="preserve">. </w:t>
      </w:r>
      <w:r>
        <w:rPr>
          <w:rFonts w:ascii="Times New Roman" w:eastAsia="Times New Roman" w:hAnsi="Times New Roman"/>
          <w:szCs w:val="21"/>
        </w:rPr>
        <w:t>Boxplots represent</w:t>
      </w:r>
      <w:r w:rsidRPr="00B431A1">
        <w:rPr>
          <w:rFonts w:ascii="Times New Roman" w:eastAsia="游明朝" w:hAnsi="Times New Roman"/>
          <w:szCs w:val="21"/>
        </w:rPr>
        <w:t xml:space="preserve"> </w:t>
      </w:r>
      <w:r>
        <w:rPr>
          <w:rFonts w:ascii="Times New Roman" w:eastAsia="游明朝" w:hAnsi="Times New Roman"/>
          <w:szCs w:val="21"/>
        </w:rPr>
        <w:t xml:space="preserve">the lower and upper quartiles by boxes, and the maximum, median, and minimum values </w:t>
      </w:r>
      <w:r w:rsidR="000B6478">
        <w:rPr>
          <w:rFonts w:ascii="Times New Roman" w:eastAsia="游明朝" w:hAnsi="Times New Roman"/>
          <w:szCs w:val="21"/>
        </w:rPr>
        <w:t xml:space="preserve">are represented </w:t>
      </w:r>
      <w:r>
        <w:rPr>
          <w:rFonts w:ascii="Times New Roman" w:eastAsia="游明朝" w:hAnsi="Times New Roman"/>
          <w:szCs w:val="21"/>
        </w:rPr>
        <w:t>by horizontal lines.</w:t>
      </w:r>
    </w:p>
    <w:p w14:paraId="0CFBAE35" w14:textId="77777777" w:rsidR="00735769" w:rsidRDefault="00735769" w:rsidP="00EB08BF">
      <w:pPr>
        <w:spacing w:line="360" w:lineRule="auto"/>
        <w:rPr>
          <w:rFonts w:ascii="Times New Roman" w:eastAsia="游明朝" w:hAnsi="Times New Roman"/>
          <w:szCs w:val="21"/>
        </w:rPr>
      </w:pPr>
    </w:p>
    <w:p w14:paraId="224FB345" w14:textId="303888BA" w:rsidR="00327BCA" w:rsidRDefault="00AA1BC2" w:rsidP="00EB08BF">
      <w:pPr>
        <w:spacing w:line="360" w:lineRule="auto"/>
        <w:rPr>
          <w:rFonts w:ascii="Times New Roman" w:eastAsia="Times New Roman" w:hAnsi="Times New Roman"/>
          <w:b/>
          <w:szCs w:val="21"/>
        </w:rPr>
      </w:pPr>
      <w:r w:rsidRPr="00AA1BC2">
        <w:rPr>
          <w:rFonts w:ascii="Times New Roman" w:eastAsia="Times New Roman" w:hAnsi="Times New Roman"/>
          <w:b/>
          <w:noProof/>
          <w:szCs w:val="21"/>
        </w:rPr>
        <w:lastRenderedPageBreak/>
        <w:drawing>
          <wp:inline distT="0" distB="0" distL="0" distR="0" wp14:anchorId="48DA0A80" wp14:editId="4B948530">
            <wp:extent cx="5943600" cy="3342753"/>
            <wp:effectExtent l="0" t="0" r="0" b="0"/>
            <wp:docPr id="7" name="図 7" descr="C:\Users\Miyoshi\Desktop\Supple Figures\Supple Fig.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yoshi\Desktop\Supple Figures\Supple Fig.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8D15D" w14:textId="77777777" w:rsidR="00AA1BC2" w:rsidRDefault="00AA1BC2" w:rsidP="00EB08BF">
      <w:pPr>
        <w:spacing w:line="360" w:lineRule="auto"/>
        <w:rPr>
          <w:rFonts w:ascii="Times New Roman" w:eastAsiaTheme="minorEastAsia" w:hAnsi="Times New Roman"/>
          <w:b/>
          <w:szCs w:val="21"/>
        </w:rPr>
      </w:pPr>
    </w:p>
    <w:p w14:paraId="2E56DFFA" w14:textId="6E6D7D9D" w:rsidR="00735769" w:rsidRDefault="00327BCA" w:rsidP="00EB08BF">
      <w:pPr>
        <w:spacing w:line="360" w:lineRule="auto"/>
        <w:rPr>
          <w:rFonts w:ascii="Times New Roman" w:eastAsia="Times New Roman" w:hAnsi="Times New Roman"/>
          <w:szCs w:val="21"/>
        </w:rPr>
      </w:pPr>
      <w:r>
        <w:rPr>
          <w:rFonts w:ascii="Times New Roman" w:eastAsia="Times New Roman" w:hAnsi="Times New Roman"/>
          <w:b/>
          <w:szCs w:val="21"/>
        </w:rPr>
        <w:t xml:space="preserve">Supplementary </w:t>
      </w:r>
      <w:r w:rsidR="00E41080">
        <w:rPr>
          <w:rFonts w:ascii="Times New Roman" w:eastAsia="Times New Roman" w:hAnsi="Times New Roman"/>
          <w:b/>
          <w:szCs w:val="21"/>
        </w:rPr>
        <w:t>Fig.</w:t>
      </w:r>
      <w:r>
        <w:rPr>
          <w:rFonts w:ascii="Times New Roman" w:eastAsia="Times New Roman" w:hAnsi="Times New Roman"/>
          <w:b/>
          <w:szCs w:val="21"/>
        </w:rPr>
        <w:t xml:space="preserve"> 2</w:t>
      </w:r>
    </w:p>
    <w:p w14:paraId="55DB408D" w14:textId="22C7E7DC" w:rsidR="00735769" w:rsidRDefault="00327BCA" w:rsidP="00327BCA">
      <w:pPr>
        <w:spacing w:line="360" w:lineRule="auto"/>
        <w:rPr>
          <w:rFonts w:ascii="Times New Roman" w:eastAsia="游明朝" w:hAnsi="Times New Roman"/>
          <w:b/>
          <w:bCs/>
          <w:szCs w:val="21"/>
        </w:rPr>
      </w:pPr>
      <w:r w:rsidRPr="0057292B">
        <w:rPr>
          <w:rFonts w:ascii="Times New Roman" w:eastAsia="游明朝" w:hAnsi="Times New Roman"/>
          <w:b/>
          <w:bCs/>
          <w:szCs w:val="21"/>
        </w:rPr>
        <w:t xml:space="preserve">Expression levels of </w:t>
      </w:r>
      <w:r>
        <w:rPr>
          <w:rFonts w:ascii="Times New Roman" w:eastAsia="游明朝" w:hAnsi="Times New Roman"/>
          <w:b/>
          <w:bCs/>
          <w:szCs w:val="21"/>
        </w:rPr>
        <w:t xml:space="preserve">cytokines, chemokines, and growth factors according to </w:t>
      </w:r>
      <w:r w:rsidRPr="0057292B">
        <w:rPr>
          <w:rFonts w:ascii="Times New Roman" w:eastAsia="游明朝" w:hAnsi="Times New Roman"/>
          <w:b/>
          <w:bCs/>
          <w:szCs w:val="21"/>
        </w:rPr>
        <w:t>tumor-infiltrating lymphocyte</w:t>
      </w:r>
      <w:r>
        <w:rPr>
          <w:rFonts w:ascii="Times New Roman" w:eastAsia="游明朝" w:hAnsi="Times New Roman"/>
          <w:b/>
          <w:bCs/>
          <w:szCs w:val="21"/>
        </w:rPr>
        <w:t xml:space="preserve"> levels</w:t>
      </w:r>
      <w:r w:rsidR="00EB39EF">
        <w:rPr>
          <w:rFonts w:ascii="Times New Roman" w:eastAsia="游明朝" w:hAnsi="Times New Roman"/>
          <w:b/>
          <w:bCs/>
          <w:szCs w:val="21"/>
        </w:rPr>
        <w:t>.</w:t>
      </w:r>
    </w:p>
    <w:p w14:paraId="57484D0B" w14:textId="433A0C00" w:rsidR="00735769" w:rsidRPr="00070710" w:rsidRDefault="00327BCA" w:rsidP="00327BCA">
      <w:pPr>
        <w:spacing w:line="360" w:lineRule="auto"/>
        <w:rPr>
          <w:rFonts w:ascii="Times New Roman" w:eastAsia="游明朝" w:hAnsi="Times New Roman"/>
          <w:bCs/>
          <w:szCs w:val="21"/>
        </w:rPr>
      </w:pPr>
      <w:r>
        <w:rPr>
          <w:rFonts w:ascii="Times New Roman" w:eastAsia="游明朝" w:hAnsi="Times New Roman"/>
          <w:bCs/>
          <w:szCs w:val="21"/>
        </w:rPr>
        <w:t>Expressio</w:t>
      </w:r>
      <w:r w:rsidRPr="00FE06AF">
        <w:rPr>
          <w:rFonts w:ascii="Times New Roman" w:eastAsia="游明朝" w:hAnsi="Times New Roman"/>
          <w:bCs/>
          <w:szCs w:val="21"/>
        </w:rPr>
        <w:t xml:space="preserve">n levels of each </w:t>
      </w:r>
      <w:r>
        <w:rPr>
          <w:rFonts w:ascii="Times New Roman" w:eastAsia="游明朝" w:hAnsi="Times New Roman"/>
          <w:bCs/>
          <w:szCs w:val="21"/>
        </w:rPr>
        <w:t>variable</w:t>
      </w:r>
      <w:r w:rsidR="00D45333">
        <w:rPr>
          <w:rFonts w:ascii="Times New Roman" w:eastAsia="游明朝" w:hAnsi="Times New Roman"/>
          <w:bCs/>
          <w:szCs w:val="21"/>
        </w:rPr>
        <w:t xml:space="preserve"> were not significantly associated</w:t>
      </w:r>
      <w:r>
        <w:rPr>
          <w:rFonts w:ascii="Times New Roman" w:eastAsia="游明朝" w:hAnsi="Times New Roman"/>
          <w:bCs/>
          <w:szCs w:val="21"/>
        </w:rPr>
        <w:t xml:space="preserve"> with t</w:t>
      </w:r>
      <w:r w:rsidRPr="00FE06AF">
        <w:rPr>
          <w:rFonts w:ascii="Times New Roman" w:eastAsia="游明朝" w:hAnsi="Times New Roman"/>
          <w:bCs/>
          <w:szCs w:val="21"/>
        </w:rPr>
        <w:t>umor-infiltrating lymphocyte</w:t>
      </w:r>
      <w:r>
        <w:rPr>
          <w:rFonts w:ascii="Times New Roman" w:eastAsia="游明朝" w:hAnsi="Times New Roman"/>
          <w:bCs/>
          <w:szCs w:val="21"/>
        </w:rPr>
        <w:t xml:space="preserve">s (TILs) according to TIL levels. </w:t>
      </w:r>
      <w:r w:rsidRPr="00FE06AF">
        <w:rPr>
          <w:rFonts w:ascii="Times New Roman" w:eastAsia="游明朝" w:hAnsi="Times New Roman"/>
          <w:bCs/>
          <w:szCs w:val="21"/>
        </w:rPr>
        <w:t>TIL</w:t>
      </w:r>
      <w:r>
        <w:rPr>
          <w:rFonts w:ascii="Times New Roman" w:eastAsia="游明朝" w:hAnsi="Times New Roman"/>
          <w:bCs/>
          <w:szCs w:val="21"/>
        </w:rPr>
        <w:t xml:space="preserve"> level</w:t>
      </w:r>
      <w:r w:rsidRPr="00FE06AF">
        <w:rPr>
          <w:rFonts w:ascii="Times New Roman" w:eastAsia="游明朝" w:hAnsi="Times New Roman"/>
          <w:bCs/>
          <w:szCs w:val="21"/>
        </w:rPr>
        <w:t>s were classified as high (≥50%)</w:t>
      </w:r>
      <w:r>
        <w:rPr>
          <w:rFonts w:ascii="Times New Roman" w:eastAsia="游明朝" w:hAnsi="Times New Roman"/>
          <w:bCs/>
          <w:szCs w:val="21"/>
        </w:rPr>
        <w:t>, intermediate (</w:t>
      </w:r>
      <w:r w:rsidRPr="00FE06AF">
        <w:rPr>
          <w:rFonts w:ascii="Times New Roman" w:eastAsia="游明朝" w:hAnsi="Times New Roman"/>
          <w:bCs/>
          <w:szCs w:val="21"/>
        </w:rPr>
        <w:t>≥</w:t>
      </w:r>
      <w:r>
        <w:rPr>
          <w:rFonts w:ascii="Times New Roman" w:eastAsia="游明朝" w:hAnsi="Times New Roman"/>
          <w:bCs/>
          <w:szCs w:val="21"/>
        </w:rPr>
        <w:t>1</w:t>
      </w:r>
      <w:r w:rsidRPr="00FE06AF">
        <w:rPr>
          <w:rFonts w:ascii="Times New Roman" w:eastAsia="游明朝" w:hAnsi="Times New Roman"/>
          <w:bCs/>
          <w:szCs w:val="21"/>
        </w:rPr>
        <w:t>0%</w:t>
      </w:r>
      <w:r w:rsidR="000B6478">
        <w:rPr>
          <w:rFonts w:ascii="Times New Roman" w:eastAsia="游明朝" w:hAnsi="Times New Roman"/>
          <w:bCs/>
          <w:szCs w:val="21"/>
        </w:rPr>
        <w:t>, &lt;50%), or</w:t>
      </w:r>
      <w:r>
        <w:rPr>
          <w:rFonts w:ascii="Times New Roman" w:eastAsia="游明朝" w:hAnsi="Times New Roman"/>
          <w:bCs/>
          <w:szCs w:val="21"/>
        </w:rPr>
        <w:t xml:space="preserve"> low (&lt;10%). B</w:t>
      </w:r>
      <w:r>
        <w:rPr>
          <w:rFonts w:ascii="Times New Roman" w:eastAsia="Times New Roman" w:hAnsi="Times New Roman"/>
          <w:szCs w:val="21"/>
        </w:rPr>
        <w:t>oxplots represent</w:t>
      </w:r>
      <w:r w:rsidRPr="00B431A1">
        <w:rPr>
          <w:rFonts w:ascii="Times New Roman" w:eastAsia="游明朝" w:hAnsi="Times New Roman"/>
          <w:szCs w:val="21"/>
        </w:rPr>
        <w:t xml:space="preserve"> </w:t>
      </w:r>
      <w:r w:rsidR="005740B5">
        <w:rPr>
          <w:rFonts w:ascii="Times New Roman" w:eastAsia="游明朝" w:hAnsi="Times New Roman"/>
          <w:szCs w:val="21"/>
        </w:rPr>
        <w:t>the lower and upper quartiles by</w:t>
      </w:r>
      <w:r>
        <w:rPr>
          <w:rFonts w:ascii="Times New Roman" w:eastAsia="游明朝" w:hAnsi="Times New Roman"/>
          <w:szCs w:val="21"/>
        </w:rPr>
        <w:t xml:space="preserve"> boxes, and the maximum, median, and minimum values </w:t>
      </w:r>
      <w:r w:rsidR="000B6478">
        <w:rPr>
          <w:rFonts w:ascii="Times New Roman" w:eastAsia="游明朝" w:hAnsi="Times New Roman"/>
          <w:szCs w:val="21"/>
        </w:rPr>
        <w:t xml:space="preserve">are represented </w:t>
      </w:r>
      <w:r>
        <w:rPr>
          <w:rFonts w:ascii="Times New Roman" w:eastAsia="游明朝" w:hAnsi="Times New Roman"/>
          <w:szCs w:val="21"/>
        </w:rPr>
        <w:t>by horizontal lines.</w:t>
      </w:r>
    </w:p>
    <w:p w14:paraId="0BC08773" w14:textId="40EC32A3" w:rsidR="00735769" w:rsidRDefault="00735769" w:rsidP="0018723A">
      <w:pPr>
        <w:spacing w:line="360" w:lineRule="auto"/>
        <w:rPr>
          <w:rFonts w:ascii="Times New Roman" w:eastAsia="游明朝" w:hAnsi="Times New Roman"/>
          <w:szCs w:val="21"/>
        </w:rPr>
      </w:pPr>
    </w:p>
    <w:p w14:paraId="405F7194" w14:textId="20247DF1" w:rsidR="00EB08BF" w:rsidRPr="002B6F04" w:rsidRDefault="00AA1BC2" w:rsidP="00EB08BF">
      <w:pPr>
        <w:spacing w:line="360" w:lineRule="auto"/>
        <w:rPr>
          <w:rFonts w:ascii="Times New Roman" w:eastAsia="游明朝" w:hAnsi="Times New Roman"/>
          <w:szCs w:val="21"/>
        </w:rPr>
      </w:pPr>
      <w:r w:rsidRPr="00AA1BC2">
        <w:rPr>
          <w:rFonts w:ascii="Times New Roman" w:eastAsia="游明朝" w:hAnsi="Times New Roman"/>
          <w:noProof/>
          <w:szCs w:val="21"/>
        </w:rPr>
        <w:lastRenderedPageBreak/>
        <w:drawing>
          <wp:inline distT="0" distB="0" distL="0" distR="0" wp14:anchorId="5CE3AF8E" wp14:editId="1B221B1A">
            <wp:extent cx="5943600" cy="3342753"/>
            <wp:effectExtent l="0" t="0" r="0" b="0"/>
            <wp:docPr id="8" name="図 8" descr="C:\Users\Miyoshi\Desktop\Supple Figures\Supple Fig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yoshi\Desktop\Supple Figures\Supple Fig. 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0C610" w14:textId="77777777" w:rsidR="00327BCA" w:rsidRDefault="00327BCA" w:rsidP="00EB08BF">
      <w:pPr>
        <w:spacing w:line="360" w:lineRule="auto"/>
        <w:rPr>
          <w:rFonts w:ascii="Times New Roman" w:eastAsia="游明朝" w:hAnsi="Times New Roman"/>
          <w:b/>
          <w:szCs w:val="21"/>
        </w:rPr>
      </w:pPr>
    </w:p>
    <w:p w14:paraId="74190231" w14:textId="1E676B6A" w:rsidR="00735769" w:rsidRPr="00735769" w:rsidRDefault="00327BCA" w:rsidP="00EB08BF">
      <w:pPr>
        <w:spacing w:line="360" w:lineRule="auto"/>
        <w:rPr>
          <w:rFonts w:ascii="Times New Roman" w:eastAsia="Times New Roman" w:hAnsi="Times New Roman"/>
          <w:b/>
          <w:szCs w:val="21"/>
        </w:rPr>
      </w:pPr>
      <w:r w:rsidRPr="00327BCA">
        <w:rPr>
          <w:rFonts w:ascii="Times New Roman" w:eastAsia="游明朝" w:hAnsi="Times New Roman"/>
          <w:b/>
          <w:szCs w:val="21"/>
        </w:rPr>
        <w:t xml:space="preserve">Supplementary </w:t>
      </w:r>
      <w:r w:rsidR="00E41080">
        <w:rPr>
          <w:rFonts w:ascii="Times New Roman" w:eastAsia="游明朝" w:hAnsi="Times New Roman"/>
          <w:b/>
          <w:szCs w:val="21"/>
        </w:rPr>
        <w:t>Fig.</w:t>
      </w:r>
      <w:r w:rsidRPr="00327BCA">
        <w:rPr>
          <w:rFonts w:ascii="Times New Roman" w:eastAsia="游明朝" w:hAnsi="Times New Roman"/>
          <w:b/>
          <w:szCs w:val="21"/>
        </w:rPr>
        <w:t xml:space="preserve"> 3</w:t>
      </w:r>
    </w:p>
    <w:p w14:paraId="7E761393" w14:textId="6A169B57" w:rsidR="00735769" w:rsidRPr="0056767D" w:rsidRDefault="00327BCA" w:rsidP="00EB08BF">
      <w:pPr>
        <w:spacing w:line="360" w:lineRule="auto"/>
        <w:rPr>
          <w:rFonts w:ascii="Times New Roman" w:eastAsia="游明朝" w:hAnsi="Times New Roman"/>
          <w:b/>
          <w:szCs w:val="21"/>
        </w:rPr>
      </w:pPr>
      <w:bookmarkStart w:id="0" w:name="_Hlk158624421"/>
      <w:r w:rsidRPr="0056767D">
        <w:rPr>
          <w:rFonts w:ascii="Times New Roman" w:eastAsia="游明朝" w:hAnsi="Times New Roman" w:hint="eastAsia"/>
          <w:b/>
          <w:szCs w:val="21"/>
        </w:rPr>
        <w:t>C</w:t>
      </w:r>
      <w:r w:rsidRPr="0056767D">
        <w:rPr>
          <w:rFonts w:ascii="Times New Roman" w:eastAsia="游明朝" w:hAnsi="Times New Roman"/>
          <w:b/>
          <w:szCs w:val="21"/>
        </w:rPr>
        <w:t xml:space="preserve">orrelation coefficient </w:t>
      </w:r>
      <w:bookmarkEnd w:id="0"/>
      <w:r w:rsidRPr="0056767D">
        <w:rPr>
          <w:rFonts w:ascii="Times New Roman" w:eastAsia="游明朝" w:hAnsi="Times New Roman"/>
          <w:b/>
          <w:szCs w:val="21"/>
        </w:rPr>
        <w:t>between cytokines, chemokines, and growth factors</w:t>
      </w:r>
      <w:r w:rsidR="00EB39EF">
        <w:rPr>
          <w:rFonts w:ascii="Times New Roman" w:eastAsia="游明朝" w:hAnsi="Times New Roman"/>
          <w:b/>
          <w:szCs w:val="21"/>
        </w:rPr>
        <w:t>.</w:t>
      </w:r>
    </w:p>
    <w:p w14:paraId="12D9DF53" w14:textId="7459AAC2" w:rsidR="00735769" w:rsidRDefault="00327BCA" w:rsidP="0018723A">
      <w:pPr>
        <w:spacing w:line="360" w:lineRule="auto"/>
        <w:rPr>
          <w:rFonts w:ascii="Times New Roman" w:eastAsia="Times New Roman" w:hAnsi="Times New Roman"/>
          <w:szCs w:val="21"/>
        </w:rPr>
      </w:pPr>
      <w:r w:rsidRPr="0056767D">
        <w:rPr>
          <w:rFonts w:ascii="Times New Roman" w:eastAsia="游明朝" w:hAnsi="Times New Roman"/>
          <w:szCs w:val="21"/>
        </w:rPr>
        <w:t>Hea</w:t>
      </w:r>
      <w:r w:rsidR="00AA1BC2">
        <w:rPr>
          <w:rFonts w:ascii="Times New Roman" w:eastAsia="游明朝" w:hAnsi="Times New Roman"/>
          <w:szCs w:val="21"/>
        </w:rPr>
        <w:t>tmaps and two-way scatter plots</w:t>
      </w:r>
      <w:r w:rsidRPr="0056767D">
        <w:rPr>
          <w:rFonts w:ascii="Times New Roman" w:eastAsia="游明朝" w:hAnsi="Times New Roman"/>
          <w:szCs w:val="21"/>
        </w:rPr>
        <w:t xml:space="preserve"> of several variables</w:t>
      </w:r>
      <w:r>
        <w:rPr>
          <w:rFonts w:ascii="Times New Roman" w:eastAsia="游明朝" w:hAnsi="Times New Roman"/>
          <w:szCs w:val="21"/>
        </w:rPr>
        <w:t>.</w:t>
      </w:r>
      <w:r>
        <w:rPr>
          <w:rFonts w:ascii="Times New Roman" w:eastAsia="游明朝" w:hAnsi="Times New Roman" w:hint="eastAsia"/>
          <w:szCs w:val="21"/>
        </w:rPr>
        <w:t xml:space="preserve"> </w:t>
      </w:r>
      <w:r w:rsidRPr="00121F5E">
        <w:rPr>
          <w:rFonts w:ascii="Times New Roman" w:eastAsia="Times New Roman" w:hAnsi="Times New Roman"/>
          <w:szCs w:val="21"/>
        </w:rPr>
        <w:t xml:space="preserve">Red and blue represent </w:t>
      </w:r>
      <w:r>
        <w:rPr>
          <w:rFonts w:ascii="Times New Roman" w:eastAsia="Times New Roman" w:hAnsi="Times New Roman"/>
          <w:szCs w:val="21"/>
        </w:rPr>
        <w:t>the positive</w:t>
      </w:r>
      <w:r w:rsidRPr="00121F5E">
        <w:rPr>
          <w:rFonts w:ascii="Times New Roman" w:eastAsia="Times New Roman" w:hAnsi="Times New Roman"/>
          <w:szCs w:val="21"/>
        </w:rPr>
        <w:t xml:space="preserve"> and </w:t>
      </w:r>
      <w:r>
        <w:rPr>
          <w:rFonts w:ascii="Times New Roman" w:eastAsia="Times New Roman" w:hAnsi="Times New Roman"/>
          <w:szCs w:val="21"/>
        </w:rPr>
        <w:t>negative correlations in each sample</w:t>
      </w:r>
      <w:r w:rsidRPr="00121F5E">
        <w:rPr>
          <w:rFonts w:ascii="Times New Roman" w:eastAsia="Times New Roman" w:hAnsi="Times New Roman"/>
          <w:szCs w:val="21"/>
        </w:rPr>
        <w:t>, respectively. Color density indicat</w:t>
      </w:r>
      <w:r>
        <w:rPr>
          <w:rFonts w:ascii="Times New Roman" w:eastAsia="Times New Roman" w:hAnsi="Times New Roman"/>
          <w:szCs w:val="21"/>
        </w:rPr>
        <w:t>es the levels of c</w:t>
      </w:r>
      <w:r w:rsidRPr="0056767D">
        <w:rPr>
          <w:rFonts w:ascii="Times New Roman" w:eastAsia="Times New Roman" w:hAnsi="Times New Roman"/>
          <w:szCs w:val="21"/>
        </w:rPr>
        <w:t>orrelation coefficient</w:t>
      </w:r>
      <w:r>
        <w:rPr>
          <w:rFonts w:ascii="Times New Roman" w:eastAsia="Times New Roman" w:hAnsi="Times New Roman"/>
          <w:szCs w:val="21"/>
        </w:rPr>
        <w:t>s, as shown in the legends.</w:t>
      </w:r>
    </w:p>
    <w:p w14:paraId="51DF3B42" w14:textId="7BF1240C" w:rsidR="00EB08BF" w:rsidRDefault="00EB08BF">
      <w:pPr>
        <w:widowControl/>
        <w:spacing w:after="160" w:line="259" w:lineRule="auto"/>
        <w:jc w:val="left"/>
        <w:rPr>
          <w:rFonts w:ascii="Times New Roman" w:eastAsia="游明朝" w:hAnsi="Times New Roman"/>
          <w:szCs w:val="21"/>
        </w:rPr>
      </w:pPr>
      <w:r>
        <w:rPr>
          <w:rFonts w:ascii="Times New Roman" w:eastAsia="游明朝" w:hAnsi="Times New Roman"/>
          <w:szCs w:val="21"/>
        </w:rPr>
        <w:br w:type="page"/>
      </w:r>
    </w:p>
    <w:p w14:paraId="0B250199" w14:textId="77777777" w:rsidR="00735769" w:rsidRPr="0056767D" w:rsidRDefault="00735769" w:rsidP="00EB08BF">
      <w:pPr>
        <w:spacing w:line="360" w:lineRule="auto"/>
        <w:rPr>
          <w:rFonts w:ascii="Times New Roman" w:eastAsia="游明朝" w:hAnsi="Times New Roman"/>
          <w:szCs w:val="21"/>
        </w:rPr>
      </w:pPr>
    </w:p>
    <w:p w14:paraId="53479FEF" w14:textId="3F27B0F4" w:rsidR="00327BCA" w:rsidRDefault="00AA1BC2" w:rsidP="00EB08BF">
      <w:pPr>
        <w:spacing w:line="360" w:lineRule="auto"/>
        <w:rPr>
          <w:rFonts w:ascii="Times New Roman" w:eastAsia="游明朝" w:hAnsi="Times New Roman"/>
          <w:b/>
          <w:szCs w:val="21"/>
        </w:rPr>
      </w:pPr>
      <w:r w:rsidRPr="00AA1BC2">
        <w:rPr>
          <w:rFonts w:ascii="Times New Roman" w:eastAsia="游明朝" w:hAnsi="Times New Roman"/>
          <w:b/>
          <w:noProof/>
          <w:szCs w:val="21"/>
        </w:rPr>
        <w:drawing>
          <wp:inline distT="0" distB="0" distL="0" distR="0" wp14:anchorId="54F50DE8" wp14:editId="34459537">
            <wp:extent cx="5943600" cy="3342753"/>
            <wp:effectExtent l="0" t="0" r="0" b="0"/>
            <wp:docPr id="9" name="図 9" descr="C:\Users\Miyoshi\Desktop\Supple Figures\Supple Fig.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yoshi\Desktop\Supple Figures\Supple Fig. 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B05A7" w14:textId="77777777" w:rsidR="00327BCA" w:rsidRDefault="00327BCA" w:rsidP="00EB08BF">
      <w:pPr>
        <w:spacing w:line="360" w:lineRule="auto"/>
        <w:rPr>
          <w:rFonts w:ascii="Times New Roman" w:eastAsia="游明朝" w:hAnsi="Times New Roman"/>
          <w:b/>
          <w:szCs w:val="21"/>
        </w:rPr>
      </w:pPr>
    </w:p>
    <w:p w14:paraId="435D68C8" w14:textId="70DB3DBE" w:rsidR="00735769" w:rsidRPr="00327BCA" w:rsidRDefault="00327BCA" w:rsidP="00EB08BF">
      <w:pPr>
        <w:spacing w:line="360" w:lineRule="auto"/>
        <w:rPr>
          <w:rFonts w:ascii="Times New Roman" w:eastAsia="游明朝" w:hAnsi="Times New Roman"/>
          <w:b/>
          <w:szCs w:val="21"/>
        </w:rPr>
      </w:pPr>
      <w:r w:rsidRPr="00327BCA">
        <w:rPr>
          <w:rFonts w:ascii="Times New Roman" w:eastAsia="游明朝" w:hAnsi="Times New Roman"/>
          <w:b/>
          <w:szCs w:val="21"/>
        </w:rPr>
        <w:t xml:space="preserve">Supplementary </w:t>
      </w:r>
      <w:r w:rsidR="00E41080">
        <w:rPr>
          <w:rFonts w:ascii="Times New Roman" w:eastAsia="游明朝" w:hAnsi="Times New Roman"/>
          <w:b/>
          <w:szCs w:val="21"/>
        </w:rPr>
        <w:t>Fig.</w:t>
      </w:r>
      <w:r w:rsidRPr="00327BCA">
        <w:rPr>
          <w:rFonts w:ascii="Times New Roman" w:eastAsia="游明朝" w:hAnsi="Times New Roman"/>
          <w:b/>
          <w:szCs w:val="21"/>
        </w:rPr>
        <w:t xml:space="preserve"> </w:t>
      </w:r>
      <w:r w:rsidR="00EB39EF">
        <w:rPr>
          <w:rFonts w:ascii="Times New Roman" w:eastAsia="游明朝" w:hAnsi="Times New Roman"/>
          <w:b/>
          <w:szCs w:val="21"/>
        </w:rPr>
        <w:t>4</w:t>
      </w:r>
    </w:p>
    <w:p w14:paraId="718988F6" w14:textId="25DC88FA" w:rsidR="00735769" w:rsidRPr="00AB3F22" w:rsidRDefault="00327BCA" w:rsidP="00EB08BF">
      <w:pPr>
        <w:spacing w:line="360" w:lineRule="auto"/>
        <w:rPr>
          <w:rFonts w:ascii="Times New Roman" w:eastAsia="游明朝" w:hAnsi="Times New Roman"/>
          <w:b/>
          <w:szCs w:val="21"/>
        </w:rPr>
      </w:pPr>
      <w:r w:rsidRPr="00AB3F22">
        <w:rPr>
          <w:rFonts w:ascii="Times New Roman" w:eastAsia="游明朝" w:hAnsi="Times New Roman" w:hint="eastAsia"/>
          <w:b/>
          <w:szCs w:val="21"/>
        </w:rPr>
        <w:t>m</w:t>
      </w:r>
      <w:r w:rsidRPr="00AB3F22">
        <w:rPr>
          <w:rFonts w:ascii="Times New Roman" w:eastAsia="游明朝" w:hAnsi="Times New Roman"/>
          <w:b/>
          <w:szCs w:val="21"/>
        </w:rPr>
        <w:t xml:space="preserve">RNA expression levels of </w:t>
      </w:r>
      <w:r>
        <w:rPr>
          <w:rFonts w:ascii="Times New Roman" w:eastAsia="游明朝" w:hAnsi="Times New Roman"/>
          <w:b/>
          <w:szCs w:val="21"/>
        </w:rPr>
        <w:t>six genes</w:t>
      </w:r>
      <w:r w:rsidRPr="00AB3F22">
        <w:rPr>
          <w:rFonts w:ascii="Times New Roman" w:eastAsia="游明朝" w:hAnsi="Times New Roman"/>
          <w:b/>
          <w:szCs w:val="21"/>
        </w:rPr>
        <w:t xml:space="preserve"> in public data</w:t>
      </w:r>
      <w:r>
        <w:rPr>
          <w:rFonts w:ascii="Times New Roman" w:eastAsia="游明朝" w:hAnsi="Times New Roman"/>
          <w:b/>
          <w:szCs w:val="21"/>
        </w:rPr>
        <w:t>sets</w:t>
      </w:r>
      <w:r w:rsidR="00EB39EF">
        <w:rPr>
          <w:rFonts w:ascii="Times New Roman" w:eastAsia="游明朝" w:hAnsi="Times New Roman"/>
          <w:b/>
          <w:szCs w:val="21"/>
        </w:rPr>
        <w:t>.</w:t>
      </w:r>
    </w:p>
    <w:p w14:paraId="44582A12" w14:textId="00D9D3CA" w:rsidR="00735769" w:rsidRDefault="00327BCA" w:rsidP="00327BCA">
      <w:pPr>
        <w:spacing w:line="360" w:lineRule="auto"/>
        <w:rPr>
          <w:rFonts w:ascii="Times New Roman" w:eastAsia="游明朝" w:hAnsi="Times New Roman"/>
          <w:szCs w:val="21"/>
        </w:rPr>
      </w:pPr>
      <w:r>
        <w:rPr>
          <w:rFonts w:ascii="Times New Roman" w:eastAsia="游明朝" w:hAnsi="Times New Roman"/>
          <w:szCs w:val="21"/>
        </w:rPr>
        <w:t xml:space="preserve">The </w:t>
      </w:r>
      <w:r>
        <w:rPr>
          <w:rFonts w:ascii="Times New Roman" w:eastAsia="游明朝" w:hAnsi="Times New Roman" w:hint="eastAsia"/>
          <w:szCs w:val="21"/>
        </w:rPr>
        <w:t>m</w:t>
      </w:r>
      <w:r>
        <w:rPr>
          <w:rFonts w:ascii="Times New Roman" w:eastAsia="游明朝" w:hAnsi="Times New Roman"/>
          <w:szCs w:val="21"/>
        </w:rPr>
        <w:t xml:space="preserve">RNA expression levels of </w:t>
      </w:r>
      <w:r w:rsidRPr="00CC5006">
        <w:rPr>
          <w:rFonts w:ascii="Times New Roman" w:eastAsia="游明朝" w:hAnsi="Times New Roman"/>
          <w:i/>
          <w:szCs w:val="21"/>
        </w:rPr>
        <w:t>IL-1RN</w:t>
      </w:r>
      <w:r>
        <w:rPr>
          <w:rFonts w:ascii="Times New Roman" w:eastAsia="游明朝" w:hAnsi="Times New Roman"/>
          <w:szCs w:val="21"/>
        </w:rPr>
        <w:t xml:space="preserve"> (IL-1ra), </w:t>
      </w:r>
      <w:r w:rsidRPr="00CC5006">
        <w:rPr>
          <w:rFonts w:ascii="Times New Roman" w:eastAsia="游明朝" w:hAnsi="Times New Roman"/>
          <w:i/>
          <w:szCs w:val="21"/>
        </w:rPr>
        <w:t xml:space="preserve">CXCL8 </w:t>
      </w:r>
      <w:r>
        <w:rPr>
          <w:rFonts w:ascii="Times New Roman" w:eastAsia="游明朝" w:hAnsi="Times New Roman"/>
          <w:szCs w:val="21"/>
        </w:rPr>
        <w:t xml:space="preserve">(IL-8), </w:t>
      </w:r>
      <w:r w:rsidRPr="00CC5006">
        <w:rPr>
          <w:rFonts w:ascii="Times New Roman" w:eastAsia="游明朝" w:hAnsi="Times New Roman"/>
          <w:i/>
          <w:szCs w:val="21"/>
        </w:rPr>
        <w:t>IL-12A,</w:t>
      </w:r>
      <w:r>
        <w:rPr>
          <w:rFonts w:ascii="Times New Roman" w:eastAsia="游明朝" w:hAnsi="Times New Roman"/>
          <w:szCs w:val="21"/>
        </w:rPr>
        <w:t xml:space="preserve"> </w:t>
      </w:r>
      <w:r w:rsidRPr="00CC5006">
        <w:rPr>
          <w:rFonts w:ascii="Times New Roman" w:eastAsia="游明朝" w:hAnsi="Times New Roman"/>
          <w:i/>
          <w:szCs w:val="21"/>
        </w:rPr>
        <w:t>IL-17A,</w:t>
      </w:r>
      <w:r>
        <w:rPr>
          <w:rFonts w:ascii="Times New Roman" w:eastAsia="游明朝" w:hAnsi="Times New Roman"/>
          <w:szCs w:val="21"/>
        </w:rPr>
        <w:t xml:space="preserve"> </w:t>
      </w:r>
      <w:r w:rsidRPr="00CC5006">
        <w:rPr>
          <w:rFonts w:ascii="Times New Roman" w:eastAsia="游明朝" w:hAnsi="Times New Roman"/>
          <w:i/>
          <w:szCs w:val="21"/>
        </w:rPr>
        <w:t xml:space="preserve">CCL4 </w:t>
      </w:r>
      <w:r>
        <w:rPr>
          <w:rFonts w:ascii="Times New Roman" w:eastAsia="游明朝" w:hAnsi="Times New Roman"/>
          <w:szCs w:val="21"/>
        </w:rPr>
        <w:t>(MIP-1b), and</w:t>
      </w:r>
      <w:r w:rsidRPr="00CC5006">
        <w:rPr>
          <w:rFonts w:ascii="Times New Roman" w:eastAsia="游明朝" w:hAnsi="Times New Roman"/>
          <w:i/>
          <w:szCs w:val="21"/>
        </w:rPr>
        <w:t xml:space="preserve"> PDGFB</w:t>
      </w:r>
      <w:r>
        <w:rPr>
          <w:rFonts w:ascii="Times New Roman" w:eastAsia="游明朝" w:hAnsi="Times New Roman"/>
          <w:szCs w:val="21"/>
        </w:rPr>
        <w:t xml:space="preserve"> were compared in each breast cancer molecular subtype classified by PAM50 in public datasets. NS, not significant.</w:t>
      </w:r>
    </w:p>
    <w:p w14:paraId="0552D32D" w14:textId="77777777" w:rsidR="00735769" w:rsidRPr="005072EE" w:rsidRDefault="00735769" w:rsidP="00327BCA">
      <w:pPr>
        <w:spacing w:line="360" w:lineRule="auto"/>
        <w:rPr>
          <w:rFonts w:ascii="Times New Roman" w:eastAsia="游明朝" w:hAnsi="Times New Roman"/>
          <w:szCs w:val="21"/>
        </w:rPr>
      </w:pPr>
    </w:p>
    <w:p w14:paraId="557C28A2" w14:textId="65CA11AC" w:rsidR="00735769" w:rsidRDefault="00AA1BC2" w:rsidP="00327BCA">
      <w:pPr>
        <w:spacing w:line="360" w:lineRule="auto"/>
        <w:rPr>
          <w:rFonts w:ascii="游明朝" w:eastAsia="游明朝" w:hAnsi="游明朝"/>
          <w:b/>
          <w:szCs w:val="21"/>
        </w:rPr>
      </w:pPr>
      <w:r w:rsidRPr="00AA1BC2">
        <w:rPr>
          <w:rFonts w:ascii="游明朝" w:eastAsia="游明朝" w:hAnsi="游明朝"/>
          <w:b/>
          <w:noProof/>
          <w:szCs w:val="21"/>
        </w:rPr>
        <w:lastRenderedPageBreak/>
        <w:drawing>
          <wp:inline distT="0" distB="0" distL="0" distR="0" wp14:anchorId="15FB2018" wp14:editId="4793EE1B">
            <wp:extent cx="5943600" cy="3342753"/>
            <wp:effectExtent l="0" t="0" r="0" b="0"/>
            <wp:docPr id="10" name="図 10" descr="C:\Users\Miyoshi\Desktop\Supple Figures\Supple Fig.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iyoshi\Desktop\Supple Figures\Supple Fig. 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7C02E" w14:textId="77777777" w:rsidR="00327BCA" w:rsidRDefault="00327BCA" w:rsidP="00327BCA">
      <w:pPr>
        <w:spacing w:line="360" w:lineRule="auto"/>
        <w:rPr>
          <w:rFonts w:ascii="Times New Roman" w:eastAsia="游明朝" w:hAnsi="Times New Roman"/>
          <w:b/>
          <w:szCs w:val="21"/>
        </w:rPr>
      </w:pPr>
    </w:p>
    <w:p w14:paraId="172FAD0A" w14:textId="7691406D" w:rsidR="00735769" w:rsidRPr="00327BCA" w:rsidRDefault="00327BCA" w:rsidP="00327BCA">
      <w:pPr>
        <w:spacing w:line="360" w:lineRule="auto"/>
        <w:rPr>
          <w:rFonts w:ascii="Times New Roman" w:eastAsia="游明朝" w:hAnsi="Times New Roman"/>
          <w:b/>
          <w:szCs w:val="21"/>
        </w:rPr>
      </w:pPr>
      <w:r w:rsidRPr="00327BCA">
        <w:rPr>
          <w:rFonts w:ascii="Times New Roman" w:eastAsia="游明朝" w:hAnsi="Times New Roman"/>
          <w:b/>
          <w:szCs w:val="21"/>
        </w:rPr>
        <w:t xml:space="preserve">Supplementary </w:t>
      </w:r>
      <w:r w:rsidR="00E41080">
        <w:rPr>
          <w:rFonts w:ascii="Times New Roman" w:eastAsia="游明朝" w:hAnsi="Times New Roman"/>
          <w:b/>
          <w:szCs w:val="21"/>
        </w:rPr>
        <w:t xml:space="preserve">Fig. </w:t>
      </w:r>
      <w:r w:rsidR="00EB39EF">
        <w:rPr>
          <w:rFonts w:ascii="Times New Roman" w:eastAsia="游明朝" w:hAnsi="Times New Roman"/>
          <w:b/>
          <w:szCs w:val="21"/>
        </w:rPr>
        <w:t>5</w:t>
      </w:r>
    </w:p>
    <w:p w14:paraId="1B0E1879" w14:textId="3D618D69" w:rsidR="00735769" w:rsidRPr="005072EE" w:rsidRDefault="00327BCA" w:rsidP="00327BCA">
      <w:pPr>
        <w:spacing w:line="360" w:lineRule="auto"/>
        <w:rPr>
          <w:rFonts w:ascii="Times New Roman" w:eastAsia="游明朝" w:hAnsi="Times New Roman"/>
          <w:b/>
          <w:szCs w:val="21"/>
        </w:rPr>
      </w:pPr>
      <w:r>
        <w:rPr>
          <w:rFonts w:ascii="Times New Roman" w:eastAsia="游明朝" w:hAnsi="Times New Roman" w:hint="eastAsia"/>
          <w:b/>
          <w:szCs w:val="21"/>
        </w:rPr>
        <w:t>E</w:t>
      </w:r>
      <w:r>
        <w:rPr>
          <w:rFonts w:ascii="Times New Roman" w:eastAsia="游明朝" w:hAnsi="Times New Roman"/>
          <w:b/>
          <w:szCs w:val="21"/>
        </w:rPr>
        <w:t>xpression levels of six variables by tumor-infiltrating lymphocyte levels according to neoadjuvant therapies</w:t>
      </w:r>
      <w:r w:rsidR="00EB39EF">
        <w:rPr>
          <w:rFonts w:ascii="Times New Roman" w:eastAsia="游明朝" w:hAnsi="Times New Roman"/>
          <w:b/>
          <w:szCs w:val="21"/>
        </w:rPr>
        <w:t>.</w:t>
      </w:r>
    </w:p>
    <w:p w14:paraId="06CDAA82" w14:textId="4B3A4383" w:rsidR="00735769" w:rsidRDefault="00327BCA" w:rsidP="00327BCA">
      <w:pPr>
        <w:spacing w:line="360" w:lineRule="auto"/>
        <w:rPr>
          <w:rFonts w:ascii="Times New Roman" w:eastAsia="游明朝" w:hAnsi="Times New Roman"/>
          <w:szCs w:val="21"/>
        </w:rPr>
      </w:pPr>
      <w:r>
        <w:rPr>
          <w:rFonts w:ascii="Times New Roman" w:eastAsia="游明朝" w:hAnsi="Times New Roman"/>
          <w:szCs w:val="21"/>
        </w:rPr>
        <w:t>The expression levels of six variables in the tumor-infiltrating lymphocyte (TIL)-high and TIL</w:t>
      </w:r>
      <w:r w:rsidR="00E41080">
        <w:rPr>
          <w:rFonts w:ascii="Times New Roman" w:eastAsia="游明朝" w:hAnsi="Times New Roman"/>
          <w:szCs w:val="21"/>
        </w:rPr>
        <w:t>-</w:t>
      </w:r>
      <w:r>
        <w:rPr>
          <w:rFonts w:ascii="Times New Roman" w:eastAsia="游明朝" w:hAnsi="Times New Roman"/>
          <w:szCs w:val="21"/>
        </w:rPr>
        <w:t xml:space="preserve">intermediate plus low groups were represented in patients with neoadjuvant chemotherapy (NAC) or neoadjuvant endocrine therapy (NET), and without neoadjuvant therapy (None). </w:t>
      </w:r>
      <w:r w:rsidRPr="00CC68CF">
        <w:rPr>
          <w:rFonts w:ascii="Times New Roman" w:eastAsia="游明朝" w:hAnsi="Times New Roman"/>
          <w:szCs w:val="21"/>
        </w:rPr>
        <w:t xml:space="preserve">TIL-high, ≥50%; </w:t>
      </w:r>
      <w:r>
        <w:rPr>
          <w:rFonts w:ascii="Times New Roman" w:eastAsia="游明朝" w:hAnsi="Times New Roman"/>
          <w:szCs w:val="21"/>
        </w:rPr>
        <w:t>TILs-</w:t>
      </w:r>
      <w:r w:rsidRPr="00CC68CF">
        <w:rPr>
          <w:rFonts w:ascii="Times New Roman" w:eastAsia="游明朝" w:hAnsi="Times New Roman"/>
          <w:szCs w:val="21"/>
        </w:rPr>
        <w:t>intermediate+low, &lt;50%.</w:t>
      </w:r>
      <w:r>
        <w:rPr>
          <w:rFonts w:ascii="Times New Roman" w:eastAsia="游明朝" w:hAnsi="Times New Roman" w:hint="eastAsia"/>
          <w:szCs w:val="21"/>
        </w:rPr>
        <w:t xml:space="preserve"> </w:t>
      </w:r>
      <w:r>
        <w:rPr>
          <w:rFonts w:ascii="Times New Roman" w:eastAsia="Times New Roman" w:hAnsi="Times New Roman"/>
          <w:szCs w:val="21"/>
        </w:rPr>
        <w:t>Boxplots represent</w:t>
      </w:r>
      <w:r w:rsidRPr="00B431A1">
        <w:rPr>
          <w:rFonts w:ascii="Times New Roman" w:eastAsia="游明朝" w:hAnsi="Times New Roman"/>
          <w:szCs w:val="21"/>
        </w:rPr>
        <w:t xml:space="preserve"> </w:t>
      </w:r>
      <w:r w:rsidR="005740B5">
        <w:rPr>
          <w:rFonts w:ascii="Times New Roman" w:eastAsia="游明朝" w:hAnsi="Times New Roman"/>
          <w:szCs w:val="21"/>
        </w:rPr>
        <w:t>the lower and upper quartiles by</w:t>
      </w:r>
      <w:bookmarkStart w:id="1" w:name="_GoBack"/>
      <w:bookmarkEnd w:id="1"/>
      <w:r>
        <w:rPr>
          <w:rFonts w:ascii="Times New Roman" w:eastAsia="游明朝" w:hAnsi="Times New Roman"/>
          <w:szCs w:val="21"/>
        </w:rPr>
        <w:t xml:space="preserve"> boxes, and the maximum, median, and minimum values </w:t>
      </w:r>
      <w:r w:rsidR="000B6478">
        <w:rPr>
          <w:rFonts w:ascii="Times New Roman" w:eastAsia="游明朝" w:hAnsi="Times New Roman"/>
          <w:szCs w:val="21"/>
        </w:rPr>
        <w:t xml:space="preserve">are represented </w:t>
      </w:r>
      <w:r>
        <w:rPr>
          <w:rFonts w:ascii="Times New Roman" w:eastAsia="游明朝" w:hAnsi="Times New Roman"/>
          <w:szCs w:val="21"/>
        </w:rPr>
        <w:t>by horizontal lines.</w:t>
      </w:r>
    </w:p>
    <w:p w14:paraId="1B12FAD2" w14:textId="77777777" w:rsidR="00735769" w:rsidRDefault="00735769" w:rsidP="00327BCA">
      <w:pPr>
        <w:spacing w:line="360" w:lineRule="auto"/>
      </w:pPr>
    </w:p>
    <w:sectPr w:rsidR="007357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3F947F" w14:textId="77777777" w:rsidR="00915328" w:rsidRDefault="00915328" w:rsidP="00CF08CB">
      <w:r>
        <w:separator/>
      </w:r>
    </w:p>
  </w:endnote>
  <w:endnote w:type="continuationSeparator" w:id="0">
    <w:p w14:paraId="588CC046" w14:textId="77777777" w:rsidR="00915328" w:rsidRDefault="00915328" w:rsidP="00CF0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Raavi">
    <w:altName w:val="Cambria Math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F0B6FE" w14:textId="77777777" w:rsidR="00915328" w:rsidRDefault="00915328" w:rsidP="00CF08CB">
      <w:r>
        <w:separator/>
      </w:r>
    </w:p>
  </w:footnote>
  <w:footnote w:type="continuationSeparator" w:id="0">
    <w:p w14:paraId="51CD96FA" w14:textId="77777777" w:rsidR="00915328" w:rsidRDefault="00915328" w:rsidP="00CF08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DateAndTime/>
  <w:bordersDoNotSurroundHeader/>
  <w:bordersDoNotSurroundFooter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31B"/>
    <w:rsid w:val="00044B57"/>
    <w:rsid w:val="00070710"/>
    <w:rsid w:val="000B6478"/>
    <w:rsid w:val="001072F3"/>
    <w:rsid w:val="00121F5E"/>
    <w:rsid w:val="0018723A"/>
    <w:rsid w:val="00265E31"/>
    <w:rsid w:val="002B6F04"/>
    <w:rsid w:val="00327BCA"/>
    <w:rsid w:val="0039231B"/>
    <w:rsid w:val="00436657"/>
    <w:rsid w:val="004A4DC2"/>
    <w:rsid w:val="004E6899"/>
    <w:rsid w:val="005072EE"/>
    <w:rsid w:val="0056767D"/>
    <w:rsid w:val="0057292B"/>
    <w:rsid w:val="005740B5"/>
    <w:rsid w:val="0061495E"/>
    <w:rsid w:val="0069118E"/>
    <w:rsid w:val="0069273D"/>
    <w:rsid w:val="00735769"/>
    <w:rsid w:val="00915328"/>
    <w:rsid w:val="009A054C"/>
    <w:rsid w:val="009C448F"/>
    <w:rsid w:val="00AA17F0"/>
    <w:rsid w:val="00AA1BC2"/>
    <w:rsid w:val="00AB3F22"/>
    <w:rsid w:val="00B431A1"/>
    <w:rsid w:val="00BA3EBE"/>
    <w:rsid w:val="00BE59C5"/>
    <w:rsid w:val="00C4520F"/>
    <w:rsid w:val="00CC5006"/>
    <w:rsid w:val="00CC68CF"/>
    <w:rsid w:val="00CF055A"/>
    <w:rsid w:val="00CF08CB"/>
    <w:rsid w:val="00D00286"/>
    <w:rsid w:val="00D45333"/>
    <w:rsid w:val="00E41080"/>
    <w:rsid w:val="00E90BE0"/>
    <w:rsid w:val="00EB08BF"/>
    <w:rsid w:val="00EB39EF"/>
    <w:rsid w:val="00ED06A0"/>
    <w:rsid w:val="00FE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C4CFBD0"/>
  <w15:chartTrackingRefBased/>
  <w15:docId w15:val="{0EE894FB-4785-4B8C-A63C-60B513E2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769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735769"/>
    <w:rPr>
      <w:sz w:val="16"/>
    </w:rPr>
  </w:style>
  <w:style w:type="paragraph" w:styleId="a4">
    <w:name w:val="annotation text"/>
    <w:basedOn w:val="a"/>
    <w:link w:val="a5"/>
    <w:rsid w:val="00735769"/>
    <w:rPr>
      <w:sz w:val="20"/>
    </w:rPr>
  </w:style>
  <w:style w:type="character" w:customStyle="1" w:styleId="a5">
    <w:name w:val="コメント文字列 (文字)"/>
    <w:basedOn w:val="a0"/>
    <w:link w:val="a4"/>
    <w:rsid w:val="00735769"/>
    <w:rPr>
      <w:rFonts w:ascii="Century" w:eastAsia="ＭＳ 明朝" w:hAnsi="Century" w:cs="Times New Roman"/>
      <w:sz w:val="20"/>
      <w:szCs w:val="20"/>
      <w:lang w:eastAsia="ja-JP"/>
    </w:rPr>
  </w:style>
  <w:style w:type="paragraph" w:styleId="a6">
    <w:name w:val="No Spacing"/>
    <w:rsid w:val="00735769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0"/>
      <w:lang w:eastAsia="ja-JP"/>
    </w:rPr>
  </w:style>
  <w:style w:type="paragraph" w:styleId="a7">
    <w:name w:val="Balloon Text"/>
    <w:basedOn w:val="a"/>
    <w:link w:val="a8"/>
    <w:uiPriority w:val="99"/>
    <w:semiHidden/>
    <w:unhideWhenUsed/>
    <w:rsid w:val="00735769"/>
    <w:rPr>
      <w:rFonts w:ascii="Segoe UI" w:hAnsi="Segoe UI" w:cs="Segoe U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35769"/>
    <w:rPr>
      <w:rFonts w:ascii="Segoe UI" w:eastAsia="ＭＳ 明朝" w:hAnsi="Segoe UI" w:cs="Segoe UI"/>
      <w:sz w:val="18"/>
      <w:szCs w:val="18"/>
      <w:lang w:eastAsia="ja-JP"/>
    </w:rPr>
  </w:style>
  <w:style w:type="paragraph" w:styleId="a9">
    <w:name w:val="annotation subject"/>
    <w:basedOn w:val="a4"/>
    <w:next w:val="a4"/>
    <w:link w:val="aa"/>
    <w:uiPriority w:val="99"/>
    <w:semiHidden/>
    <w:unhideWhenUsed/>
    <w:rsid w:val="00735769"/>
    <w:rPr>
      <w:b/>
      <w:bCs/>
    </w:rPr>
  </w:style>
  <w:style w:type="character" w:customStyle="1" w:styleId="aa">
    <w:name w:val="コメント内容 (文字)"/>
    <w:basedOn w:val="a5"/>
    <w:link w:val="a9"/>
    <w:uiPriority w:val="99"/>
    <w:semiHidden/>
    <w:rsid w:val="00735769"/>
    <w:rPr>
      <w:rFonts w:ascii="Century" w:eastAsia="ＭＳ 明朝" w:hAnsi="Century" w:cs="Times New Roman"/>
      <w:b/>
      <w:bCs/>
      <w:sz w:val="20"/>
      <w:szCs w:val="20"/>
      <w:lang w:eastAsia="ja-JP"/>
    </w:rPr>
  </w:style>
  <w:style w:type="paragraph" w:styleId="ab">
    <w:name w:val="Revision"/>
    <w:hidden/>
    <w:uiPriority w:val="99"/>
    <w:semiHidden/>
    <w:rsid w:val="00CF055A"/>
    <w:pPr>
      <w:spacing w:after="0" w:line="240" w:lineRule="auto"/>
    </w:pPr>
    <w:rPr>
      <w:rFonts w:ascii="Century" w:eastAsia="ＭＳ 明朝" w:hAnsi="Century" w:cs="Times New Roman"/>
      <w:sz w:val="21"/>
      <w:szCs w:val="20"/>
      <w:lang w:eastAsia="ja-JP"/>
    </w:rPr>
  </w:style>
  <w:style w:type="paragraph" w:styleId="ac">
    <w:name w:val="header"/>
    <w:basedOn w:val="a"/>
    <w:link w:val="ad"/>
    <w:uiPriority w:val="99"/>
    <w:unhideWhenUsed/>
    <w:rsid w:val="00CF08C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CF08CB"/>
    <w:rPr>
      <w:rFonts w:ascii="Century" w:eastAsia="ＭＳ 明朝" w:hAnsi="Century" w:cs="Times New Roman"/>
      <w:sz w:val="21"/>
      <w:szCs w:val="20"/>
      <w:lang w:eastAsia="ja-JP"/>
    </w:rPr>
  </w:style>
  <w:style w:type="paragraph" w:styleId="ae">
    <w:name w:val="footer"/>
    <w:basedOn w:val="a"/>
    <w:link w:val="af"/>
    <w:uiPriority w:val="99"/>
    <w:unhideWhenUsed/>
    <w:rsid w:val="00CF08C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CF08CB"/>
    <w:rPr>
      <w:rFonts w:ascii="Century" w:eastAsia="ＭＳ 明朝" w:hAnsi="Century" w:cs="Times New Roman"/>
      <w:sz w:val="21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miyoshi@hyo-med.ac.jp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Miyoshi</cp:lastModifiedBy>
  <cp:revision>16</cp:revision>
  <dcterms:created xsi:type="dcterms:W3CDTF">2024-02-20T03:59:00Z</dcterms:created>
  <dcterms:modified xsi:type="dcterms:W3CDTF">2024-07-22T02:15:00Z</dcterms:modified>
</cp:coreProperties>
</file>