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26BA9" w14:textId="77777777" w:rsidR="00A32AFF" w:rsidRPr="001472DF" w:rsidRDefault="00A32AFF" w:rsidP="00A32AFF">
      <w:pPr>
        <w:rPr>
          <w:rFonts w:cstheme="minorHAnsi"/>
          <w:b/>
          <w:bCs/>
          <w:lang w:val="en-US"/>
        </w:rPr>
      </w:pPr>
      <w:r w:rsidRPr="001472DF">
        <w:rPr>
          <w:rFonts w:cstheme="minorHAnsi"/>
          <w:b/>
          <w:bCs/>
          <w:lang w:val="en-US"/>
        </w:rPr>
        <w:t>Online resource 2</w:t>
      </w:r>
    </w:p>
    <w:p w14:paraId="5B990557" w14:textId="77777777" w:rsidR="00A32AFF" w:rsidRPr="001472DF" w:rsidRDefault="00A32AFF" w:rsidP="00A32AFF">
      <w:pPr>
        <w:rPr>
          <w:rFonts w:cstheme="minorHAnsi"/>
          <w:lang w:val="en-US"/>
        </w:rPr>
      </w:pPr>
      <w:r w:rsidRPr="001472DF">
        <w:rPr>
          <w:rFonts w:cstheme="minorHAnsi"/>
          <w:b/>
          <w:bCs/>
          <w:lang w:val="en-US"/>
        </w:rPr>
        <w:t xml:space="preserve">Table 5 </w:t>
      </w:r>
      <w:r w:rsidRPr="001472DF">
        <w:rPr>
          <w:rFonts w:cstheme="minorHAnsi"/>
          <w:lang w:val="en-US"/>
        </w:rPr>
        <w:t>Multivariable Cox proportional hazards model for time to distant BC recurrence or death with adjusted HR and 95% CI for overall and time-varying (initial and late) effects</w:t>
      </w: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2592"/>
        <w:gridCol w:w="1700"/>
        <w:gridCol w:w="994"/>
        <w:gridCol w:w="1706"/>
        <w:gridCol w:w="1698"/>
        <w:gridCol w:w="699"/>
      </w:tblGrid>
      <w:tr w:rsidR="001472DF" w:rsidRPr="001472DF" w14:paraId="11DBD2A7" w14:textId="77777777" w:rsidTr="00D22AC3">
        <w:trPr>
          <w:trHeight w:val="557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</w:tcBorders>
          </w:tcPr>
          <w:p w14:paraId="186EB75F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  <w:tcBorders>
              <w:top w:val="single" w:sz="4" w:space="0" w:color="auto"/>
            </w:tcBorders>
          </w:tcPr>
          <w:p w14:paraId="6A7D660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67C0861E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Overall effect</w:t>
            </w:r>
          </w:p>
          <w:p w14:paraId="5FE609BC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 (95% CI)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</w:tcPr>
          <w:p w14:paraId="17104D2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  <w:r w:rsidRPr="001472DF">
              <w:rPr>
                <w:rFonts w:cstheme="minorHAnsi"/>
                <w:sz w:val="16"/>
                <w:szCs w:val="16"/>
                <w:lang w:val="en-US"/>
              </w:rPr>
              <w:t>-value for overall effect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</w:tcBorders>
          </w:tcPr>
          <w:p w14:paraId="676CEBE5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Initial effect</w:t>
            </w:r>
            <w:r w:rsidRPr="001472DF">
              <w:rPr>
                <w:rFonts w:cstheme="minorHAnsi"/>
                <w:b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  <w:p w14:paraId="58A28D67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 (95% CI)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14:paraId="6F1780C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Late effect</w:t>
            </w:r>
          </w:p>
          <w:p w14:paraId="73B3723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HR,(95% CI)</w:t>
            </w:r>
          </w:p>
        </w:tc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</w:tcPr>
          <w:p w14:paraId="46324708" w14:textId="77777777" w:rsidR="00A32AFF" w:rsidRPr="001472DF" w:rsidRDefault="00A32AFF" w:rsidP="00D22AC3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 xml:space="preserve">Heterogeneity </w:t>
            </w:r>
            <w:r w:rsidRPr="001472DF">
              <w:rPr>
                <w:rFonts w:eastAsiaTheme="majorEastAsia" w:cstheme="minorHAnsi"/>
                <w:i/>
                <w:iCs/>
                <w:sz w:val="16"/>
                <w:szCs w:val="16"/>
                <w:lang w:val="en-US"/>
              </w:rPr>
              <w:t>p</w:t>
            </w: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-value</w:t>
            </w:r>
          </w:p>
        </w:tc>
      </w:tr>
      <w:tr w:rsidR="001472DF" w:rsidRPr="001472DF" w14:paraId="2EE2E24E" w14:textId="77777777" w:rsidTr="00D22AC3">
        <w:trPr>
          <w:trHeight w:val="20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92D14D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  <w:t>BRCA</w:t>
            </w: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status 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1185D44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 xml:space="preserve">Ref = </w:t>
            </w:r>
            <w:r w:rsidRPr="001472DF">
              <w:rPr>
                <w:rFonts w:eastAsiaTheme="majorEastAsia" w:cstheme="minorHAnsi"/>
                <w:i/>
                <w:iCs/>
                <w:sz w:val="16"/>
                <w:szCs w:val="16"/>
                <w:lang w:val="en-US"/>
              </w:rPr>
              <w:t>BRCA</w:t>
            </w: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wt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</w:tcPr>
          <w:p w14:paraId="562D5C8B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</w:tcBorders>
          </w:tcPr>
          <w:p w14:paraId="2544158B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14:paraId="3FFB2F31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</w:tcPr>
          <w:p w14:paraId="224E3F66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0B094F7B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5110914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bookmarkStart w:id="0" w:name="_Hlk178671978"/>
          </w:p>
        </w:tc>
        <w:tc>
          <w:tcPr>
            <w:tcW w:w="1346" w:type="pct"/>
          </w:tcPr>
          <w:p w14:paraId="03A2C49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i/>
                <w:iCs/>
                <w:sz w:val="16"/>
                <w:szCs w:val="16"/>
                <w:lang w:val="en-US"/>
              </w:rPr>
              <w:t>BRCApv</w:t>
            </w:r>
          </w:p>
        </w:tc>
        <w:tc>
          <w:tcPr>
            <w:tcW w:w="883" w:type="pct"/>
          </w:tcPr>
          <w:p w14:paraId="165D70C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1.31 (1.06–1.63)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19BBA56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4EC4717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0.72 (0.47–1.11)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6141223D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1.53 (1.22–1.93)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1ACB79B8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0.002</w:t>
            </w:r>
          </w:p>
        </w:tc>
      </w:tr>
      <w:bookmarkEnd w:id="0"/>
      <w:tr w:rsidR="001472DF" w:rsidRPr="001472DF" w14:paraId="2F47901E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7F3AC7A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CRRM</w:t>
            </w:r>
          </w:p>
        </w:tc>
        <w:tc>
          <w:tcPr>
            <w:tcW w:w="883" w:type="pct"/>
          </w:tcPr>
          <w:p w14:paraId="0D0AEED9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7779BAE5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1403C8A6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703539A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44F2BCF3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813B74B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6770A091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66CCDA6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Yes (time-dependent)</w:t>
            </w:r>
          </w:p>
        </w:tc>
        <w:tc>
          <w:tcPr>
            <w:tcW w:w="883" w:type="pct"/>
          </w:tcPr>
          <w:p w14:paraId="5BE47C2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0.63 (0.51–0.78)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77D0930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42D668C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0.63 (0.51–0.78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367E7B2D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2D4841DE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327C4E0B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376B8353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RRBSO</w:t>
            </w:r>
          </w:p>
        </w:tc>
        <w:tc>
          <w:tcPr>
            <w:tcW w:w="883" w:type="pct"/>
          </w:tcPr>
          <w:p w14:paraId="3299E12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545F01B0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0.09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5BD08E15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6AE7B0F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557CDECD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ABCE00D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65CAC13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2E63C7F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Yes (time-dependent)</w:t>
            </w:r>
          </w:p>
        </w:tc>
        <w:tc>
          <w:tcPr>
            <w:tcW w:w="883" w:type="pct"/>
          </w:tcPr>
          <w:p w14:paraId="44FBAFF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0.86 (0.73–1.02)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069A710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6DEEA1E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0.89 (0.75–1.06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76C734D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53435FBE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540C927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1AEC3F5F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Age at diagnosis (years)</w:t>
            </w:r>
          </w:p>
        </w:tc>
        <w:tc>
          <w:tcPr>
            <w:tcW w:w="883" w:type="pct"/>
          </w:tcPr>
          <w:p w14:paraId="7447E185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40–59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04A3AC7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161D3D4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7AC5C9E0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10DE8FD6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6CA8BDF4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6171B0C9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61980421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18–39 </w:t>
            </w:r>
          </w:p>
        </w:tc>
        <w:tc>
          <w:tcPr>
            <w:tcW w:w="883" w:type="pct"/>
          </w:tcPr>
          <w:p w14:paraId="1FE36285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1.17 (1.01–1.35)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71475DC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59E6B1B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1.49 (1.24–1.79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023C28A0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0.78 (0.61–0.99)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58EF3A9F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&lt;0.001</w:t>
            </w:r>
          </w:p>
        </w:tc>
      </w:tr>
      <w:tr w:rsidR="001472DF" w:rsidRPr="001472DF" w14:paraId="4F477437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208C2278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3B130D91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≥60  </w:t>
            </w:r>
          </w:p>
        </w:tc>
        <w:tc>
          <w:tcPr>
            <w:tcW w:w="883" w:type="pct"/>
          </w:tcPr>
          <w:p w14:paraId="64FC4173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1.54 (1.30–1.83)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3C67C77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745B451D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1.05 (0.81–1.37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6C776E88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2.17 (1.74–2.69)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CD84121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&lt;0.001</w:t>
            </w:r>
          </w:p>
        </w:tc>
      </w:tr>
      <w:tr w:rsidR="001472DF" w:rsidRPr="001472DF" w14:paraId="2484E124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03424B09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CCI </w:t>
            </w:r>
          </w:p>
        </w:tc>
        <w:tc>
          <w:tcPr>
            <w:tcW w:w="883" w:type="pct"/>
          </w:tcPr>
          <w:p w14:paraId="21453EB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CCI 0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7883868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68CE26DD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47B5E37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27E5589A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AE51850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18BDE9B6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48BBB778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CCI 1 </w:t>
            </w:r>
          </w:p>
        </w:tc>
        <w:tc>
          <w:tcPr>
            <w:tcW w:w="883" w:type="pct"/>
          </w:tcPr>
          <w:p w14:paraId="647A53F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1.22 (1.00–1.50)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3F39DEB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73FE17E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0.95 (0.69–1.31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75E73F4C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1.57 (1.21–2.04)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43742CBD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0.02</w:t>
            </w:r>
          </w:p>
        </w:tc>
      </w:tr>
      <w:tr w:rsidR="001472DF" w:rsidRPr="001472DF" w14:paraId="78735897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21E2A41C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0EBE80FE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CCI 2+</w:t>
            </w:r>
          </w:p>
        </w:tc>
        <w:tc>
          <w:tcPr>
            <w:tcW w:w="883" w:type="pct"/>
          </w:tcPr>
          <w:p w14:paraId="3D675A4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1.76 (1.35–2.29)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100277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3DF7FFB7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1.79 (1.38–2.33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6E19DB61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71021883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5BD3BB8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7C1A948F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Definitive surgery </w:t>
            </w:r>
          </w:p>
        </w:tc>
        <w:tc>
          <w:tcPr>
            <w:tcW w:w="883" w:type="pct"/>
          </w:tcPr>
          <w:p w14:paraId="22C22DF5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Mastectomy -RT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0E69DB2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0E096E7E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1AE08CE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38A2514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353CE39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57A8D84F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037F4012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Breast-conserving</w:t>
            </w:r>
          </w:p>
        </w:tc>
        <w:tc>
          <w:tcPr>
            <w:tcW w:w="883" w:type="pct"/>
          </w:tcPr>
          <w:p w14:paraId="43C99F3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0.61 (0.50–0.73)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28ED24E5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2CAD35F7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0.55 (0.45–0.67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0BFC173B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0.80 (0.59–1.07)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6113E562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0.02</w:t>
            </w:r>
          </w:p>
        </w:tc>
      </w:tr>
      <w:tr w:rsidR="001472DF" w:rsidRPr="001472DF" w14:paraId="1B18581F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511B3094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1B238FBC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Mastectomy +RT</w:t>
            </w:r>
          </w:p>
        </w:tc>
        <w:tc>
          <w:tcPr>
            <w:tcW w:w="883" w:type="pct"/>
          </w:tcPr>
          <w:p w14:paraId="3E4DDD5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0.94 (0.75–1.18)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C31155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120D8AEC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0.93 (0.74–1.17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2C97360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4001AB60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D132A00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0FF9535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Histological subtype</w:t>
            </w:r>
          </w:p>
        </w:tc>
        <w:tc>
          <w:tcPr>
            <w:tcW w:w="883" w:type="pct"/>
          </w:tcPr>
          <w:p w14:paraId="6AFFCFC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Ductal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72D3F470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0.73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48556E6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1078B5F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1EA8594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7E9A55A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033F146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25FF5C96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Lobular</w:t>
            </w:r>
          </w:p>
        </w:tc>
        <w:tc>
          <w:tcPr>
            <w:tcW w:w="883" w:type="pct"/>
          </w:tcPr>
          <w:p w14:paraId="508FA8C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1.05 (0.84–1.30)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324BCE2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2130E73E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1.07 (0.86–1.33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6C240206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C6E8B7A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0B07C32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59796C53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223D8518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Other or unknown</w:t>
            </w:r>
          </w:p>
        </w:tc>
        <w:tc>
          <w:tcPr>
            <w:tcW w:w="883" w:type="pct"/>
          </w:tcPr>
          <w:p w14:paraId="2D27B480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0.91 (0.67–1.22)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744509D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42D58721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1.54 (0.97–2.45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14ADCCA4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0.77 (0.54–1.10)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6A906646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1472DF" w:rsidRPr="001472DF" w14:paraId="7FE57988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4D99722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Malignancy grading</w:t>
            </w:r>
          </w:p>
        </w:tc>
        <w:tc>
          <w:tcPr>
            <w:tcW w:w="883" w:type="pct"/>
          </w:tcPr>
          <w:p w14:paraId="12BD9398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Grade 1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0DD3FBF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18772DF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2F2A5B41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6FBAB40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5D759E6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21745AF5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07D228EC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Grade 2 </w:t>
            </w:r>
          </w:p>
        </w:tc>
        <w:tc>
          <w:tcPr>
            <w:tcW w:w="883" w:type="pct"/>
          </w:tcPr>
          <w:p w14:paraId="247896E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1.29 (1.06–1.56)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141624C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0464E3A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1.29 (1.06–1.56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2D7EB35F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70B40958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6D7A14E2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71A099CE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39395817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Grade 3 </w:t>
            </w:r>
          </w:p>
        </w:tc>
        <w:tc>
          <w:tcPr>
            <w:tcW w:w="883" w:type="pct"/>
          </w:tcPr>
          <w:p w14:paraId="67F545B1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1.55 (1.25–1.93)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77F8140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018E47F3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1.84 (1.43–2.36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4A6AE4A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1.41 (1.08–1.83)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1D1ECE7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0.06</w:t>
            </w:r>
          </w:p>
        </w:tc>
      </w:tr>
      <w:tr w:rsidR="001472DF" w:rsidRPr="001472DF" w14:paraId="55AAA4C1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7F80206E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Tumor diameter</w:t>
            </w:r>
          </w:p>
        </w:tc>
        <w:tc>
          <w:tcPr>
            <w:tcW w:w="883" w:type="pct"/>
          </w:tcPr>
          <w:p w14:paraId="71691651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≤20mm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78A1317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370B485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46E2725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784A4E4C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CA83CE4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0E7F76B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4AFA85A7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&gt;20 mm </w:t>
            </w:r>
          </w:p>
        </w:tc>
        <w:tc>
          <w:tcPr>
            <w:tcW w:w="883" w:type="pct"/>
          </w:tcPr>
          <w:p w14:paraId="07E62778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1.34 (1.17–1.53)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2384EB3B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3D40F899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1.44 (1.24–1.68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008DC7F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0.94 (0.70–1.26)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5A3D4C62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0.009</w:t>
            </w:r>
          </w:p>
        </w:tc>
      </w:tr>
      <w:tr w:rsidR="001472DF" w:rsidRPr="001472DF" w14:paraId="1E5A633E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5D34F4B5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ER/HER2</w:t>
            </w:r>
          </w:p>
        </w:tc>
        <w:tc>
          <w:tcPr>
            <w:tcW w:w="883" w:type="pct"/>
          </w:tcPr>
          <w:p w14:paraId="539CA39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ER+/HER2–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3B3C978C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1E8E987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5F7C1FC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7DC6D50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24E9F947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0C9DF873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23510CB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TNBC</w:t>
            </w:r>
          </w:p>
        </w:tc>
        <w:tc>
          <w:tcPr>
            <w:tcW w:w="883" w:type="pct"/>
          </w:tcPr>
          <w:p w14:paraId="7761F0D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0.89 (0.70–1.12)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03616DEE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4BC306D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1.08 (0.74–1.58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13E98B7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0.65 (0.49–0.85)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1975023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0.02</w:t>
            </w:r>
          </w:p>
        </w:tc>
      </w:tr>
      <w:tr w:rsidR="001472DF" w:rsidRPr="001472DF" w14:paraId="103A7BA7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3F0CD2D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6A0244D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HER2+</w:t>
            </w:r>
          </w:p>
        </w:tc>
        <w:tc>
          <w:tcPr>
            <w:tcW w:w="883" w:type="pct"/>
          </w:tcPr>
          <w:p w14:paraId="74188289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0.65 (0.54–0.78)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B54C11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2D7FC0C2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0.63 (0.52–0.76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191297A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795014CA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DA8924A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2EA6694C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412241D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883" w:type="pct"/>
          </w:tcPr>
          <w:p w14:paraId="5A453FB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0.58 (0.43–0.78)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2DA9D1BB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66DFB7A4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0.53 (0.39–0.70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2F94FE1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1E3DD2C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1708199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6700E84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Nodal status</w:t>
            </w:r>
          </w:p>
        </w:tc>
        <w:tc>
          <w:tcPr>
            <w:tcW w:w="883" w:type="pct"/>
          </w:tcPr>
          <w:p w14:paraId="28DC53B3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Node-negative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2783B45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02A993C5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3E96A83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4BFE993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37F05C79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14289237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737E1454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1–3 positive nodes</w:t>
            </w:r>
          </w:p>
        </w:tc>
        <w:tc>
          <w:tcPr>
            <w:tcW w:w="883" w:type="pct"/>
          </w:tcPr>
          <w:p w14:paraId="46DEDE3D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1.44 (1.20–1.73)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F00B09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08834FF3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1.39 (1.16–1.67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309ECEA8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576AD168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3134B107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1B1851B2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0F02D4F0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≥4 positive nodes/FNA-positive</w:t>
            </w:r>
          </w:p>
        </w:tc>
        <w:tc>
          <w:tcPr>
            <w:tcW w:w="883" w:type="pct"/>
          </w:tcPr>
          <w:p w14:paraId="7AAFA24C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2.88 (2.36–3.51)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3EF236C5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6D2BF277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3.82 (2.80–5.21</w:t>
            </w:r>
            <w:r w:rsidRPr="001472D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4A01A356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2.53 (2.05–3.14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BE3E77E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0.001</w:t>
            </w:r>
          </w:p>
        </w:tc>
      </w:tr>
      <w:tr w:rsidR="001472DF" w:rsidRPr="001472DF" w14:paraId="57B20F78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4D7834B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(Neo)adjuvant chemotherapy</w:t>
            </w:r>
          </w:p>
        </w:tc>
        <w:tc>
          <w:tcPr>
            <w:tcW w:w="883" w:type="pct"/>
          </w:tcPr>
          <w:p w14:paraId="178BC5F3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Not administered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6835B0D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6ECE7029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00B1D45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412C331F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0EB18BD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6508406A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089C09D6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</w:t>
            </w:r>
          </w:p>
        </w:tc>
        <w:tc>
          <w:tcPr>
            <w:tcW w:w="883" w:type="pct"/>
          </w:tcPr>
          <w:p w14:paraId="65321CB9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0.69 (0.59–0.82)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E84D81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596215D6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0.85 (0.70–1.03)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22EC90C7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0.51 (0.38–0.68)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687AFA8E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0.002</w:t>
            </w:r>
          </w:p>
        </w:tc>
      </w:tr>
      <w:tr w:rsidR="001472DF" w:rsidRPr="001472DF" w14:paraId="2E532C0E" w14:textId="77777777" w:rsidTr="00D22AC3">
        <w:trPr>
          <w:trHeight w:val="20"/>
        </w:trPr>
        <w:tc>
          <w:tcPr>
            <w:tcW w:w="1470" w:type="pct"/>
            <w:gridSpan w:val="2"/>
            <w:tcBorders>
              <w:left w:val="single" w:sz="4" w:space="0" w:color="auto"/>
            </w:tcBorders>
          </w:tcPr>
          <w:p w14:paraId="6620EDDD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Adjuvant endocrine therapy </w:t>
            </w:r>
          </w:p>
        </w:tc>
        <w:tc>
          <w:tcPr>
            <w:tcW w:w="883" w:type="pct"/>
          </w:tcPr>
          <w:p w14:paraId="1852240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Not administered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223C29B5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7918DB71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49A7845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3A8C2ACF" w14:textId="77777777" w:rsidR="00A32AFF" w:rsidRPr="001472DF" w:rsidRDefault="00A32AFF" w:rsidP="00D22AC3">
            <w:pPr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6404EFFE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</w:tcBorders>
          </w:tcPr>
          <w:p w14:paraId="47CDDB4B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</w:tcPr>
          <w:p w14:paraId="3F62ADA7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 (0–2 years)</w:t>
            </w:r>
          </w:p>
        </w:tc>
        <w:tc>
          <w:tcPr>
            <w:tcW w:w="883" w:type="pct"/>
          </w:tcPr>
          <w:p w14:paraId="47ACBE9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0.66 (0.55–0.78)</w:t>
            </w:r>
          </w:p>
        </w:tc>
        <w:tc>
          <w:tcPr>
            <w:tcW w:w="516" w:type="pct"/>
            <w:tcBorders>
              <w:right w:val="single" w:sz="4" w:space="0" w:color="auto"/>
            </w:tcBorders>
          </w:tcPr>
          <w:p w14:paraId="4918F91B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</w:tcBorders>
          </w:tcPr>
          <w:p w14:paraId="5E194E82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0.26 (0.18–0.38)</w:t>
            </w:r>
          </w:p>
        </w:tc>
        <w:tc>
          <w:tcPr>
            <w:tcW w:w="882" w:type="pct"/>
            <w:tcBorders>
              <w:right w:val="single" w:sz="4" w:space="0" w:color="auto"/>
            </w:tcBorders>
          </w:tcPr>
          <w:p w14:paraId="0BE5B8EE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0.48 (0.37–0.62)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14:paraId="06F444ED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0.006</w:t>
            </w:r>
          </w:p>
        </w:tc>
      </w:tr>
      <w:tr w:rsidR="001472DF" w:rsidRPr="001472DF" w14:paraId="53038A5A" w14:textId="77777777" w:rsidTr="00D22AC3">
        <w:trPr>
          <w:trHeight w:val="20"/>
        </w:trPr>
        <w:tc>
          <w:tcPr>
            <w:tcW w:w="124" w:type="pct"/>
            <w:tcBorders>
              <w:left w:val="single" w:sz="4" w:space="0" w:color="auto"/>
              <w:bottom w:val="single" w:sz="4" w:space="0" w:color="auto"/>
            </w:tcBorders>
          </w:tcPr>
          <w:p w14:paraId="2C77D072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346" w:type="pct"/>
            <w:tcBorders>
              <w:bottom w:val="single" w:sz="4" w:space="0" w:color="auto"/>
            </w:tcBorders>
          </w:tcPr>
          <w:p w14:paraId="0B8471D8" w14:textId="77777777" w:rsidR="00A32AFF" w:rsidRPr="001472DF" w:rsidRDefault="00A32AFF" w:rsidP="00D22AC3">
            <w:pPr>
              <w:spacing w:after="160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 (&gt;5 years)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7310296F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516" w:type="pct"/>
            <w:tcBorders>
              <w:bottom w:val="single" w:sz="4" w:space="0" w:color="auto"/>
              <w:right w:val="single" w:sz="4" w:space="0" w:color="auto"/>
            </w:tcBorders>
          </w:tcPr>
          <w:p w14:paraId="4E12697B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</w:tcBorders>
          </w:tcPr>
          <w:p w14:paraId="33656BBA" w14:textId="77777777" w:rsidR="00A32AFF" w:rsidRPr="001472DF" w:rsidRDefault="00A32AFF" w:rsidP="00D22AC3">
            <w:pPr>
              <w:spacing w:after="160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14:paraId="54E28274" w14:textId="77777777" w:rsidR="00A32AFF" w:rsidRPr="001472DF" w:rsidRDefault="00A32AFF" w:rsidP="00D22AC3">
            <w:pPr>
              <w:spacing w:after="160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1.06 (0.85–1.33)</w:t>
            </w:r>
          </w:p>
        </w:tc>
        <w:tc>
          <w:tcPr>
            <w:tcW w:w="363" w:type="pct"/>
            <w:tcBorders>
              <w:bottom w:val="single" w:sz="4" w:space="0" w:color="auto"/>
              <w:right w:val="single" w:sz="4" w:space="0" w:color="auto"/>
            </w:tcBorders>
          </w:tcPr>
          <w:p w14:paraId="10B38BB6" w14:textId="77777777" w:rsidR="00A32AFF" w:rsidRPr="001472DF" w:rsidRDefault="00A32AFF" w:rsidP="00D22AC3">
            <w:pPr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&lt;0.001</w:t>
            </w:r>
          </w:p>
        </w:tc>
      </w:tr>
    </w:tbl>
    <w:p w14:paraId="49DF723D" w14:textId="77777777" w:rsidR="00A32AFF" w:rsidRPr="001472DF" w:rsidRDefault="00A32AFF" w:rsidP="00A32AFF">
      <w:pPr>
        <w:spacing w:line="259" w:lineRule="auto"/>
        <w:rPr>
          <w:rFonts w:cstheme="minorHAnsi"/>
          <w:sz w:val="20"/>
          <w:szCs w:val="20"/>
          <w:lang w:val="en-US"/>
        </w:rPr>
      </w:pPr>
      <w:r w:rsidRPr="001472DF">
        <w:rPr>
          <w:rFonts w:cstheme="minorHAnsi"/>
          <w:sz w:val="20"/>
          <w:szCs w:val="20"/>
          <w:vertAlign w:val="superscript"/>
          <w:lang w:val="en-US"/>
        </w:rPr>
        <w:t>a</w:t>
      </w:r>
      <w:r w:rsidRPr="001472DF">
        <w:rPr>
          <w:rFonts w:cstheme="minorHAnsi"/>
          <w:sz w:val="20"/>
          <w:szCs w:val="20"/>
          <w:lang w:val="en-US"/>
        </w:rPr>
        <w:t>Variables showing time-varying effects:</w:t>
      </w:r>
      <w:r w:rsidRPr="001472DF">
        <w:rPr>
          <w:rFonts w:cstheme="minorHAnsi"/>
          <w:sz w:val="20"/>
          <w:szCs w:val="20"/>
          <w:lang w:val="en-US"/>
        </w:rPr>
        <w:br/>
        <w:t>At 2 years</w:t>
      </w:r>
      <w:r w:rsidRPr="001472DF">
        <w:rPr>
          <w:rFonts w:cstheme="minorHAnsi"/>
          <w:i/>
          <w:iCs/>
          <w:sz w:val="20"/>
          <w:szCs w:val="20"/>
          <w:lang w:val="en-US"/>
        </w:rPr>
        <w:t>: BRCA</w:t>
      </w:r>
      <w:r w:rsidRPr="001472DF">
        <w:rPr>
          <w:rFonts w:cstheme="minorHAnsi"/>
          <w:sz w:val="20"/>
          <w:szCs w:val="20"/>
          <w:lang w:val="en-US"/>
        </w:rPr>
        <w:t>pv, histological subtype other/unknown, TNBC, ≥4 positive nodes/FNA-positive.</w:t>
      </w:r>
      <w:r w:rsidRPr="001472DF">
        <w:rPr>
          <w:rFonts w:cstheme="minorHAnsi"/>
          <w:sz w:val="20"/>
          <w:szCs w:val="20"/>
          <w:lang w:val="en-US"/>
        </w:rPr>
        <w:br/>
        <w:t>At 5 years: Age 18–39, age ≥60, CCI 1, malignancy grade 3</w:t>
      </w:r>
      <w:r w:rsidRPr="001472DF">
        <w:rPr>
          <w:rFonts w:cstheme="minorHAnsi"/>
          <w:sz w:val="20"/>
          <w:szCs w:val="20"/>
          <w:lang w:val="en-US"/>
        </w:rPr>
        <w:br/>
        <w:t>At 10 years: Breast-conserving surgery, tumor size &gt;20 mm, any chemotherapy (</w:t>
      </w:r>
      <w:r w:rsidRPr="001472DF">
        <w:rPr>
          <w:rFonts w:ascii="Calibri" w:hAnsi="Calibri" w:cs="Calibri"/>
          <w:i/>
          <w:iCs/>
          <w:sz w:val="18"/>
          <w:szCs w:val="18"/>
          <w:lang w:val="en-US"/>
        </w:rPr>
        <w:t>p</w:t>
      </w:r>
      <w:r w:rsidRPr="001472DF">
        <w:rPr>
          <w:rFonts w:ascii="Calibri" w:hAnsi="Calibri" w:cs="Calibri"/>
          <w:sz w:val="18"/>
          <w:szCs w:val="18"/>
          <w:lang w:val="en-US"/>
        </w:rPr>
        <w:t xml:space="preserve"> = </w:t>
      </w:r>
      <w:r w:rsidRPr="001472DF">
        <w:rPr>
          <w:rFonts w:cstheme="minorHAnsi"/>
          <w:sz w:val="20"/>
          <w:szCs w:val="20"/>
          <w:lang w:val="en-US"/>
        </w:rPr>
        <w:t>0.002).</w:t>
      </w:r>
      <w:r w:rsidRPr="001472DF">
        <w:rPr>
          <w:rFonts w:cstheme="minorHAnsi"/>
          <w:sz w:val="20"/>
          <w:szCs w:val="20"/>
          <w:lang w:val="en-US"/>
        </w:rPr>
        <w:br/>
        <w:t>At both 2 and 5 years: Any adjuvant endocrine therapy.</w:t>
      </w:r>
    </w:p>
    <w:p w14:paraId="1C2E7C4F" w14:textId="77777777" w:rsidR="00A32AFF" w:rsidRPr="001472DF" w:rsidRDefault="00A32AFF" w:rsidP="00A32AFF">
      <w:pPr>
        <w:spacing w:line="259" w:lineRule="auto"/>
        <w:rPr>
          <w:rFonts w:cstheme="minorHAnsi"/>
          <w:sz w:val="20"/>
          <w:szCs w:val="20"/>
          <w:lang w:val="en-US"/>
        </w:rPr>
      </w:pPr>
      <w:r w:rsidRPr="001472DF">
        <w:rPr>
          <w:rFonts w:cstheme="minorHAnsi"/>
          <w:i/>
          <w:iCs/>
          <w:sz w:val="20"/>
          <w:szCs w:val="20"/>
          <w:lang w:val="en-US"/>
        </w:rPr>
        <w:t>BRCAwt</w:t>
      </w:r>
      <w:r w:rsidRPr="001472DF">
        <w:rPr>
          <w:rFonts w:cstheme="minorHAnsi"/>
          <w:sz w:val="20"/>
          <w:szCs w:val="20"/>
          <w:lang w:val="en-US"/>
        </w:rPr>
        <w:t xml:space="preserve"> wild-type </w:t>
      </w:r>
      <w:r w:rsidRPr="001472DF">
        <w:rPr>
          <w:rFonts w:cstheme="minorHAnsi"/>
          <w:i/>
          <w:iCs/>
          <w:sz w:val="20"/>
          <w:szCs w:val="20"/>
          <w:lang w:val="en-US"/>
        </w:rPr>
        <w:t>BRCA1</w:t>
      </w:r>
      <w:r w:rsidRPr="001472DF">
        <w:rPr>
          <w:rFonts w:cstheme="minorHAnsi"/>
          <w:sz w:val="20"/>
          <w:szCs w:val="20"/>
          <w:lang w:val="en-US"/>
        </w:rPr>
        <w:t xml:space="preserve"> and </w:t>
      </w:r>
      <w:r w:rsidRPr="001472DF">
        <w:rPr>
          <w:rFonts w:cstheme="minorHAnsi"/>
          <w:i/>
          <w:iCs/>
          <w:sz w:val="20"/>
          <w:szCs w:val="20"/>
          <w:lang w:val="en-US"/>
        </w:rPr>
        <w:t xml:space="preserve">BRCA2 </w:t>
      </w:r>
      <w:r w:rsidRPr="001472DF">
        <w:rPr>
          <w:rFonts w:cstheme="minorHAnsi"/>
          <w:sz w:val="20"/>
          <w:szCs w:val="20"/>
          <w:lang w:val="en-US"/>
        </w:rPr>
        <w:t xml:space="preserve">genes; </w:t>
      </w:r>
      <w:r w:rsidRPr="001472DF">
        <w:rPr>
          <w:rFonts w:cstheme="minorHAnsi"/>
          <w:i/>
          <w:iCs/>
          <w:sz w:val="20"/>
          <w:szCs w:val="20"/>
          <w:lang w:val="en-US"/>
        </w:rPr>
        <w:t>BRCApv</w:t>
      </w:r>
      <w:r w:rsidRPr="001472DF">
        <w:rPr>
          <w:rFonts w:cstheme="minorHAnsi"/>
          <w:sz w:val="20"/>
          <w:szCs w:val="20"/>
          <w:lang w:val="en-US"/>
        </w:rPr>
        <w:t xml:space="preserve"> pathogenic variants in the BRCA1 and BRCA2 genes; </w:t>
      </w:r>
      <w:r w:rsidRPr="001472DF">
        <w:rPr>
          <w:rFonts w:cstheme="minorHAnsi"/>
          <w:i/>
          <w:iCs/>
          <w:sz w:val="20"/>
          <w:szCs w:val="20"/>
          <w:lang w:val="en-US"/>
        </w:rPr>
        <w:t>CI</w:t>
      </w:r>
      <w:r w:rsidRPr="001472DF">
        <w:rPr>
          <w:rFonts w:cstheme="minorHAnsi"/>
          <w:sz w:val="20"/>
          <w:szCs w:val="20"/>
          <w:lang w:val="en-US"/>
        </w:rPr>
        <w:t xml:space="preserve"> confidence interval; </w:t>
      </w:r>
      <w:r w:rsidRPr="001472DF">
        <w:rPr>
          <w:rFonts w:cstheme="minorHAnsi"/>
          <w:i/>
          <w:iCs/>
          <w:sz w:val="20"/>
          <w:szCs w:val="20"/>
          <w:lang w:val="en-US"/>
        </w:rPr>
        <w:t>CRRM</w:t>
      </w:r>
      <w:r w:rsidRPr="001472DF">
        <w:rPr>
          <w:rFonts w:cstheme="minorHAnsi"/>
          <w:sz w:val="20"/>
          <w:szCs w:val="20"/>
          <w:lang w:val="en-US"/>
        </w:rPr>
        <w:t xml:space="preserve"> contralateral risk-reducing mastectomy; </w:t>
      </w:r>
      <w:r w:rsidRPr="001472DF">
        <w:rPr>
          <w:rFonts w:cstheme="minorHAnsi"/>
          <w:i/>
          <w:iCs/>
          <w:sz w:val="20"/>
          <w:szCs w:val="20"/>
          <w:lang w:val="en-US"/>
        </w:rPr>
        <w:t>HER2</w:t>
      </w:r>
      <w:r w:rsidRPr="001472DF">
        <w:rPr>
          <w:rFonts w:cstheme="minorHAnsi"/>
          <w:sz w:val="20"/>
          <w:szCs w:val="20"/>
          <w:lang w:val="en-US"/>
        </w:rPr>
        <w:t xml:space="preserve"> human epidermal growth factor receptor 2; </w:t>
      </w:r>
      <w:r w:rsidRPr="001472DF">
        <w:rPr>
          <w:rFonts w:cstheme="minorHAnsi"/>
          <w:i/>
          <w:iCs/>
          <w:sz w:val="20"/>
          <w:szCs w:val="20"/>
          <w:lang w:val="en-US"/>
        </w:rPr>
        <w:t>HR</w:t>
      </w:r>
      <w:r w:rsidRPr="001472DF">
        <w:rPr>
          <w:rFonts w:cstheme="minorHAnsi"/>
          <w:sz w:val="20"/>
          <w:szCs w:val="20"/>
          <w:lang w:val="en-US"/>
        </w:rPr>
        <w:t xml:space="preserve"> hazard ratio; </w:t>
      </w:r>
      <w:r w:rsidRPr="001472DF">
        <w:rPr>
          <w:rFonts w:cstheme="minorHAnsi"/>
          <w:i/>
          <w:iCs/>
          <w:sz w:val="20"/>
          <w:szCs w:val="20"/>
          <w:lang w:val="en-US"/>
        </w:rPr>
        <w:t>RRBSO</w:t>
      </w:r>
      <w:r w:rsidRPr="001472DF">
        <w:rPr>
          <w:rFonts w:cstheme="minorHAnsi"/>
          <w:sz w:val="20"/>
          <w:szCs w:val="20"/>
          <w:lang w:val="en-US"/>
        </w:rPr>
        <w:t xml:space="preserve"> risk-reducing bilateral salpingo-oophorectomy; </w:t>
      </w:r>
      <w:r w:rsidRPr="001472DF">
        <w:rPr>
          <w:rFonts w:cstheme="minorHAnsi"/>
          <w:i/>
          <w:iCs/>
          <w:sz w:val="20"/>
          <w:szCs w:val="20"/>
          <w:lang w:val="en-US"/>
        </w:rPr>
        <w:t>CCI</w:t>
      </w:r>
      <w:r w:rsidRPr="001472DF">
        <w:rPr>
          <w:rFonts w:cstheme="minorHAnsi"/>
          <w:sz w:val="20"/>
          <w:szCs w:val="20"/>
          <w:lang w:val="en-US"/>
        </w:rPr>
        <w:t xml:space="preserve"> Charlson Comorbidity Index; </w:t>
      </w:r>
      <w:r w:rsidRPr="001472DF">
        <w:rPr>
          <w:rFonts w:cstheme="minorHAnsi"/>
          <w:i/>
          <w:iCs/>
          <w:sz w:val="20"/>
          <w:szCs w:val="20"/>
          <w:lang w:val="en-US"/>
        </w:rPr>
        <w:t>RT</w:t>
      </w:r>
      <w:r w:rsidRPr="001472DF">
        <w:rPr>
          <w:rFonts w:cstheme="minorHAnsi"/>
          <w:sz w:val="20"/>
          <w:szCs w:val="20"/>
          <w:lang w:val="en-US"/>
        </w:rPr>
        <w:t xml:space="preserve"> radiotherapy; </w:t>
      </w:r>
      <w:r w:rsidRPr="001472DF">
        <w:rPr>
          <w:rFonts w:cstheme="minorHAnsi"/>
          <w:i/>
          <w:iCs/>
          <w:sz w:val="20"/>
          <w:szCs w:val="20"/>
          <w:lang w:val="en-US"/>
        </w:rPr>
        <w:t>TNBC</w:t>
      </w:r>
      <w:r w:rsidRPr="001472DF">
        <w:rPr>
          <w:rFonts w:cstheme="minorHAnsi"/>
          <w:sz w:val="20"/>
          <w:szCs w:val="20"/>
          <w:lang w:val="en-US"/>
        </w:rPr>
        <w:t xml:space="preserve"> triple-negative breast cancer, i.e. ER-negative/HER2-negative; </w:t>
      </w:r>
      <w:r w:rsidRPr="001472DF">
        <w:rPr>
          <w:rFonts w:cstheme="minorHAnsi"/>
          <w:i/>
          <w:iCs/>
          <w:sz w:val="20"/>
          <w:szCs w:val="20"/>
          <w:lang w:val="en-US"/>
        </w:rPr>
        <w:t>FNA</w:t>
      </w:r>
      <w:r w:rsidRPr="001472DF">
        <w:rPr>
          <w:rFonts w:cstheme="minorHAnsi"/>
          <w:sz w:val="20"/>
          <w:szCs w:val="20"/>
          <w:lang w:val="en-US"/>
        </w:rPr>
        <w:t>, fine-needle aspirate.</w:t>
      </w:r>
    </w:p>
    <w:p w14:paraId="3E6396A0" w14:textId="77777777" w:rsidR="00A32AFF" w:rsidRPr="001472DF" w:rsidRDefault="00A32AFF" w:rsidP="00A32AFF">
      <w:pPr>
        <w:rPr>
          <w:rFonts w:cstheme="minorHAnsi"/>
          <w:b/>
          <w:bCs/>
          <w:lang w:val="en-US"/>
        </w:rPr>
      </w:pPr>
      <w:r w:rsidRPr="001472DF">
        <w:rPr>
          <w:rFonts w:cstheme="minorHAnsi"/>
          <w:b/>
          <w:bCs/>
          <w:lang w:val="en-US"/>
        </w:rPr>
        <w:lastRenderedPageBreak/>
        <w:br w:type="page"/>
      </w:r>
    </w:p>
    <w:p w14:paraId="0D964D3F" w14:textId="77777777" w:rsidR="00A32AFF" w:rsidRPr="001472DF" w:rsidRDefault="00A32AFF" w:rsidP="00A32AFF">
      <w:pPr>
        <w:rPr>
          <w:rFonts w:cstheme="minorHAnsi"/>
          <w:b/>
          <w:bCs/>
          <w:lang w:val="en-US"/>
        </w:rPr>
      </w:pPr>
      <w:r w:rsidRPr="001472DF">
        <w:rPr>
          <w:rFonts w:cstheme="minorHAnsi"/>
          <w:b/>
          <w:bCs/>
          <w:lang w:val="en-US"/>
        </w:rPr>
        <w:lastRenderedPageBreak/>
        <w:t>Online Resource 3</w:t>
      </w:r>
    </w:p>
    <w:p w14:paraId="5A1E2A8C" w14:textId="77777777" w:rsidR="00A32AFF" w:rsidRPr="001472DF" w:rsidRDefault="00A32AFF" w:rsidP="00A32AFF">
      <w:pPr>
        <w:rPr>
          <w:rFonts w:cstheme="minorHAnsi"/>
          <w:sz w:val="20"/>
          <w:szCs w:val="20"/>
          <w:lang w:val="en-US"/>
        </w:rPr>
      </w:pPr>
      <w:r w:rsidRPr="001472DF">
        <w:rPr>
          <w:rFonts w:cstheme="minorHAnsi"/>
          <w:b/>
          <w:bCs/>
          <w:lang w:val="en-US"/>
        </w:rPr>
        <w:t xml:space="preserve">Table 6 </w:t>
      </w:r>
      <w:r w:rsidRPr="001472DF">
        <w:rPr>
          <w:rFonts w:cstheme="minorHAnsi"/>
          <w:lang w:val="en-US"/>
        </w:rPr>
        <w:t>Multivariable Cox proportional hazards model for time to death (overall survival) with adjusted HR and 95% CI for overall and time-varying (initial and late) effects</w:t>
      </w:r>
    </w:p>
    <w:tbl>
      <w:tblPr>
        <w:tblStyle w:val="Style1"/>
        <w:tblW w:w="5056" w:type="pct"/>
        <w:tblLayout w:type="fixed"/>
        <w:tblLook w:val="04A0" w:firstRow="1" w:lastRow="0" w:firstColumn="1" w:lastColumn="0" w:noHBand="0" w:noVBand="1"/>
      </w:tblPr>
      <w:tblGrid>
        <w:gridCol w:w="278"/>
        <w:gridCol w:w="2446"/>
        <w:gridCol w:w="1719"/>
        <w:gridCol w:w="1147"/>
        <w:gridCol w:w="1262"/>
        <w:gridCol w:w="240"/>
        <w:gridCol w:w="220"/>
        <w:gridCol w:w="1723"/>
        <w:gridCol w:w="701"/>
      </w:tblGrid>
      <w:tr w:rsidR="001472DF" w:rsidRPr="001472DF" w14:paraId="7B3EB418" w14:textId="77777777" w:rsidTr="00D22AC3">
        <w:trPr>
          <w:cantSplit/>
          <w:trHeight w:val="2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</w:tcBorders>
          </w:tcPr>
          <w:p w14:paraId="525333B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bookmarkStart w:id="1" w:name="_Hlk182216351"/>
          </w:p>
        </w:tc>
        <w:tc>
          <w:tcPr>
            <w:tcW w:w="1256" w:type="pct"/>
            <w:tcBorders>
              <w:top w:val="single" w:sz="4" w:space="0" w:color="auto"/>
            </w:tcBorders>
          </w:tcPr>
          <w:p w14:paraId="5CF310A6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73D29A1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Overall effect</w:t>
            </w:r>
          </w:p>
          <w:p w14:paraId="716EC39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 (95% CI)</w:t>
            </w:r>
          </w:p>
        </w:tc>
        <w:tc>
          <w:tcPr>
            <w:tcW w:w="589" w:type="pct"/>
            <w:tcBorders>
              <w:top w:val="single" w:sz="4" w:space="0" w:color="auto"/>
              <w:right w:val="single" w:sz="4" w:space="0" w:color="auto"/>
            </w:tcBorders>
          </w:tcPr>
          <w:p w14:paraId="41516FB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  <w:r w:rsidRPr="001472DF">
              <w:rPr>
                <w:rFonts w:cstheme="minorHAnsi"/>
                <w:sz w:val="16"/>
                <w:szCs w:val="16"/>
                <w:lang w:val="en-US"/>
              </w:rPr>
              <w:t>-value</w:t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C37717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Initial effect</w:t>
            </w:r>
            <w:r w:rsidRPr="001472DF">
              <w:rPr>
                <w:rFonts w:cstheme="minorHAnsi"/>
                <w:b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  <w:p w14:paraId="26087544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 (95% CI)</w:t>
            </w:r>
          </w:p>
        </w:tc>
        <w:tc>
          <w:tcPr>
            <w:tcW w:w="885" w:type="pct"/>
            <w:tcBorders>
              <w:top w:val="single" w:sz="4" w:space="0" w:color="auto"/>
              <w:right w:val="single" w:sz="4" w:space="0" w:color="auto"/>
            </w:tcBorders>
          </w:tcPr>
          <w:p w14:paraId="2D876A9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Late effect</w:t>
            </w:r>
          </w:p>
          <w:p w14:paraId="3F105E1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Adjusted HR, (95% CI)</w:t>
            </w:r>
          </w:p>
        </w:tc>
        <w:tc>
          <w:tcPr>
            <w:tcW w:w="360" w:type="pct"/>
            <w:tcBorders>
              <w:top w:val="single" w:sz="4" w:space="0" w:color="auto"/>
              <w:right w:val="single" w:sz="4" w:space="0" w:color="auto"/>
            </w:tcBorders>
          </w:tcPr>
          <w:p w14:paraId="71F5BC1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 xml:space="preserve">Heterogeneity </w:t>
            </w:r>
            <w:r w:rsidRPr="001472DF">
              <w:rPr>
                <w:rFonts w:eastAsiaTheme="majorEastAsia" w:cstheme="minorHAnsi"/>
                <w:i/>
                <w:iCs/>
                <w:sz w:val="16"/>
                <w:szCs w:val="16"/>
                <w:lang w:val="en-US"/>
              </w:rPr>
              <w:t>p</w:t>
            </w: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 xml:space="preserve">-value </w:t>
            </w:r>
          </w:p>
        </w:tc>
      </w:tr>
      <w:bookmarkEnd w:id="1"/>
      <w:tr w:rsidR="001472DF" w:rsidRPr="001472DF" w14:paraId="40A429F1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8FFDD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i/>
                <w:iCs/>
                <w:sz w:val="16"/>
                <w:szCs w:val="16"/>
                <w:lang w:val="en-US"/>
              </w:rPr>
              <w:t>BRCA</w:t>
            </w: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status 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420939E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 xml:space="preserve">Ref = </w:t>
            </w:r>
            <w:r w:rsidRPr="001472DF">
              <w:rPr>
                <w:rFonts w:eastAsiaTheme="majorEastAsia" w:cstheme="minorHAnsi"/>
                <w:i/>
                <w:iCs/>
                <w:sz w:val="16"/>
                <w:szCs w:val="16"/>
                <w:lang w:val="en-US"/>
              </w:rPr>
              <w:t>BRCA</w:t>
            </w: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wt</w:t>
            </w:r>
          </w:p>
        </w:tc>
        <w:tc>
          <w:tcPr>
            <w:tcW w:w="589" w:type="pct"/>
            <w:tcBorders>
              <w:top w:val="single" w:sz="4" w:space="0" w:color="auto"/>
              <w:right w:val="single" w:sz="4" w:space="0" w:color="auto"/>
            </w:tcBorders>
          </w:tcPr>
          <w:p w14:paraId="770034B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0.08</w:t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DF3B88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top w:val="single" w:sz="4" w:space="0" w:color="auto"/>
              <w:right w:val="single" w:sz="4" w:space="0" w:color="auto"/>
            </w:tcBorders>
          </w:tcPr>
          <w:p w14:paraId="69FB281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right w:val="single" w:sz="4" w:space="0" w:color="auto"/>
            </w:tcBorders>
          </w:tcPr>
          <w:p w14:paraId="633D459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873E749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74E9EC3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4D173EB6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i/>
                <w:iCs/>
                <w:sz w:val="16"/>
                <w:szCs w:val="16"/>
                <w:lang w:val="en-US"/>
              </w:rPr>
              <w:t>BRCApv</w:t>
            </w:r>
          </w:p>
        </w:tc>
        <w:tc>
          <w:tcPr>
            <w:tcW w:w="883" w:type="pct"/>
          </w:tcPr>
          <w:p w14:paraId="0FCDB26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1.24 (0.97–1.58)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6141A43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E45651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1.25 (0.99–1.59)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743E30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426A05F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5DA5C77B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117CE6D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CRRM</w:t>
            </w:r>
          </w:p>
        </w:tc>
        <w:tc>
          <w:tcPr>
            <w:tcW w:w="883" w:type="pct"/>
          </w:tcPr>
          <w:p w14:paraId="7FAF86C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BD3BDD2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5525D64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2799B24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4E59949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D8C7F46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3BE2B21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02D71897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Yes, time-dependent</w:t>
            </w:r>
          </w:p>
        </w:tc>
        <w:tc>
          <w:tcPr>
            <w:tcW w:w="883" w:type="pct"/>
          </w:tcPr>
          <w:p w14:paraId="10D7127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0.64 (0.51–0.81)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25EC9FF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1C0FEA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0.64 (0.51–0.81)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63F60A2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0F18BC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42626C82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11FB97F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vertAlign w:val="superscript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RRBSO</w:t>
            </w:r>
          </w:p>
        </w:tc>
        <w:tc>
          <w:tcPr>
            <w:tcW w:w="883" w:type="pct"/>
          </w:tcPr>
          <w:p w14:paraId="7C00C79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44F62A9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0.66</w:t>
            </w:r>
          </w:p>
        </w:tc>
        <w:tc>
          <w:tcPr>
            <w:tcW w:w="648" w:type="pct"/>
            <w:tcBorders>
              <w:left w:val="single" w:sz="4" w:space="0" w:color="auto"/>
            </w:tcBorders>
          </w:tcPr>
          <w:p w14:paraId="32CE014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3" w:type="pct"/>
          </w:tcPr>
          <w:p w14:paraId="24141A1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8" w:type="pct"/>
            <w:gridSpan w:val="2"/>
            <w:tcBorders>
              <w:right w:val="single" w:sz="4" w:space="0" w:color="auto"/>
            </w:tcBorders>
          </w:tcPr>
          <w:p w14:paraId="3239FCF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5AB297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0EB0CB7E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54E98C9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1EC2929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Yes, time-dependent</w:t>
            </w:r>
          </w:p>
        </w:tc>
        <w:tc>
          <w:tcPr>
            <w:tcW w:w="883" w:type="pct"/>
          </w:tcPr>
          <w:p w14:paraId="297F2EC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0.96 (0.80–1.16)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F328CC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14F1A7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0.98 (0.81–1.18)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72B60F5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4D77F9A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5CCDEED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2F7B5C1E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Age at diagnosis (years)</w:t>
            </w:r>
          </w:p>
        </w:tc>
        <w:tc>
          <w:tcPr>
            <w:tcW w:w="883" w:type="pct"/>
          </w:tcPr>
          <w:p w14:paraId="2A89BF5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40 – 59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17E61A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874C62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62E22CB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19D970E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3D55F1F1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5F910CDA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5AA6F07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18–39</w:t>
            </w:r>
          </w:p>
        </w:tc>
        <w:tc>
          <w:tcPr>
            <w:tcW w:w="883" w:type="pct"/>
          </w:tcPr>
          <w:p w14:paraId="51640D4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1.15 (0.97–1.36),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65F176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912328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1.31 (1.08–1.57)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1A29F41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0.67 (0.44–1.00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684BD1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0.003</w:t>
            </w:r>
          </w:p>
        </w:tc>
      </w:tr>
      <w:tr w:rsidR="001472DF" w:rsidRPr="001472DF" w14:paraId="656D4C61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252F904E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2CBFCD7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≥60</w:t>
            </w:r>
          </w:p>
        </w:tc>
        <w:tc>
          <w:tcPr>
            <w:tcW w:w="883" w:type="pct"/>
          </w:tcPr>
          <w:p w14:paraId="5539180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1.93 (1.60–2.34)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A5AC1C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56C96402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1.62 (1.30–2.03)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070E83B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3.32 (2.44–4.52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2DF8E92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</w:tr>
      <w:tr w:rsidR="001472DF" w:rsidRPr="001472DF" w14:paraId="49B0C2FA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2D18212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CCI </w:t>
            </w:r>
          </w:p>
        </w:tc>
        <w:tc>
          <w:tcPr>
            <w:tcW w:w="883" w:type="pct"/>
          </w:tcPr>
          <w:p w14:paraId="11BD591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CCI 0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280FCBD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10B634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2CEB62E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D3EB4F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20FBC75B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1D34DA2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0FA28C4D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CCI 1 </w:t>
            </w:r>
          </w:p>
        </w:tc>
        <w:tc>
          <w:tcPr>
            <w:tcW w:w="883" w:type="pct"/>
          </w:tcPr>
          <w:p w14:paraId="69ED0FE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1.31 (1.04–1.64)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468912E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13A5E70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1.07 (0.80–1.41)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E9DC91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2.31 (1.58–3.37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663882B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0.001</w:t>
            </w:r>
          </w:p>
        </w:tc>
      </w:tr>
      <w:tr w:rsidR="001472DF" w:rsidRPr="001472DF" w14:paraId="6B66E33E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761BA0DB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1CF6F79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CCI 2+</w:t>
            </w:r>
          </w:p>
        </w:tc>
        <w:tc>
          <w:tcPr>
            <w:tcW w:w="883" w:type="pct"/>
          </w:tcPr>
          <w:p w14:paraId="4985CD8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1.79 (1.33–2.40)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2D29795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B20261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1.77 (1.32–2.37)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0B6312E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2D8349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3470FE3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65289F8E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Definitive surgery </w:t>
            </w:r>
          </w:p>
        </w:tc>
        <w:tc>
          <w:tcPr>
            <w:tcW w:w="883" w:type="pct"/>
          </w:tcPr>
          <w:p w14:paraId="627E094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Mastectomy -RT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18373BA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19F7E1A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598FD7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6941903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0DEAC19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283932E2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3561E384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Breast-conserving</w:t>
            </w:r>
          </w:p>
        </w:tc>
        <w:tc>
          <w:tcPr>
            <w:tcW w:w="883" w:type="pct"/>
          </w:tcPr>
          <w:p w14:paraId="0762098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0.64 (0.52–0.78)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57138FC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480819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0.36 (0.22–0.59)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70F7663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0.68 (0.55–0.84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E189A2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0.003</w:t>
            </w:r>
          </w:p>
        </w:tc>
      </w:tr>
      <w:tr w:rsidR="001472DF" w:rsidRPr="001472DF" w14:paraId="447E0C28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297D246F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40EB78C9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Mastectomy +RT</w:t>
            </w:r>
          </w:p>
        </w:tc>
        <w:tc>
          <w:tcPr>
            <w:tcW w:w="883" w:type="pct"/>
          </w:tcPr>
          <w:p w14:paraId="2485954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1.00 (0.77–1.29)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33BCB1F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9041D2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1.00 (0.77–1.29)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DDF6BD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F39B91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F8A1AB2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32A536D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Histological subtype</w:t>
            </w:r>
          </w:p>
        </w:tc>
        <w:tc>
          <w:tcPr>
            <w:tcW w:w="883" w:type="pct"/>
          </w:tcPr>
          <w:p w14:paraId="0735CDE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Ductal NOS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362974D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0.68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F74D02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6F620C6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1F83D4D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0BBB9212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102EF489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7467E563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Lobular</w:t>
            </w:r>
          </w:p>
        </w:tc>
        <w:tc>
          <w:tcPr>
            <w:tcW w:w="883" w:type="pct"/>
          </w:tcPr>
          <w:p w14:paraId="50D7FAF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1.07 (0.84–1.37)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8C3436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45FC807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1.11 (0.86–1.42)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02D8E66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60B54A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01EB6F10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35DF6946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56D666C3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Other or unknown (2 years)</w:t>
            </w:r>
          </w:p>
        </w:tc>
        <w:tc>
          <w:tcPr>
            <w:tcW w:w="883" w:type="pct"/>
          </w:tcPr>
          <w:p w14:paraId="7A3139D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0.89 (0.63–1.26)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4D85596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FC4A6E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2.53 (1.38–4.62)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0643D2E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1.21 (0.71–2.07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2FD7E8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0.03</w:t>
            </w:r>
          </w:p>
        </w:tc>
      </w:tr>
      <w:tr w:rsidR="001472DF" w:rsidRPr="001472DF" w14:paraId="7B12A1C1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40107BE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536D09A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Other or unknown (5 years)</w:t>
            </w:r>
          </w:p>
        </w:tc>
        <w:tc>
          <w:tcPr>
            <w:tcW w:w="883" w:type="pct"/>
          </w:tcPr>
          <w:p w14:paraId="1918553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558ACB8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48AE764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67FD184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0.58 (0.34–0.98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39A21E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0.04</w:t>
            </w:r>
          </w:p>
        </w:tc>
      </w:tr>
      <w:tr w:rsidR="001472DF" w:rsidRPr="001472DF" w14:paraId="6BE3E4CF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14D4746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Malignancy grading</w:t>
            </w:r>
          </w:p>
        </w:tc>
        <w:tc>
          <w:tcPr>
            <w:tcW w:w="883" w:type="pct"/>
          </w:tcPr>
          <w:p w14:paraId="3582870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Grade 1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6B83222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0C25A1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B06B3B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2B29566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4244EBB3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20CDD907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140BB6E4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Grade 2 </w:t>
            </w:r>
          </w:p>
        </w:tc>
        <w:tc>
          <w:tcPr>
            <w:tcW w:w="883" w:type="pct"/>
          </w:tcPr>
          <w:p w14:paraId="2073F80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1.27 (1.02–1.59)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1BFF3562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8AFA85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1.30 (1.04–1.63)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75DA3D9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078B85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F0D3D1F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691302C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195F44F9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Grade 3 </w:t>
            </w:r>
          </w:p>
        </w:tc>
        <w:tc>
          <w:tcPr>
            <w:tcW w:w="883" w:type="pct"/>
          </w:tcPr>
          <w:p w14:paraId="76E5B76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 xml:space="preserve">1.54 (1.20–1.97) 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65B9FE6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B61855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2.17 (1.57–2.99)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74639B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1.40 (1.06–1.86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3C21282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0.009</w:t>
            </w:r>
          </w:p>
        </w:tc>
      </w:tr>
      <w:tr w:rsidR="001472DF" w:rsidRPr="001472DF" w14:paraId="4CA5354D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19EEC4E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Tumor diameter</w:t>
            </w:r>
          </w:p>
        </w:tc>
        <w:tc>
          <w:tcPr>
            <w:tcW w:w="883" w:type="pct"/>
          </w:tcPr>
          <w:p w14:paraId="78038D7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≤20mm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3B56914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311220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4353EF7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0617730C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1EC60FD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78FAAFA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44325E7B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&gt;20 mm </w:t>
            </w:r>
          </w:p>
        </w:tc>
        <w:tc>
          <w:tcPr>
            <w:tcW w:w="883" w:type="pct"/>
          </w:tcPr>
          <w:p w14:paraId="5B5F7E6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1.39 (1.19–1.62)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798140E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EA4F2E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1.38 (1.19–1.61)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49077F47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3FAAAE4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383FD983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34518E2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ER/HER2</w:t>
            </w:r>
          </w:p>
        </w:tc>
        <w:tc>
          <w:tcPr>
            <w:tcW w:w="883" w:type="pct"/>
          </w:tcPr>
          <w:p w14:paraId="37C7F3A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ER+/HER2–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CDBBE1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51933F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12EAF42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AA648B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04069A74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0488524E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7CCA3A65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 xml:space="preserve">TNBC  </w:t>
            </w:r>
          </w:p>
        </w:tc>
        <w:tc>
          <w:tcPr>
            <w:tcW w:w="883" w:type="pct"/>
          </w:tcPr>
          <w:p w14:paraId="752F408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1.10 (0.85–1.43)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30CA92F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675028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1.08 (0.77–1.52)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1EF6F2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0.61 (0.42–0.88)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4988112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0.01</w:t>
            </w:r>
          </w:p>
        </w:tc>
      </w:tr>
      <w:tr w:rsidR="001472DF" w:rsidRPr="001472DF" w14:paraId="74351B68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0C5FF7B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58AFA57C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HER2+</w:t>
            </w:r>
          </w:p>
        </w:tc>
        <w:tc>
          <w:tcPr>
            <w:tcW w:w="883" w:type="pct"/>
          </w:tcPr>
          <w:p w14:paraId="656C7D1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0.66 (0.53–0.82)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E0866B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7358BE7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0.22 (0.10–0.48)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2E8FA21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0.68 (0.54–0.85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74B061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0.004</w:t>
            </w:r>
          </w:p>
        </w:tc>
      </w:tr>
      <w:tr w:rsidR="001472DF" w:rsidRPr="001472DF" w14:paraId="443207C5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3469656F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4A652884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883" w:type="pct"/>
          </w:tcPr>
          <w:p w14:paraId="25D03DF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0.67 (0.50–0.91)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40E55FA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3A9280D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0.58 (0.42–0.79)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2165EB1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5DF968B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17FCC595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4E60F69E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lastRenderedPageBreak/>
              <w:t>Nodal status</w:t>
            </w:r>
          </w:p>
        </w:tc>
        <w:tc>
          <w:tcPr>
            <w:tcW w:w="883" w:type="pct"/>
          </w:tcPr>
          <w:p w14:paraId="78E1F45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Node-negative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0F68CCB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428220A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152CA6C1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6D05F10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5497272A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57349A67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181440E1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1–3 positive nodes</w:t>
            </w:r>
          </w:p>
        </w:tc>
        <w:tc>
          <w:tcPr>
            <w:tcW w:w="883" w:type="pct"/>
          </w:tcPr>
          <w:p w14:paraId="5C09BAF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1.38 (1.12–1.70)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7C55D37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39F731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1.33 (1.08–1.63)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170F565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426FC2F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1472DF" w:rsidRPr="001472DF" w14:paraId="7BBE760C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45C66141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668DE323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≥4 positive nodes/FNA-positive (0–2 years)</w:t>
            </w:r>
          </w:p>
        </w:tc>
        <w:tc>
          <w:tcPr>
            <w:tcW w:w="883" w:type="pct"/>
          </w:tcPr>
          <w:p w14:paraId="6C4F9E7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2.68 (2.14–3.36)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457F128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36F669A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4.59 (2.91–7.25)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26413199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</w:rPr>
              <w:t>2.71 (2.10–3.48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2E1877F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</w:rPr>
              <w:t>0.03</w:t>
            </w:r>
          </w:p>
        </w:tc>
      </w:tr>
      <w:tr w:rsidR="001472DF" w:rsidRPr="001472DF" w14:paraId="46B428E9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54C3A338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705974BB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≥4 positive nodes/FNA-positive (&gt;10 years)</w:t>
            </w:r>
          </w:p>
        </w:tc>
        <w:tc>
          <w:tcPr>
            <w:tcW w:w="883" w:type="pct"/>
          </w:tcPr>
          <w:p w14:paraId="32E01E8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5AFFC66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16C5C4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  <w:lang w:val="en-US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51DD6D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</w:rPr>
              <w:t>1.68 (1.16–2.44</w:t>
            </w:r>
            <w:r w:rsidRPr="001472DF">
              <w:rPr>
                <w:rFonts w:eastAsiaTheme="majorEastAsia" w:cstheme="minorHAnsi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4C8641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</w:rPr>
              <w:t>0.02</w:t>
            </w:r>
          </w:p>
        </w:tc>
      </w:tr>
      <w:tr w:rsidR="001472DF" w:rsidRPr="001472DF" w14:paraId="34167249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08923DCD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(Neo)adjuvant chemotherapy</w:t>
            </w:r>
          </w:p>
        </w:tc>
        <w:tc>
          <w:tcPr>
            <w:tcW w:w="883" w:type="pct"/>
          </w:tcPr>
          <w:p w14:paraId="6D599C1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Not administered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21C513A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2090325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56E89F7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353B0408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38D17CEF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5C2B2A04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7EF7D0F0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</w:t>
            </w:r>
          </w:p>
        </w:tc>
        <w:tc>
          <w:tcPr>
            <w:tcW w:w="883" w:type="pct"/>
          </w:tcPr>
          <w:p w14:paraId="0417803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0.73 (0.60–0.87)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149DE57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0879D8C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0.76 (0.63–0.92)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457D56F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747EA01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34B04BF6" w14:textId="77777777" w:rsidTr="00D22AC3">
        <w:trPr>
          <w:cantSplit/>
          <w:trHeight w:val="20"/>
        </w:trPr>
        <w:tc>
          <w:tcPr>
            <w:tcW w:w="1399" w:type="pct"/>
            <w:gridSpan w:val="2"/>
            <w:tcBorders>
              <w:left w:val="single" w:sz="4" w:space="0" w:color="auto"/>
            </w:tcBorders>
          </w:tcPr>
          <w:p w14:paraId="57B2B52A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b/>
                <w:bCs/>
                <w:sz w:val="16"/>
                <w:szCs w:val="16"/>
                <w:lang w:val="en-US"/>
              </w:rPr>
              <w:t>Adjuvant endocrine therapy</w:t>
            </w:r>
          </w:p>
        </w:tc>
        <w:tc>
          <w:tcPr>
            <w:tcW w:w="883" w:type="pct"/>
          </w:tcPr>
          <w:p w14:paraId="7DDCEC03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Ref = Not administered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1F57348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6F8758F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366BE1FB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63C9182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472DF" w:rsidRPr="001472DF" w14:paraId="6035CB28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</w:tcBorders>
          </w:tcPr>
          <w:p w14:paraId="6A5EF441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</w:tcPr>
          <w:p w14:paraId="57CD6449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 (0–2 years)</w:t>
            </w:r>
          </w:p>
        </w:tc>
        <w:tc>
          <w:tcPr>
            <w:tcW w:w="883" w:type="pct"/>
          </w:tcPr>
          <w:p w14:paraId="7D8D3C54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0.61 (0.50–0.74)</w:t>
            </w:r>
          </w:p>
        </w:tc>
        <w:tc>
          <w:tcPr>
            <w:tcW w:w="589" w:type="pct"/>
            <w:tcBorders>
              <w:right w:val="single" w:sz="4" w:space="0" w:color="auto"/>
            </w:tcBorders>
          </w:tcPr>
          <w:p w14:paraId="2E504D5D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</w:tcBorders>
          </w:tcPr>
          <w:p w14:paraId="59B4C386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0.18 (0.10–0.30)</w:t>
            </w:r>
          </w:p>
        </w:tc>
        <w:tc>
          <w:tcPr>
            <w:tcW w:w="885" w:type="pct"/>
            <w:tcBorders>
              <w:right w:val="single" w:sz="4" w:space="0" w:color="auto"/>
            </w:tcBorders>
          </w:tcPr>
          <w:p w14:paraId="06BDC44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0.35 (0.25–0.49)</w:t>
            </w:r>
          </w:p>
        </w:tc>
        <w:tc>
          <w:tcPr>
            <w:tcW w:w="360" w:type="pct"/>
            <w:tcBorders>
              <w:right w:val="single" w:sz="4" w:space="0" w:color="auto"/>
            </w:tcBorders>
          </w:tcPr>
          <w:p w14:paraId="391E7330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eastAsiaTheme="majorEastAsia" w:cstheme="minorHAnsi"/>
                <w:sz w:val="16"/>
                <w:szCs w:val="16"/>
              </w:rPr>
              <w:t>0.01</w:t>
            </w:r>
          </w:p>
        </w:tc>
      </w:tr>
      <w:tr w:rsidR="001472DF" w:rsidRPr="001472DF" w14:paraId="09267BA8" w14:textId="77777777" w:rsidTr="00D22AC3">
        <w:trPr>
          <w:cantSplit/>
          <w:trHeight w:val="20"/>
        </w:trPr>
        <w:tc>
          <w:tcPr>
            <w:tcW w:w="143" w:type="pct"/>
            <w:tcBorders>
              <w:left w:val="single" w:sz="4" w:space="0" w:color="auto"/>
              <w:bottom w:val="single" w:sz="4" w:space="0" w:color="auto"/>
            </w:tcBorders>
          </w:tcPr>
          <w:p w14:paraId="0ABFABC1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56" w:type="pct"/>
            <w:tcBorders>
              <w:bottom w:val="single" w:sz="4" w:space="0" w:color="auto"/>
            </w:tcBorders>
          </w:tcPr>
          <w:p w14:paraId="762CC601" w14:textId="77777777" w:rsidR="00A32AFF" w:rsidRPr="001472DF" w:rsidRDefault="00A32AFF" w:rsidP="00D22AC3">
            <w:pPr>
              <w:spacing w:after="160" w:line="259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1472DF">
              <w:rPr>
                <w:rFonts w:cstheme="minorHAnsi"/>
                <w:sz w:val="16"/>
                <w:szCs w:val="16"/>
                <w:lang w:val="en-US"/>
              </w:rPr>
              <w:t>Any (&gt;5 years)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2EB50BBA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589" w:type="pct"/>
            <w:tcBorders>
              <w:bottom w:val="single" w:sz="4" w:space="0" w:color="auto"/>
              <w:right w:val="single" w:sz="4" w:space="0" w:color="auto"/>
            </w:tcBorders>
          </w:tcPr>
          <w:p w14:paraId="728F9FA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AEDD07F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eastAsiaTheme="majorEastAsia" w:cstheme="minorHAnsi"/>
                <w:sz w:val="16"/>
                <w:szCs w:val="16"/>
              </w:rPr>
            </w:pPr>
          </w:p>
        </w:tc>
        <w:tc>
          <w:tcPr>
            <w:tcW w:w="885" w:type="pct"/>
            <w:tcBorders>
              <w:bottom w:val="single" w:sz="4" w:space="0" w:color="auto"/>
              <w:right w:val="single" w:sz="4" w:space="0" w:color="auto"/>
            </w:tcBorders>
          </w:tcPr>
          <w:p w14:paraId="60645C65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0.85 (0.67–1.07)</w:t>
            </w:r>
          </w:p>
        </w:tc>
        <w:tc>
          <w:tcPr>
            <w:tcW w:w="360" w:type="pct"/>
            <w:tcBorders>
              <w:bottom w:val="single" w:sz="4" w:space="0" w:color="auto"/>
              <w:right w:val="single" w:sz="4" w:space="0" w:color="auto"/>
            </w:tcBorders>
          </w:tcPr>
          <w:p w14:paraId="05397ABE" w14:textId="77777777" w:rsidR="00A32AFF" w:rsidRPr="001472DF" w:rsidRDefault="00A32AFF" w:rsidP="00D22AC3">
            <w:pPr>
              <w:spacing w:after="160" w:line="259" w:lineRule="auto"/>
              <w:jc w:val="right"/>
              <w:rPr>
                <w:rFonts w:cstheme="minorHAnsi"/>
                <w:sz w:val="16"/>
                <w:szCs w:val="16"/>
              </w:rPr>
            </w:pPr>
            <w:r w:rsidRPr="001472DF">
              <w:rPr>
                <w:rFonts w:cstheme="minorHAnsi"/>
                <w:sz w:val="16"/>
                <w:szCs w:val="16"/>
              </w:rPr>
              <w:t>&lt;0.001</w:t>
            </w:r>
          </w:p>
        </w:tc>
      </w:tr>
    </w:tbl>
    <w:p w14:paraId="24628B17" w14:textId="77777777" w:rsidR="00A32AFF" w:rsidRPr="001472DF" w:rsidRDefault="00A32AFF" w:rsidP="00A32AFF">
      <w:pPr>
        <w:spacing w:line="259" w:lineRule="auto"/>
        <w:rPr>
          <w:rFonts w:cstheme="minorHAnsi"/>
          <w:sz w:val="20"/>
          <w:szCs w:val="20"/>
          <w:lang w:val="en-US"/>
        </w:rPr>
      </w:pPr>
      <w:r w:rsidRPr="001472DF">
        <w:rPr>
          <w:rFonts w:cstheme="minorHAnsi"/>
          <w:sz w:val="20"/>
          <w:szCs w:val="20"/>
          <w:vertAlign w:val="superscript"/>
          <w:lang w:val="en-US"/>
        </w:rPr>
        <w:t xml:space="preserve">a </w:t>
      </w:r>
      <w:r w:rsidRPr="001472DF">
        <w:rPr>
          <w:rFonts w:cstheme="minorHAnsi"/>
          <w:sz w:val="20"/>
          <w:szCs w:val="20"/>
          <w:lang w:val="en-US"/>
        </w:rPr>
        <w:t xml:space="preserve">Variables showing time-varying effects: </w:t>
      </w:r>
      <w:r w:rsidRPr="001472DF">
        <w:rPr>
          <w:rFonts w:cstheme="minorHAnsi"/>
          <w:sz w:val="20"/>
          <w:szCs w:val="20"/>
          <w:lang w:val="en-US"/>
        </w:rPr>
        <w:br/>
        <w:t>At 2 years: Breast-conserving surgery, HER2+.</w:t>
      </w:r>
      <w:r w:rsidRPr="001472DF">
        <w:rPr>
          <w:rFonts w:cstheme="minorHAnsi"/>
          <w:sz w:val="20"/>
          <w:szCs w:val="20"/>
          <w:lang w:val="en-US"/>
        </w:rPr>
        <w:br/>
        <w:t>At 5 years: Malignancy grade 3, TNBC.</w:t>
      </w:r>
      <w:r w:rsidRPr="001472DF">
        <w:rPr>
          <w:rFonts w:cstheme="minorHAnsi"/>
          <w:sz w:val="20"/>
          <w:szCs w:val="20"/>
          <w:lang w:val="en-US"/>
        </w:rPr>
        <w:br/>
        <w:t>At 10 years: Age 18–39, Age ≥60, CCI 1.</w:t>
      </w:r>
      <w:r w:rsidRPr="001472DF">
        <w:rPr>
          <w:rFonts w:cstheme="minorHAnsi"/>
          <w:sz w:val="20"/>
          <w:szCs w:val="20"/>
          <w:lang w:val="en-US"/>
        </w:rPr>
        <w:br/>
        <w:t>At both 2 and 5 years: histological subtype other/unknown, any adjuvant endocrine therapy.</w:t>
      </w:r>
      <w:r w:rsidRPr="001472DF">
        <w:rPr>
          <w:rFonts w:cstheme="minorHAnsi"/>
          <w:sz w:val="20"/>
          <w:szCs w:val="20"/>
          <w:lang w:val="en-US"/>
        </w:rPr>
        <w:br/>
        <w:t>At both 2 and 10 years: ≥4 pos. nodes/FNA-positive.</w:t>
      </w:r>
    </w:p>
    <w:p w14:paraId="737EA787" w14:textId="77777777" w:rsidR="00A32AFF" w:rsidRPr="001472DF" w:rsidRDefault="00A32AFF" w:rsidP="00A32AFF">
      <w:pPr>
        <w:spacing w:line="259" w:lineRule="auto"/>
        <w:rPr>
          <w:rFonts w:cstheme="minorHAnsi"/>
          <w:sz w:val="20"/>
          <w:szCs w:val="20"/>
          <w:lang w:val="en-US"/>
        </w:rPr>
      </w:pPr>
      <w:r w:rsidRPr="001472DF">
        <w:rPr>
          <w:rFonts w:cstheme="minorHAnsi"/>
          <w:i/>
          <w:iCs/>
          <w:sz w:val="20"/>
          <w:szCs w:val="20"/>
          <w:lang w:val="en-US"/>
        </w:rPr>
        <w:t xml:space="preserve">BRCAwt </w:t>
      </w:r>
      <w:r w:rsidRPr="001472DF">
        <w:rPr>
          <w:rFonts w:cstheme="minorHAnsi"/>
          <w:sz w:val="20"/>
          <w:szCs w:val="20"/>
          <w:lang w:val="en-US"/>
        </w:rPr>
        <w:t xml:space="preserve">wild-type </w:t>
      </w:r>
      <w:r w:rsidRPr="001472DF">
        <w:rPr>
          <w:rFonts w:cstheme="minorHAnsi"/>
          <w:i/>
          <w:iCs/>
          <w:sz w:val="20"/>
          <w:szCs w:val="20"/>
          <w:lang w:val="en-US"/>
        </w:rPr>
        <w:t>BRCA1</w:t>
      </w:r>
      <w:r w:rsidRPr="001472DF">
        <w:rPr>
          <w:rFonts w:cstheme="minorHAnsi"/>
          <w:sz w:val="20"/>
          <w:szCs w:val="20"/>
          <w:lang w:val="en-US"/>
        </w:rPr>
        <w:t xml:space="preserve"> and </w:t>
      </w:r>
      <w:r w:rsidRPr="001472DF">
        <w:rPr>
          <w:rFonts w:cstheme="minorHAnsi"/>
          <w:i/>
          <w:iCs/>
          <w:sz w:val="20"/>
          <w:szCs w:val="20"/>
          <w:lang w:val="en-US"/>
        </w:rPr>
        <w:t>BRCA2</w:t>
      </w:r>
      <w:r w:rsidRPr="001472DF">
        <w:rPr>
          <w:rFonts w:cstheme="minorHAnsi"/>
          <w:sz w:val="20"/>
          <w:szCs w:val="20"/>
          <w:lang w:val="en-US"/>
        </w:rPr>
        <w:t xml:space="preserve"> genes; </w:t>
      </w:r>
      <w:r w:rsidRPr="001472DF">
        <w:rPr>
          <w:rFonts w:cstheme="minorHAnsi"/>
          <w:i/>
          <w:iCs/>
          <w:sz w:val="20"/>
          <w:szCs w:val="20"/>
          <w:lang w:val="en-US"/>
        </w:rPr>
        <w:t>BRCApv</w:t>
      </w:r>
      <w:r w:rsidRPr="001472DF">
        <w:rPr>
          <w:rFonts w:cstheme="minorHAnsi"/>
          <w:sz w:val="20"/>
          <w:szCs w:val="20"/>
          <w:lang w:val="en-US"/>
        </w:rPr>
        <w:t xml:space="preserve"> pathogenic variants in the </w:t>
      </w:r>
      <w:r w:rsidRPr="001472DF">
        <w:rPr>
          <w:rFonts w:cstheme="minorHAnsi"/>
          <w:i/>
          <w:iCs/>
          <w:sz w:val="20"/>
          <w:szCs w:val="20"/>
          <w:lang w:val="en-US"/>
        </w:rPr>
        <w:t>BRCA1</w:t>
      </w:r>
      <w:r w:rsidRPr="001472DF">
        <w:rPr>
          <w:rFonts w:cstheme="minorHAnsi"/>
          <w:sz w:val="20"/>
          <w:szCs w:val="20"/>
          <w:lang w:val="en-US"/>
        </w:rPr>
        <w:t xml:space="preserve"> and </w:t>
      </w:r>
      <w:r w:rsidRPr="001472DF">
        <w:rPr>
          <w:rFonts w:cstheme="minorHAnsi"/>
          <w:i/>
          <w:iCs/>
          <w:sz w:val="20"/>
          <w:szCs w:val="20"/>
          <w:lang w:val="en-US"/>
        </w:rPr>
        <w:t>BRCA2</w:t>
      </w:r>
      <w:r w:rsidRPr="001472DF">
        <w:rPr>
          <w:rFonts w:cstheme="minorHAnsi"/>
          <w:sz w:val="20"/>
          <w:szCs w:val="20"/>
          <w:lang w:val="en-US"/>
        </w:rPr>
        <w:t xml:space="preserve"> genes; </w:t>
      </w:r>
      <w:r w:rsidRPr="001472DF">
        <w:rPr>
          <w:rFonts w:cstheme="minorHAnsi"/>
          <w:i/>
          <w:iCs/>
          <w:sz w:val="20"/>
          <w:szCs w:val="20"/>
          <w:lang w:val="en-US"/>
        </w:rPr>
        <w:t>CI</w:t>
      </w:r>
      <w:r w:rsidRPr="001472DF">
        <w:rPr>
          <w:rFonts w:cstheme="minorHAnsi"/>
          <w:sz w:val="20"/>
          <w:szCs w:val="20"/>
          <w:lang w:val="en-US"/>
        </w:rPr>
        <w:t xml:space="preserve"> confidence interval; </w:t>
      </w:r>
      <w:r w:rsidRPr="001472DF">
        <w:rPr>
          <w:rFonts w:cstheme="minorHAnsi"/>
          <w:i/>
          <w:iCs/>
          <w:sz w:val="20"/>
          <w:szCs w:val="20"/>
          <w:lang w:val="en-US"/>
        </w:rPr>
        <w:t>CRRM</w:t>
      </w:r>
      <w:r w:rsidRPr="001472DF">
        <w:rPr>
          <w:rFonts w:cstheme="minorHAnsi"/>
          <w:sz w:val="20"/>
          <w:szCs w:val="20"/>
          <w:lang w:val="en-US"/>
        </w:rPr>
        <w:t xml:space="preserve"> contralateral risk-reducing mastectomy; </w:t>
      </w:r>
      <w:r w:rsidRPr="001472DF">
        <w:rPr>
          <w:rFonts w:cstheme="minorHAnsi"/>
          <w:i/>
          <w:iCs/>
          <w:sz w:val="20"/>
          <w:szCs w:val="20"/>
          <w:lang w:val="en-US"/>
        </w:rPr>
        <w:t>HER2</w:t>
      </w:r>
      <w:r w:rsidRPr="001472DF">
        <w:rPr>
          <w:rFonts w:cstheme="minorHAnsi"/>
          <w:sz w:val="20"/>
          <w:szCs w:val="20"/>
          <w:lang w:val="en-US"/>
        </w:rPr>
        <w:t xml:space="preserve"> human epidermal growth factor receptor 2; </w:t>
      </w:r>
      <w:r w:rsidRPr="001472DF">
        <w:rPr>
          <w:rFonts w:cstheme="minorHAnsi"/>
          <w:i/>
          <w:iCs/>
          <w:sz w:val="20"/>
          <w:szCs w:val="20"/>
          <w:lang w:val="en-US"/>
        </w:rPr>
        <w:t>HR</w:t>
      </w:r>
      <w:r w:rsidRPr="001472DF">
        <w:rPr>
          <w:rFonts w:cstheme="minorHAnsi"/>
          <w:sz w:val="20"/>
          <w:szCs w:val="20"/>
          <w:lang w:val="en-US"/>
        </w:rPr>
        <w:t xml:space="preserve"> hazard ratio; </w:t>
      </w:r>
      <w:r w:rsidRPr="001472DF">
        <w:rPr>
          <w:rFonts w:cstheme="minorHAnsi"/>
          <w:i/>
          <w:iCs/>
          <w:sz w:val="20"/>
          <w:szCs w:val="20"/>
          <w:lang w:val="en-US"/>
        </w:rPr>
        <w:t>RRBSO</w:t>
      </w:r>
      <w:r w:rsidRPr="001472DF">
        <w:rPr>
          <w:rFonts w:cstheme="minorHAnsi"/>
          <w:sz w:val="20"/>
          <w:szCs w:val="20"/>
          <w:lang w:val="en-US"/>
        </w:rPr>
        <w:t xml:space="preserve"> risk-reducing bilateral salpingo-oophorectomy; </w:t>
      </w:r>
      <w:r w:rsidRPr="001472DF">
        <w:rPr>
          <w:rFonts w:cstheme="minorHAnsi"/>
          <w:i/>
          <w:iCs/>
          <w:sz w:val="20"/>
          <w:szCs w:val="20"/>
          <w:lang w:val="en-US"/>
        </w:rPr>
        <w:t>CCI</w:t>
      </w:r>
      <w:r w:rsidRPr="001472DF">
        <w:rPr>
          <w:rFonts w:cstheme="minorHAnsi"/>
          <w:sz w:val="20"/>
          <w:szCs w:val="20"/>
          <w:lang w:val="en-US"/>
        </w:rPr>
        <w:t xml:space="preserve"> Charlson Comorbidity Index; </w:t>
      </w:r>
      <w:r w:rsidRPr="001472DF">
        <w:rPr>
          <w:rFonts w:cstheme="minorHAnsi"/>
          <w:i/>
          <w:iCs/>
          <w:sz w:val="20"/>
          <w:szCs w:val="20"/>
          <w:lang w:val="en-US"/>
        </w:rPr>
        <w:t>RT</w:t>
      </w:r>
      <w:r w:rsidRPr="001472DF">
        <w:rPr>
          <w:rFonts w:cstheme="minorHAnsi"/>
          <w:sz w:val="20"/>
          <w:szCs w:val="20"/>
          <w:lang w:val="en-US"/>
        </w:rPr>
        <w:t xml:space="preserve"> radiotherapy; </w:t>
      </w:r>
      <w:r w:rsidRPr="001472DF">
        <w:rPr>
          <w:rFonts w:cstheme="minorHAnsi"/>
          <w:i/>
          <w:iCs/>
          <w:sz w:val="20"/>
          <w:szCs w:val="20"/>
          <w:lang w:val="en-US"/>
        </w:rPr>
        <w:t>TNBC</w:t>
      </w:r>
      <w:r w:rsidRPr="001472DF">
        <w:rPr>
          <w:rFonts w:cstheme="minorHAnsi"/>
          <w:sz w:val="20"/>
          <w:szCs w:val="20"/>
          <w:lang w:val="en-US"/>
        </w:rPr>
        <w:t xml:space="preserve"> triple-negative breast cancer, i.e. ER-negative/HER2-negative; </w:t>
      </w:r>
      <w:r w:rsidRPr="001472DF">
        <w:rPr>
          <w:rFonts w:cstheme="minorHAnsi"/>
          <w:i/>
          <w:iCs/>
          <w:sz w:val="20"/>
          <w:szCs w:val="20"/>
          <w:lang w:val="en-US"/>
        </w:rPr>
        <w:t>FNA</w:t>
      </w:r>
      <w:r w:rsidRPr="001472DF">
        <w:rPr>
          <w:rFonts w:cstheme="minorHAnsi"/>
          <w:sz w:val="20"/>
          <w:szCs w:val="20"/>
          <w:lang w:val="en-US"/>
        </w:rPr>
        <w:t xml:space="preserve"> fine-needle aspirate.</w:t>
      </w:r>
      <w:bookmarkStart w:id="2" w:name="_GoBack"/>
      <w:bookmarkEnd w:id="2"/>
    </w:p>
    <w:p w14:paraId="5CEDCC65" w14:textId="77777777" w:rsidR="00A32AFF" w:rsidRPr="001472DF" w:rsidRDefault="00A32AFF" w:rsidP="00A32AFF">
      <w:pPr>
        <w:spacing w:line="259" w:lineRule="auto"/>
        <w:rPr>
          <w:rFonts w:cstheme="minorHAnsi"/>
          <w:b/>
          <w:bCs/>
          <w:lang w:val="en-US"/>
        </w:rPr>
      </w:pPr>
    </w:p>
    <w:p w14:paraId="11A3E72B" w14:textId="77777777" w:rsidR="00AE522E" w:rsidRPr="001472DF" w:rsidRDefault="00AE522E">
      <w:pPr>
        <w:rPr>
          <w:lang w:val="en-US"/>
        </w:rPr>
      </w:pPr>
    </w:p>
    <w:sectPr w:rsidR="00AE522E" w:rsidRPr="001472DF" w:rsidSect="001472DF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CE8E6" w14:textId="77777777" w:rsidR="00000000" w:rsidRDefault="001472DF">
      <w:pPr>
        <w:spacing w:after="0" w:line="240" w:lineRule="auto"/>
      </w:pPr>
      <w:r>
        <w:separator/>
      </w:r>
    </w:p>
  </w:endnote>
  <w:endnote w:type="continuationSeparator" w:id="0">
    <w:p w14:paraId="1DB1FB47" w14:textId="77777777" w:rsidR="00000000" w:rsidRDefault="0014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577426"/>
      <w:docPartObj>
        <w:docPartGallery w:val="Page Numbers (Bottom of Page)"/>
        <w:docPartUnique/>
      </w:docPartObj>
    </w:sdtPr>
    <w:sdtEndPr/>
    <w:sdtContent>
      <w:p w14:paraId="2755B0A9" w14:textId="77777777" w:rsidR="00A32AFF" w:rsidRDefault="00A32AFF" w:rsidP="00FE09B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2D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1D2B7" w14:textId="77777777" w:rsidR="00000000" w:rsidRDefault="001472DF">
      <w:pPr>
        <w:spacing w:after="0" w:line="240" w:lineRule="auto"/>
      </w:pPr>
      <w:r>
        <w:separator/>
      </w:r>
    </w:p>
  </w:footnote>
  <w:footnote w:type="continuationSeparator" w:id="0">
    <w:p w14:paraId="5DDC3315" w14:textId="77777777" w:rsidR="00000000" w:rsidRDefault="0014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71D54" w14:textId="77777777" w:rsidR="00A32AFF" w:rsidRDefault="00A32AFF">
    <w:pPr>
      <w:pStyle w:val="Header"/>
    </w:pPr>
    <w:r>
      <w:t>Final draft</w:t>
    </w:r>
    <w:r>
      <w:tab/>
    </w:r>
    <w:r>
      <w:tab/>
    </w:r>
    <w:r>
      <w:fldChar w:fldCharType="begin"/>
    </w:r>
    <w:r>
      <w:instrText xml:space="preserve"> TIME \@ "d. MMMM yyyy" </w:instrText>
    </w:r>
    <w:r>
      <w:fldChar w:fldCharType="separate"/>
    </w:r>
    <w:r w:rsidR="001472DF">
      <w:rPr>
        <w:noProof/>
      </w:rPr>
      <w:t>18. maj 2025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2sTSxNDYAImMzcyUdpeDU4uLM/DyQAsNaAJy3EaUsAAAA"/>
  </w:docVars>
  <w:rsids>
    <w:rsidRoot w:val="00A32AFF"/>
    <w:rsid w:val="0013047D"/>
    <w:rsid w:val="001472DF"/>
    <w:rsid w:val="00503C25"/>
    <w:rsid w:val="00565425"/>
    <w:rsid w:val="00A32AFF"/>
    <w:rsid w:val="00A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E7C1"/>
  <w15:chartTrackingRefBased/>
  <w15:docId w15:val="{8365AA7E-E3D2-4A4D-A88A-F3C3CECD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AFF"/>
    <w:pPr>
      <w:spacing w:line="48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A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A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A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A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A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A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A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A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2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A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2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AF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2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AF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2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A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AF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2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AFF"/>
    <w:rPr>
      <w:kern w:val="0"/>
      <w:sz w:val="22"/>
      <w:szCs w:val="22"/>
      <w14:ligatures w14:val="none"/>
    </w:rPr>
  </w:style>
  <w:style w:type="table" w:customStyle="1" w:styleId="Style1">
    <w:name w:val="Style1"/>
    <w:basedOn w:val="TableNormal"/>
    <w:uiPriority w:val="99"/>
    <w:rsid w:val="00A32AFF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styleId="LineNumber">
    <w:name w:val="line number"/>
    <w:basedOn w:val="DefaultParagraphFont"/>
    <w:uiPriority w:val="99"/>
    <w:semiHidden/>
    <w:unhideWhenUsed/>
    <w:rsid w:val="00A3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B3577-2696-4BEA-8291-CA30F9B0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911</Words>
  <Characters>5195</Characters>
  <Application>Microsoft Office Word</Application>
  <DocSecurity>0</DocSecurity>
  <Lines>43</Lines>
  <Paragraphs>12</Paragraphs>
  <ScaleCrop>false</ScaleCrop>
  <Company>Region Sjaelland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Martinov Kostov</dc:creator>
  <cp:keywords/>
  <dc:description/>
  <cp:lastModifiedBy>Dinesh Ravic</cp:lastModifiedBy>
  <cp:revision>2</cp:revision>
  <dcterms:created xsi:type="dcterms:W3CDTF">2025-02-06T21:04:00Z</dcterms:created>
  <dcterms:modified xsi:type="dcterms:W3CDTF">2025-05-17T23:18:00Z</dcterms:modified>
</cp:coreProperties>
</file>