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8EA" w:rsidRPr="00965467" w:rsidRDefault="003F48EA" w:rsidP="003F48EA">
      <w:pPr>
        <w:pStyle w:val="Heading1"/>
        <w:numPr>
          <w:ilvl w:val="0"/>
          <w:numId w:val="0"/>
        </w:numPr>
        <w:spacing w:line="360" w:lineRule="auto"/>
        <w:ind w:left="720"/>
        <w:jc w:val="center"/>
        <w:rPr>
          <w:b w:val="0"/>
          <w:sz w:val="26"/>
          <w:szCs w:val="30"/>
        </w:rPr>
      </w:pPr>
      <w:r w:rsidRPr="00965467">
        <w:rPr>
          <w:sz w:val="26"/>
          <w:szCs w:val="30"/>
        </w:rPr>
        <w:t>APPENDICES (SUPPLEMENTARY MATERIAL)</w:t>
      </w:r>
    </w:p>
    <w:p w:rsidR="003F48EA" w:rsidRPr="00965467" w:rsidRDefault="003F48EA" w:rsidP="003F48EA">
      <w:r w:rsidRPr="00965467">
        <w:t>Table A1: Definition of common terminology related to social value cre</w:t>
      </w:r>
      <w:bookmarkStart w:id="0" w:name="_GoBack"/>
      <w:bookmarkEnd w:id="0"/>
      <w:r w:rsidRPr="00965467">
        <w:t xml:space="preserve">ation </w:t>
      </w:r>
    </w:p>
    <w:tbl>
      <w:tblPr>
        <w:tblStyle w:val="TableGrid"/>
        <w:tblW w:w="10365" w:type="dxa"/>
        <w:tblLook w:val="04A0" w:firstRow="1" w:lastRow="0" w:firstColumn="1" w:lastColumn="0" w:noHBand="0" w:noVBand="1"/>
      </w:tblPr>
      <w:tblGrid>
        <w:gridCol w:w="1731"/>
        <w:gridCol w:w="5824"/>
        <w:gridCol w:w="2810"/>
      </w:tblGrid>
      <w:tr w:rsidR="003F48EA" w:rsidRPr="00965467" w:rsidTr="00594131">
        <w:trPr>
          <w:trHeight w:val="372"/>
        </w:trPr>
        <w:tc>
          <w:tcPr>
            <w:tcW w:w="1731" w:type="dxa"/>
            <w:tcBorders>
              <w:top w:val="double" w:sz="4" w:space="0" w:color="auto"/>
            </w:tcBorders>
          </w:tcPr>
          <w:p w:rsidR="003F48EA" w:rsidRPr="00965467" w:rsidRDefault="003F48EA" w:rsidP="00594131">
            <w:pPr>
              <w:rPr>
                <w:rFonts w:ascii="Times New Roman" w:eastAsia="Times New Roman" w:hAnsi="Times New Roman" w:cs="Times New Roman"/>
                <w:b/>
                <w:bCs/>
                <w:i/>
                <w:iCs/>
                <w:sz w:val="20"/>
                <w:szCs w:val="20"/>
              </w:rPr>
            </w:pPr>
            <w:r w:rsidRPr="00965467">
              <w:rPr>
                <w:rFonts w:ascii="Times New Roman" w:eastAsia="Times New Roman" w:hAnsi="Times New Roman" w:cs="Times New Roman"/>
                <w:b/>
                <w:bCs/>
                <w:i/>
                <w:iCs/>
                <w:sz w:val="20"/>
                <w:szCs w:val="20"/>
              </w:rPr>
              <w:t>Key concept</w:t>
            </w:r>
          </w:p>
        </w:tc>
        <w:tc>
          <w:tcPr>
            <w:tcW w:w="5824" w:type="dxa"/>
            <w:tcBorders>
              <w:top w:val="double" w:sz="4" w:space="0" w:color="auto"/>
            </w:tcBorders>
          </w:tcPr>
          <w:p w:rsidR="003F48EA" w:rsidRPr="00965467" w:rsidRDefault="003F48EA" w:rsidP="00594131">
            <w:pPr>
              <w:rPr>
                <w:rFonts w:ascii="Times New Roman" w:eastAsia="Times New Roman" w:hAnsi="Times New Roman" w:cs="Times New Roman"/>
                <w:b/>
                <w:bCs/>
                <w:i/>
                <w:iCs/>
                <w:sz w:val="20"/>
                <w:szCs w:val="20"/>
              </w:rPr>
            </w:pPr>
            <w:r w:rsidRPr="00965467">
              <w:rPr>
                <w:rFonts w:ascii="Times New Roman" w:eastAsia="Times New Roman" w:hAnsi="Times New Roman" w:cs="Times New Roman"/>
                <w:b/>
                <w:bCs/>
                <w:i/>
                <w:iCs/>
                <w:sz w:val="20"/>
                <w:szCs w:val="20"/>
              </w:rPr>
              <w:t xml:space="preserve">Definitions </w:t>
            </w:r>
          </w:p>
        </w:tc>
        <w:tc>
          <w:tcPr>
            <w:tcW w:w="2810" w:type="dxa"/>
            <w:tcBorders>
              <w:top w:val="double" w:sz="4" w:space="0" w:color="auto"/>
            </w:tcBorders>
          </w:tcPr>
          <w:p w:rsidR="003F48EA" w:rsidRPr="00965467" w:rsidRDefault="003F48EA" w:rsidP="00594131">
            <w:pPr>
              <w:jc w:val="left"/>
              <w:rPr>
                <w:rFonts w:ascii="Times New Roman" w:eastAsia="Times New Roman" w:hAnsi="Times New Roman" w:cs="Times New Roman"/>
                <w:b/>
                <w:bCs/>
                <w:i/>
                <w:iCs/>
                <w:sz w:val="20"/>
                <w:szCs w:val="20"/>
              </w:rPr>
            </w:pPr>
            <w:r w:rsidRPr="00965467">
              <w:rPr>
                <w:rFonts w:ascii="Times New Roman" w:eastAsia="Times New Roman" w:hAnsi="Times New Roman" w:cs="Times New Roman"/>
                <w:b/>
                <w:bCs/>
                <w:i/>
                <w:iCs/>
                <w:sz w:val="20"/>
                <w:szCs w:val="20"/>
              </w:rPr>
              <w:t>Most common application context</w:t>
            </w:r>
          </w:p>
        </w:tc>
      </w:tr>
      <w:tr w:rsidR="003F48EA" w:rsidRPr="00965467" w:rsidTr="00594131">
        <w:trPr>
          <w:trHeight w:val="372"/>
        </w:trPr>
        <w:tc>
          <w:tcPr>
            <w:tcW w:w="1731" w:type="dxa"/>
          </w:tcPr>
          <w:p w:rsidR="003F48EA" w:rsidRPr="00965467" w:rsidRDefault="003F48EA" w:rsidP="00594131">
            <w:pPr>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 xml:space="preserve">BoP strategies/BoP business models </w:t>
            </w:r>
          </w:p>
        </w:tc>
        <w:tc>
          <w:tcPr>
            <w:tcW w:w="5824" w:type="dxa"/>
          </w:tcPr>
          <w:p w:rsidR="003F48EA" w:rsidRPr="00965467" w:rsidRDefault="003F48EA" w:rsidP="00594131">
            <w:pPr>
              <w:rPr>
                <w:rFonts w:ascii="Times New Roman" w:hAnsi="Times New Roman" w:cs="Times New Roman"/>
                <w:sz w:val="20"/>
                <w:szCs w:val="20"/>
              </w:rPr>
            </w:pPr>
            <w:bookmarkStart w:id="1" w:name="_Hlk43717072"/>
            <w:r w:rsidRPr="00965467">
              <w:rPr>
                <w:rFonts w:ascii="Times New Roman" w:hAnsi="Times New Roman" w:cs="Times New Roman"/>
                <w:sz w:val="20"/>
                <w:szCs w:val="20"/>
              </w:rPr>
              <w:t xml:space="preserve">We define BoP communities as “large segments of society at the lower rungs of the socio-economic pyramid with vulnerable livelihoods that are often centered on informal activities” based on various prior definitions including the following </w:t>
            </w:r>
          </w:p>
          <w:bookmarkEnd w:id="1"/>
          <w:p w:rsidR="003F48EA" w:rsidRPr="00965467" w:rsidRDefault="003F48EA" w:rsidP="003F48EA">
            <w:pPr>
              <w:pStyle w:val="ListParagraph"/>
              <w:numPr>
                <w:ilvl w:val="0"/>
                <w:numId w:val="12"/>
              </w:numPr>
              <w:spacing w:line="240" w:lineRule="auto"/>
              <w:rPr>
                <w:sz w:val="20"/>
                <w:szCs w:val="20"/>
              </w:rPr>
            </w:pPr>
            <w:r w:rsidRPr="00965467">
              <w:rPr>
                <w:sz w:val="20"/>
                <w:szCs w:val="20"/>
              </w:rPr>
              <w:t xml:space="preserve">“[T]he base of the pyramid can be viewed as the low-income socioeconomic segment that lives primarily in the informal sector” (London </w:t>
            </w:r>
            <w:r w:rsidRPr="00965467">
              <w:rPr>
                <w:i/>
                <w:iCs/>
                <w:sz w:val="20"/>
                <w:szCs w:val="20"/>
              </w:rPr>
              <w:t>et al</w:t>
            </w:r>
            <w:r w:rsidRPr="00965467">
              <w:rPr>
                <w:sz w:val="20"/>
                <w:szCs w:val="20"/>
              </w:rPr>
              <w:t>., 2010, p. 583).</w:t>
            </w:r>
          </w:p>
          <w:p w:rsidR="003F48EA" w:rsidRPr="00965467" w:rsidRDefault="003F48EA" w:rsidP="003F48EA">
            <w:pPr>
              <w:pStyle w:val="ListParagraph"/>
              <w:numPr>
                <w:ilvl w:val="0"/>
                <w:numId w:val="12"/>
              </w:numPr>
              <w:spacing w:line="240" w:lineRule="auto"/>
              <w:rPr>
                <w:sz w:val="20"/>
                <w:szCs w:val="20"/>
              </w:rPr>
            </w:pPr>
            <w:r w:rsidRPr="00965467">
              <w:rPr>
                <w:sz w:val="20"/>
                <w:szCs w:val="20"/>
              </w:rPr>
              <w:t>Prahalad (2004) defines the bottom of the pyramid (BoP) as low-income consumers who live on less than $2 a day.</w:t>
            </w:r>
          </w:p>
          <w:p w:rsidR="003F48EA" w:rsidRPr="00965467" w:rsidRDefault="003F48EA" w:rsidP="003F48EA">
            <w:pPr>
              <w:pStyle w:val="ListParagraph"/>
              <w:numPr>
                <w:ilvl w:val="0"/>
                <w:numId w:val="12"/>
              </w:numPr>
              <w:spacing w:line="240" w:lineRule="auto"/>
              <w:rPr>
                <w:sz w:val="20"/>
                <w:szCs w:val="20"/>
              </w:rPr>
            </w:pPr>
            <w:r w:rsidRPr="00965467">
              <w:rPr>
                <w:sz w:val="20"/>
                <w:szCs w:val="20"/>
              </w:rPr>
              <w:t xml:space="preserve">The BoP socio-economic segment is defined as those with annual incomes up to and including $3000 per capita per year (2002 PPP) (Hammond </w:t>
            </w:r>
            <w:r w:rsidRPr="00965467">
              <w:rPr>
                <w:i/>
                <w:iCs/>
                <w:sz w:val="20"/>
                <w:szCs w:val="20"/>
              </w:rPr>
              <w:t>et al</w:t>
            </w:r>
            <w:r w:rsidRPr="00965467">
              <w:rPr>
                <w:sz w:val="20"/>
                <w:szCs w:val="20"/>
              </w:rPr>
              <w:t xml:space="preserve">., 2007). </w:t>
            </w:r>
          </w:p>
        </w:tc>
        <w:tc>
          <w:tcPr>
            <w:tcW w:w="2810" w:type="dxa"/>
          </w:tcPr>
          <w:p w:rsidR="003F48EA" w:rsidRPr="00965467" w:rsidRDefault="003F48EA" w:rsidP="00594131">
            <w:pPr>
              <w:jc w:val="left"/>
              <w:rPr>
                <w:rFonts w:ascii="Times New Roman" w:eastAsia="Times New Roman" w:hAnsi="Times New Roman" w:cs="Times New Roman"/>
                <w:b/>
                <w:bCs/>
                <w:i/>
                <w:iCs/>
                <w:sz w:val="20"/>
                <w:szCs w:val="20"/>
              </w:rPr>
            </w:pPr>
            <w:r w:rsidRPr="00965467">
              <w:rPr>
                <w:rFonts w:ascii="Times New Roman" w:eastAsia="Times New Roman" w:hAnsi="Times New Roman" w:cs="Times New Roman"/>
                <w:sz w:val="20"/>
                <w:szCs w:val="20"/>
              </w:rPr>
              <w:t>International business strategy for poverty alleviation in developing countries, often implemented through partnerships with the poor and civil society organizations.</w:t>
            </w:r>
          </w:p>
        </w:tc>
      </w:tr>
      <w:tr w:rsidR="003F48EA" w:rsidRPr="00965467" w:rsidTr="00594131">
        <w:trPr>
          <w:trHeight w:val="181"/>
        </w:trPr>
        <w:tc>
          <w:tcPr>
            <w:tcW w:w="1731" w:type="dxa"/>
          </w:tcPr>
          <w:p w:rsidR="003F48EA" w:rsidRPr="00965467" w:rsidRDefault="003F48EA" w:rsidP="00594131">
            <w:pPr>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 xml:space="preserve">Social value </w:t>
            </w:r>
          </w:p>
        </w:tc>
        <w:tc>
          <w:tcPr>
            <w:tcW w:w="5824" w:type="dxa"/>
          </w:tcPr>
          <w:p w:rsidR="003F48EA" w:rsidRPr="00965467" w:rsidRDefault="003F48EA" w:rsidP="00594131">
            <w:pPr>
              <w:pStyle w:val="Style1"/>
              <w:rPr>
                <w:rFonts w:ascii="Times New Roman" w:hAnsi="Times New Roman" w:cs="Times New Roman"/>
                <w:sz w:val="20"/>
                <w:szCs w:val="20"/>
              </w:rPr>
            </w:pPr>
            <w:r w:rsidRPr="00965467">
              <w:rPr>
                <w:rFonts w:ascii="Times New Roman" w:hAnsi="Times New Roman" w:cs="Times New Roman"/>
                <w:sz w:val="20"/>
                <w:szCs w:val="20"/>
              </w:rPr>
              <w:t>Building on prior research (e.g.</w:t>
            </w:r>
            <w:r w:rsidRPr="00965467">
              <w:rPr>
                <w:rFonts w:ascii="Times New Roman" w:eastAsia="Times New Roman" w:hAnsi="Times New Roman" w:cs="Times New Roman"/>
                <w:sz w:val="20"/>
                <w:szCs w:val="20"/>
              </w:rPr>
              <w:t xml:space="preserve"> Sinkovics </w:t>
            </w:r>
            <w:r w:rsidRPr="00965467">
              <w:rPr>
                <w:rFonts w:ascii="Times New Roman" w:eastAsia="Times New Roman" w:hAnsi="Times New Roman" w:cs="Times New Roman"/>
                <w:i/>
                <w:iCs/>
                <w:sz w:val="20"/>
                <w:szCs w:val="20"/>
              </w:rPr>
              <w:t>et al</w:t>
            </w:r>
            <w:r w:rsidRPr="00965467">
              <w:rPr>
                <w:rFonts w:ascii="Times New Roman" w:eastAsia="Times New Roman" w:hAnsi="Times New Roman" w:cs="Times New Roman"/>
                <w:sz w:val="20"/>
                <w:szCs w:val="20"/>
              </w:rPr>
              <w:t>., 2014</w:t>
            </w:r>
            <w:r w:rsidRPr="00965467">
              <w:rPr>
                <w:rFonts w:ascii="Times New Roman" w:hAnsi="Times New Roman" w:cs="Times New Roman"/>
                <w:sz w:val="20"/>
                <w:szCs w:val="20"/>
              </w:rPr>
              <w:t>), we adopt a definition of social value creation as “</w:t>
            </w:r>
            <w:r w:rsidRPr="00965467">
              <w:rPr>
                <w:rFonts w:ascii="Times New Roman" w:hAnsi="Times New Roman" w:cs="Times New Roman"/>
                <w:i/>
                <w:iCs/>
                <w:sz w:val="20"/>
                <w:szCs w:val="20"/>
              </w:rPr>
              <w:t>market-based approaches that, over a reasonable time frame, improve the socioeconomic wellbeing of BoP communities in a manner that is financially viable and environmentally sustainable.</w:t>
            </w:r>
            <w:r w:rsidRPr="00965467">
              <w:rPr>
                <w:rFonts w:ascii="Times New Roman" w:hAnsi="Times New Roman" w:cs="Times New Roman"/>
                <w:sz w:val="20"/>
                <w:szCs w:val="20"/>
              </w:rPr>
              <w:t>”</w:t>
            </w:r>
          </w:p>
          <w:p w:rsidR="003F48EA" w:rsidRPr="00965467" w:rsidRDefault="003F48EA" w:rsidP="00594131">
            <w:pPr>
              <w:pStyle w:val="Style1"/>
              <w:rPr>
                <w:rFonts w:ascii="Times New Roman" w:hAnsi="Times New Roman" w:cs="Times New Roman"/>
                <w:sz w:val="20"/>
                <w:szCs w:val="20"/>
              </w:rPr>
            </w:pPr>
            <w:r w:rsidRPr="00965467">
              <w:rPr>
                <w:rFonts w:ascii="Times New Roman" w:eastAsia="Times New Roman" w:hAnsi="Times New Roman" w:cs="Times New Roman"/>
                <w:sz w:val="20"/>
                <w:szCs w:val="20"/>
              </w:rPr>
              <w:t xml:space="preserve">Sinkovics </w:t>
            </w:r>
            <w:r w:rsidRPr="00965467">
              <w:rPr>
                <w:rFonts w:ascii="Times New Roman" w:eastAsia="Times New Roman" w:hAnsi="Times New Roman" w:cs="Times New Roman"/>
                <w:i/>
                <w:iCs/>
                <w:sz w:val="20"/>
                <w:szCs w:val="20"/>
              </w:rPr>
              <w:t>et al</w:t>
            </w:r>
            <w:r w:rsidRPr="00965467">
              <w:rPr>
                <w:rFonts w:ascii="Times New Roman" w:eastAsia="Times New Roman" w:hAnsi="Times New Roman" w:cs="Times New Roman"/>
                <w:sz w:val="20"/>
                <w:szCs w:val="20"/>
              </w:rPr>
              <w:t xml:space="preserve">. (2014) </w:t>
            </w:r>
            <w:r w:rsidRPr="00965467">
              <w:rPr>
                <w:rFonts w:ascii="Times New Roman" w:hAnsi="Times New Roman" w:cs="Times New Roman"/>
                <w:sz w:val="20"/>
                <w:szCs w:val="20"/>
              </w:rPr>
              <w:t xml:space="preserve">define social value creation as an activity of BoP businesses “that leads to the realization of any of the three core values of development, i.e. sustenance, self-esteem, and freedom from servitude” (p. </w:t>
            </w:r>
            <w:r w:rsidRPr="00965467">
              <w:rPr>
                <w:rFonts w:ascii="Times New Roman" w:eastAsia="Times New Roman" w:hAnsi="Times New Roman" w:cs="Times New Roman"/>
                <w:sz w:val="20"/>
                <w:szCs w:val="20"/>
              </w:rPr>
              <w:t>1</w:t>
            </w:r>
            <w:r w:rsidRPr="00965467">
              <w:rPr>
                <w:rFonts w:ascii="Times New Roman" w:hAnsi="Times New Roman" w:cs="Times New Roman"/>
                <w:sz w:val="20"/>
                <w:szCs w:val="20"/>
              </w:rPr>
              <w:t>).</w:t>
            </w:r>
          </w:p>
        </w:tc>
        <w:tc>
          <w:tcPr>
            <w:tcW w:w="2810" w:type="dxa"/>
          </w:tcPr>
          <w:p w:rsidR="003F48EA" w:rsidRPr="00965467" w:rsidRDefault="003F48EA" w:rsidP="00594131">
            <w:pPr>
              <w:jc w:val="left"/>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Market-based approaches</w:t>
            </w:r>
            <w:r>
              <w:rPr>
                <w:rFonts w:ascii="Times New Roman" w:eastAsia="Times New Roman" w:hAnsi="Times New Roman" w:cs="Times New Roman"/>
                <w:sz w:val="20"/>
                <w:szCs w:val="20"/>
              </w:rPr>
              <w:t xml:space="preserve"> for addressing social issues – </w:t>
            </w:r>
            <w:r w:rsidRPr="00965467">
              <w:rPr>
                <w:rFonts w:ascii="Times New Roman" w:eastAsia="Times New Roman" w:hAnsi="Times New Roman" w:cs="Times New Roman"/>
                <w:sz w:val="20"/>
                <w:szCs w:val="20"/>
              </w:rPr>
              <w:t xml:space="preserve"> often mentioned in association with social entrepreneurship, but also to increasingly by other businesses. </w:t>
            </w:r>
          </w:p>
        </w:tc>
      </w:tr>
      <w:tr w:rsidR="003F48EA" w:rsidRPr="00965467" w:rsidTr="00594131">
        <w:trPr>
          <w:trHeight w:val="181"/>
        </w:trPr>
        <w:tc>
          <w:tcPr>
            <w:tcW w:w="1731" w:type="dxa"/>
          </w:tcPr>
          <w:p w:rsidR="003F48EA" w:rsidRPr="00965467" w:rsidRDefault="003F48EA" w:rsidP="00594131">
            <w:pPr>
              <w:rPr>
                <w:rFonts w:ascii="Times New Roman" w:hAnsi="Times New Roman" w:cs="Times New Roman"/>
                <w:sz w:val="20"/>
                <w:szCs w:val="20"/>
              </w:rPr>
            </w:pPr>
            <w:r w:rsidRPr="00965467">
              <w:rPr>
                <w:rFonts w:ascii="Times New Roman" w:hAnsi="Times New Roman" w:cs="Times New Roman"/>
                <w:sz w:val="20"/>
                <w:szCs w:val="20"/>
              </w:rPr>
              <w:t>Mutual value</w:t>
            </w:r>
          </w:p>
        </w:tc>
        <w:tc>
          <w:tcPr>
            <w:tcW w:w="5824" w:type="dxa"/>
          </w:tcPr>
          <w:p w:rsidR="003F48EA" w:rsidRPr="00965467" w:rsidRDefault="003F48EA" w:rsidP="00594131">
            <w:pPr>
              <w:pStyle w:val="Style1"/>
              <w:rPr>
                <w:rFonts w:ascii="Times New Roman" w:hAnsi="Times New Roman" w:cs="Times New Roman"/>
                <w:sz w:val="20"/>
                <w:szCs w:val="20"/>
              </w:rPr>
            </w:pPr>
            <w:r w:rsidRPr="00965467">
              <w:rPr>
                <w:rFonts w:ascii="Times New Roman" w:hAnsi="Times New Roman" w:cs="Times New Roman"/>
                <w:sz w:val="20"/>
                <w:szCs w:val="20"/>
              </w:rPr>
              <w:t xml:space="preserve">Mutual value creation refers to a business proposition where “the greater the ability of the venture to meet the needs of the poor, the greater the return to the partners involved” (London, 2008). </w:t>
            </w:r>
          </w:p>
          <w:p w:rsidR="003F48EA" w:rsidRPr="00965467" w:rsidRDefault="003F48EA" w:rsidP="00594131">
            <w:pPr>
              <w:pStyle w:val="Style1"/>
              <w:rPr>
                <w:rFonts w:ascii="Times New Roman" w:hAnsi="Times New Roman" w:cs="Times New Roman"/>
                <w:sz w:val="20"/>
                <w:szCs w:val="20"/>
              </w:rPr>
            </w:pPr>
          </w:p>
        </w:tc>
        <w:tc>
          <w:tcPr>
            <w:tcW w:w="2810" w:type="dxa"/>
          </w:tcPr>
          <w:p w:rsidR="003F48EA" w:rsidRPr="00965467" w:rsidRDefault="003F48EA" w:rsidP="00594131">
            <w:pPr>
              <w:jc w:val="left"/>
              <w:rPr>
                <w:rFonts w:ascii="Times New Roman" w:hAnsi="Times New Roman" w:cs="Times New Roman"/>
                <w:sz w:val="20"/>
                <w:szCs w:val="20"/>
              </w:rPr>
            </w:pPr>
            <w:r w:rsidRPr="00965467">
              <w:rPr>
                <w:rFonts w:ascii="Times New Roman" w:hAnsi="Times New Roman" w:cs="Times New Roman"/>
                <w:sz w:val="20"/>
                <w:szCs w:val="20"/>
              </w:rPr>
              <w:t>Business strategy for social issues, mainly in developing countries.</w:t>
            </w:r>
          </w:p>
        </w:tc>
      </w:tr>
      <w:tr w:rsidR="003F48EA" w:rsidRPr="00965467" w:rsidTr="00594131">
        <w:trPr>
          <w:trHeight w:val="181"/>
        </w:trPr>
        <w:tc>
          <w:tcPr>
            <w:tcW w:w="1731" w:type="dxa"/>
          </w:tcPr>
          <w:p w:rsidR="003F48EA" w:rsidRPr="00965467" w:rsidRDefault="003F48EA" w:rsidP="00594131">
            <w:pPr>
              <w:rPr>
                <w:rFonts w:ascii="Times New Roman" w:hAnsi="Times New Roman" w:cs="Times New Roman"/>
                <w:sz w:val="20"/>
                <w:szCs w:val="20"/>
              </w:rPr>
            </w:pPr>
            <w:r w:rsidRPr="00965467">
              <w:rPr>
                <w:rFonts w:ascii="Times New Roman" w:eastAsia="Times New Roman" w:hAnsi="Times New Roman" w:cs="Times New Roman"/>
                <w:sz w:val="20"/>
                <w:szCs w:val="20"/>
              </w:rPr>
              <w:t xml:space="preserve">Inclusive business </w:t>
            </w:r>
          </w:p>
        </w:tc>
        <w:tc>
          <w:tcPr>
            <w:tcW w:w="5824" w:type="dxa"/>
          </w:tcPr>
          <w:p w:rsidR="003F48EA" w:rsidRPr="00965467" w:rsidRDefault="003F48EA" w:rsidP="00594131">
            <w:pPr>
              <w:pStyle w:val="Style1"/>
              <w:rPr>
                <w:rFonts w:ascii="Times New Roman" w:hAnsi="Times New Roman" w:cs="Times New Roman"/>
                <w:sz w:val="20"/>
                <w:szCs w:val="20"/>
              </w:rPr>
            </w:pPr>
            <w:r w:rsidRPr="00965467">
              <w:rPr>
                <w:rFonts w:ascii="Times New Roman" w:eastAsia="Times New Roman" w:hAnsi="Times New Roman" w:cs="Times New Roman"/>
                <w:sz w:val="20"/>
                <w:szCs w:val="20"/>
              </w:rPr>
              <w:t>According to UNDP,</w:t>
            </w:r>
            <w:r w:rsidRPr="00965467">
              <w:rPr>
                <w:rFonts w:ascii="Times New Roman" w:eastAsia="Times New Roman" w:hAnsi="Times New Roman" w:cs="Times New Roman"/>
                <w:i/>
                <w:iCs/>
                <w:sz w:val="20"/>
                <w:szCs w:val="20"/>
              </w:rPr>
              <w:t xml:space="preserve"> inclusive businesses</w:t>
            </w:r>
            <w:r w:rsidRPr="00965467">
              <w:rPr>
                <w:rFonts w:ascii="Times New Roman" w:eastAsia="Times New Roman" w:hAnsi="Times New Roman" w:cs="Times New Roman"/>
                <w:sz w:val="20"/>
                <w:szCs w:val="20"/>
              </w:rPr>
              <w:t xml:space="preserve"> engage low-income communities in their value chain as suppliers, distributors, retailers, or customers while providing solutions to global challenges (</w:t>
            </w:r>
            <w:hyperlink r:id="rId5" w:history="1">
              <w:r w:rsidRPr="00965467">
                <w:rPr>
                  <w:rStyle w:val="Hyperlink"/>
                  <w:sz w:val="20"/>
                  <w:szCs w:val="20"/>
                </w:rPr>
                <w:t>www.iicpsd.undp.org</w:t>
              </w:r>
            </w:hyperlink>
            <w:r w:rsidRPr="00965467">
              <w:rPr>
                <w:rFonts w:ascii="Times New Roman" w:eastAsia="Times New Roman" w:hAnsi="Times New Roman" w:cs="Times New Roman"/>
                <w:sz w:val="20"/>
                <w:szCs w:val="20"/>
              </w:rPr>
              <w:t>, See also Williams and Hayes, 2013)</w:t>
            </w:r>
          </w:p>
        </w:tc>
        <w:tc>
          <w:tcPr>
            <w:tcW w:w="2810" w:type="dxa"/>
          </w:tcPr>
          <w:p w:rsidR="003F48EA" w:rsidRPr="00965467" w:rsidRDefault="003F48EA" w:rsidP="00594131">
            <w:pPr>
              <w:jc w:val="left"/>
              <w:rPr>
                <w:rFonts w:ascii="Times New Roman" w:hAnsi="Times New Roman" w:cs="Times New Roman"/>
                <w:sz w:val="20"/>
                <w:szCs w:val="20"/>
              </w:rPr>
            </w:pPr>
            <w:r w:rsidRPr="00965467">
              <w:rPr>
                <w:rFonts w:ascii="Times New Roman" w:eastAsia="Times New Roman" w:hAnsi="Times New Roman" w:cs="Times New Roman"/>
                <w:sz w:val="20"/>
                <w:szCs w:val="20"/>
              </w:rPr>
              <w:t xml:space="preserve">Private sector-based development policy in developing countries (pioneered by multilateral development organizations such as UNDP, IFC, and IDB – see also Hart </w:t>
            </w:r>
            <w:r w:rsidRPr="00965467">
              <w:rPr>
                <w:rFonts w:ascii="Times New Roman" w:eastAsia="Times New Roman" w:hAnsi="Times New Roman" w:cs="Times New Roman"/>
                <w:i/>
                <w:iCs/>
                <w:sz w:val="20"/>
                <w:szCs w:val="20"/>
              </w:rPr>
              <w:t>et al</w:t>
            </w:r>
            <w:r w:rsidRPr="00965467">
              <w:rPr>
                <w:rFonts w:ascii="Times New Roman" w:eastAsia="Times New Roman" w:hAnsi="Times New Roman" w:cs="Times New Roman"/>
                <w:sz w:val="20"/>
                <w:szCs w:val="20"/>
              </w:rPr>
              <w:t>., 2016).</w:t>
            </w:r>
          </w:p>
        </w:tc>
      </w:tr>
      <w:tr w:rsidR="003F48EA" w:rsidRPr="00965467" w:rsidTr="00594131">
        <w:trPr>
          <w:trHeight w:val="181"/>
        </w:trPr>
        <w:tc>
          <w:tcPr>
            <w:tcW w:w="1731" w:type="dxa"/>
          </w:tcPr>
          <w:p w:rsidR="003F48EA" w:rsidRPr="00965467" w:rsidRDefault="003F48EA" w:rsidP="00594131">
            <w:pPr>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 xml:space="preserve">Social entrepreneurship </w:t>
            </w:r>
          </w:p>
        </w:tc>
        <w:tc>
          <w:tcPr>
            <w:tcW w:w="5824" w:type="dxa"/>
          </w:tcPr>
          <w:p w:rsidR="003F48EA" w:rsidRPr="00965467" w:rsidRDefault="003F48EA" w:rsidP="00594131">
            <w:pPr>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Social entrepreneurship is “a process involving the innovative use and combination of resources to pursue opportunities to catalyze social change and/or address social needs” (Mair and Marti, 2006, p.</w:t>
            </w:r>
            <w:r>
              <w:rPr>
                <w:rFonts w:ascii="Times New Roman" w:eastAsia="Times New Roman" w:hAnsi="Times New Roman" w:cs="Times New Roman"/>
                <w:sz w:val="20"/>
                <w:szCs w:val="20"/>
              </w:rPr>
              <w:t xml:space="preserve"> </w:t>
            </w:r>
            <w:r w:rsidRPr="00965467">
              <w:rPr>
                <w:rFonts w:ascii="Times New Roman" w:eastAsia="Times New Roman" w:hAnsi="Times New Roman" w:cs="Times New Roman"/>
                <w:sz w:val="20"/>
                <w:szCs w:val="20"/>
              </w:rPr>
              <w:t xml:space="preserve">37) </w:t>
            </w:r>
          </w:p>
          <w:p w:rsidR="003F48EA" w:rsidRPr="00965467" w:rsidRDefault="003F48EA" w:rsidP="00594131">
            <w:pPr>
              <w:rPr>
                <w:rFonts w:ascii="Times New Roman" w:eastAsia="Times New Roman" w:hAnsi="Times New Roman" w:cs="Times New Roman"/>
                <w:sz w:val="20"/>
                <w:szCs w:val="20"/>
              </w:rPr>
            </w:pPr>
          </w:p>
        </w:tc>
        <w:tc>
          <w:tcPr>
            <w:tcW w:w="2810" w:type="dxa"/>
          </w:tcPr>
          <w:p w:rsidR="003F48EA" w:rsidRPr="00965467" w:rsidRDefault="003F48EA" w:rsidP="00594131">
            <w:pPr>
              <w:jc w:val="left"/>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 xml:space="preserve">Small-scale businesses taking up social issues, both in developed and developing countries </w:t>
            </w:r>
          </w:p>
        </w:tc>
      </w:tr>
      <w:tr w:rsidR="003F48EA" w:rsidRPr="00965467" w:rsidTr="00594131">
        <w:trPr>
          <w:trHeight w:val="181"/>
        </w:trPr>
        <w:tc>
          <w:tcPr>
            <w:tcW w:w="1731" w:type="dxa"/>
            <w:tcBorders>
              <w:bottom w:val="single" w:sz="4" w:space="0" w:color="auto"/>
            </w:tcBorders>
          </w:tcPr>
          <w:p w:rsidR="003F48EA" w:rsidRPr="00965467" w:rsidRDefault="003F48EA" w:rsidP="00594131">
            <w:pPr>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 xml:space="preserve">Social business </w:t>
            </w:r>
          </w:p>
        </w:tc>
        <w:tc>
          <w:tcPr>
            <w:tcW w:w="5824" w:type="dxa"/>
            <w:tcBorders>
              <w:bottom w:val="single" w:sz="4" w:space="0" w:color="auto"/>
            </w:tcBorders>
          </w:tcPr>
          <w:p w:rsidR="003F48EA" w:rsidRPr="00965467" w:rsidRDefault="003F48EA" w:rsidP="00594131">
            <w:pPr>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 xml:space="preserve">“Social businesses can be seen as a subset of social entrepreneurship, which includes both profit and not-for-profit initiatives, and which can be distinguished from conventional entrepreneurship through the ‘relative priority given to social wealth creation vs. economic wealth creation. In business entrepreneurship, social wealth is a by-product of the economic value created’” (Yunus </w:t>
            </w:r>
            <w:r w:rsidRPr="00965467">
              <w:rPr>
                <w:rFonts w:ascii="Times New Roman" w:eastAsia="Times New Roman" w:hAnsi="Times New Roman" w:cs="Times New Roman"/>
                <w:i/>
                <w:iCs/>
                <w:sz w:val="20"/>
                <w:szCs w:val="20"/>
              </w:rPr>
              <w:t>et al.,</w:t>
            </w:r>
            <w:r w:rsidRPr="00965467">
              <w:rPr>
                <w:rFonts w:ascii="Times New Roman" w:eastAsia="Times New Roman" w:hAnsi="Times New Roman" w:cs="Times New Roman"/>
                <w:sz w:val="20"/>
                <w:szCs w:val="20"/>
              </w:rPr>
              <w:t xml:space="preserve"> 2010, p. 311). </w:t>
            </w:r>
          </w:p>
        </w:tc>
        <w:tc>
          <w:tcPr>
            <w:tcW w:w="2810" w:type="dxa"/>
            <w:tcBorders>
              <w:bottom w:val="single" w:sz="4" w:space="0" w:color="auto"/>
            </w:tcBorders>
          </w:tcPr>
          <w:p w:rsidR="003F48EA" w:rsidRPr="00965467" w:rsidRDefault="003F48EA" w:rsidP="00594131">
            <w:pPr>
              <w:jc w:val="left"/>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 xml:space="preserve">Small-scale businesses taking up social issues, both in developed and developing countries </w:t>
            </w:r>
          </w:p>
        </w:tc>
      </w:tr>
      <w:tr w:rsidR="003F48EA" w:rsidRPr="00965467" w:rsidTr="00594131">
        <w:trPr>
          <w:trHeight w:val="181"/>
        </w:trPr>
        <w:tc>
          <w:tcPr>
            <w:tcW w:w="1731" w:type="dxa"/>
            <w:tcBorders>
              <w:bottom w:val="double" w:sz="4" w:space="0" w:color="auto"/>
            </w:tcBorders>
          </w:tcPr>
          <w:p w:rsidR="003F48EA" w:rsidRPr="00965467" w:rsidRDefault="003F48EA" w:rsidP="00594131">
            <w:pPr>
              <w:rPr>
                <w:rFonts w:ascii="Times New Roman" w:hAnsi="Times New Roman" w:cs="Times New Roman"/>
                <w:sz w:val="20"/>
                <w:szCs w:val="20"/>
              </w:rPr>
            </w:pPr>
            <w:r w:rsidRPr="00965467">
              <w:rPr>
                <w:rFonts w:ascii="Times New Roman" w:eastAsia="Times New Roman" w:hAnsi="Times New Roman" w:cs="Times New Roman"/>
                <w:sz w:val="20"/>
                <w:szCs w:val="20"/>
              </w:rPr>
              <w:t xml:space="preserve">Shared value </w:t>
            </w:r>
          </w:p>
        </w:tc>
        <w:tc>
          <w:tcPr>
            <w:tcW w:w="5824" w:type="dxa"/>
            <w:tcBorders>
              <w:bottom w:val="double" w:sz="4" w:space="0" w:color="auto"/>
            </w:tcBorders>
          </w:tcPr>
          <w:p w:rsidR="003F48EA" w:rsidRPr="00965467" w:rsidRDefault="003F48EA" w:rsidP="00594131">
            <w:pPr>
              <w:rPr>
                <w:rFonts w:ascii="Times New Roman" w:eastAsia="Times New Roman" w:hAnsi="Times New Roman" w:cs="Times New Roman"/>
                <w:sz w:val="20"/>
                <w:szCs w:val="20"/>
              </w:rPr>
            </w:pPr>
            <w:r w:rsidRPr="00965467">
              <w:rPr>
                <w:rFonts w:ascii="Times New Roman" w:eastAsia="Times New Roman" w:hAnsi="Times New Roman" w:cs="Times New Roman"/>
                <w:sz w:val="20"/>
                <w:szCs w:val="20"/>
              </w:rPr>
              <w:t>“The principle of shared value</w:t>
            </w:r>
            <w:r>
              <w:rPr>
                <w:rFonts w:ascii="Times New Roman" w:eastAsia="Times New Roman" w:hAnsi="Times New Roman" w:cs="Times New Roman"/>
                <w:sz w:val="20"/>
                <w:szCs w:val="20"/>
              </w:rPr>
              <w:t xml:space="preserve"> [</w:t>
            </w:r>
            <w:r w:rsidRPr="00965467">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Pr="00965467">
              <w:rPr>
                <w:rFonts w:ascii="Times New Roman" w:eastAsia="Times New Roman" w:hAnsi="Times New Roman" w:cs="Times New Roman"/>
                <w:sz w:val="20"/>
                <w:szCs w:val="20"/>
              </w:rPr>
              <w:t xml:space="preserve"> involves creating economic value in a way that also creates value for society by addressing its needs and challenges” (Porter and Kramer, 2011, p. 4).</w:t>
            </w:r>
          </w:p>
          <w:p w:rsidR="003F48EA" w:rsidRPr="00965467" w:rsidRDefault="003F48EA" w:rsidP="00594131">
            <w:pPr>
              <w:pStyle w:val="Style1"/>
              <w:rPr>
                <w:rFonts w:ascii="Times New Roman" w:hAnsi="Times New Roman" w:cs="Times New Roman"/>
                <w:sz w:val="20"/>
                <w:szCs w:val="20"/>
              </w:rPr>
            </w:pPr>
          </w:p>
        </w:tc>
        <w:tc>
          <w:tcPr>
            <w:tcW w:w="2810" w:type="dxa"/>
            <w:tcBorders>
              <w:bottom w:val="double" w:sz="4" w:space="0" w:color="auto"/>
            </w:tcBorders>
          </w:tcPr>
          <w:p w:rsidR="003F48EA" w:rsidRPr="00965467" w:rsidRDefault="003F48EA" w:rsidP="00594131">
            <w:pPr>
              <w:jc w:val="left"/>
              <w:rPr>
                <w:rFonts w:ascii="Times New Roman" w:hAnsi="Times New Roman" w:cs="Times New Roman"/>
                <w:sz w:val="20"/>
                <w:szCs w:val="20"/>
              </w:rPr>
            </w:pPr>
            <w:r w:rsidRPr="00965467">
              <w:rPr>
                <w:rFonts w:ascii="Times New Roman" w:eastAsia="Times New Roman" w:hAnsi="Times New Roman" w:cs="Times New Roman"/>
                <w:sz w:val="20"/>
                <w:szCs w:val="20"/>
              </w:rPr>
              <w:t xml:space="preserve">Business strategy for social issues, in developed and developing countries </w:t>
            </w:r>
          </w:p>
        </w:tc>
      </w:tr>
    </w:tbl>
    <w:p w:rsidR="003F48EA" w:rsidRPr="00965467" w:rsidRDefault="003F48EA" w:rsidP="003F48EA">
      <w:pPr>
        <w:pStyle w:val="Heading2"/>
        <w:numPr>
          <w:ilvl w:val="0"/>
          <w:numId w:val="0"/>
        </w:numPr>
        <w:ind w:left="1440"/>
        <w:rPr>
          <w:b w:val="0"/>
          <w:i w:val="0"/>
        </w:rPr>
        <w:sectPr w:rsidR="003F48EA" w:rsidRPr="00965467" w:rsidSect="00811D0B">
          <w:pgSz w:w="12240" w:h="15840"/>
          <w:pgMar w:top="1440" w:right="1440" w:bottom="1440" w:left="1440" w:header="720" w:footer="720" w:gutter="0"/>
          <w:pgNumType w:start="1"/>
          <w:cols w:space="720"/>
          <w:docGrid w:linePitch="360"/>
        </w:sectPr>
      </w:pPr>
    </w:p>
    <w:p w:rsidR="003F48EA" w:rsidRPr="00965467" w:rsidRDefault="003F48EA" w:rsidP="003F48EA">
      <w:r w:rsidRPr="00965467">
        <w:lastRenderedPageBreak/>
        <w:t>Figure A2: Overview of the process for the selection of final list of articles</w:t>
      </w:r>
    </w:p>
    <w:p w:rsidR="003F48EA" w:rsidRPr="00965467" w:rsidRDefault="003F48EA" w:rsidP="003F48EA">
      <w:r w:rsidRPr="00965467">
        <w:rPr>
          <w:noProof/>
          <w:lang w:eastAsia="en-IN"/>
        </w:rPr>
        <w:drawing>
          <wp:inline distT="0" distB="0" distL="0" distR="0" wp14:anchorId="210F2F05" wp14:editId="5E8BA7A2">
            <wp:extent cx="5943600" cy="3321685"/>
            <wp:effectExtent l="0" t="0" r="0" b="0"/>
            <wp:docPr id="4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5943600" cy="3321685"/>
                    </a:xfrm>
                    <a:prstGeom prst="rect">
                      <a:avLst/>
                    </a:prstGeom>
                    <a:ln/>
                  </pic:spPr>
                </pic:pic>
              </a:graphicData>
            </a:graphic>
          </wp:inline>
        </w:drawing>
      </w:r>
    </w:p>
    <w:p w:rsidR="003F48EA" w:rsidRPr="00965467" w:rsidRDefault="003F48EA" w:rsidP="003F48EA">
      <w:bookmarkStart w:id="2" w:name="_heading=h.26in1rg" w:colFirst="0" w:colLast="0"/>
      <w:bookmarkEnd w:id="2"/>
      <w:r w:rsidRPr="00965467">
        <w:br w:type="page"/>
      </w:r>
    </w:p>
    <w:p w:rsidR="003F48EA" w:rsidRPr="00965467" w:rsidRDefault="003F48EA" w:rsidP="003F48EA">
      <w:pPr>
        <w:pStyle w:val="Heading2"/>
        <w:numPr>
          <w:ilvl w:val="0"/>
          <w:numId w:val="0"/>
        </w:numPr>
        <w:rPr>
          <w:b w:val="0"/>
          <w:i w:val="0"/>
          <w:sz w:val="22"/>
          <w:szCs w:val="22"/>
        </w:rPr>
      </w:pPr>
      <w:r w:rsidRPr="00965467">
        <w:rPr>
          <w:b w:val="0"/>
          <w:i w:val="0"/>
          <w:sz w:val="22"/>
          <w:szCs w:val="22"/>
        </w:rPr>
        <w:lastRenderedPageBreak/>
        <w:t>Table A3: Extract of the coding scheme with one example of coded article</w:t>
      </w:r>
    </w:p>
    <w:tbl>
      <w:tblPr>
        <w:tblStyle w:val="PlainTable2"/>
        <w:tblW w:w="13162" w:type="dxa"/>
        <w:tblLook w:val="0620" w:firstRow="1" w:lastRow="0" w:firstColumn="0" w:lastColumn="0" w:noHBand="1" w:noVBand="1"/>
      </w:tblPr>
      <w:tblGrid>
        <w:gridCol w:w="1098"/>
        <w:gridCol w:w="1504"/>
        <w:gridCol w:w="1594"/>
        <w:gridCol w:w="2332"/>
        <w:gridCol w:w="1621"/>
        <w:gridCol w:w="2917"/>
        <w:gridCol w:w="2096"/>
      </w:tblGrid>
      <w:tr w:rsidR="003F48EA" w:rsidRPr="00965467" w:rsidTr="00594131">
        <w:trPr>
          <w:cnfStyle w:val="100000000000" w:firstRow="1" w:lastRow="0" w:firstColumn="0" w:lastColumn="0" w:oddVBand="0" w:evenVBand="0" w:oddHBand="0" w:evenHBand="0" w:firstRowFirstColumn="0" w:firstRowLastColumn="0" w:lastRowFirstColumn="0" w:lastRowLastColumn="0"/>
          <w:trHeight w:val="404"/>
        </w:trPr>
        <w:tc>
          <w:tcPr>
            <w:tcW w:w="1098" w:type="dxa"/>
            <w:tcBorders>
              <w:top w:val="doub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Study</w:t>
            </w:r>
          </w:p>
        </w:tc>
        <w:tc>
          <w:tcPr>
            <w:tcW w:w="1504" w:type="dxa"/>
            <w:tcBorders>
              <w:top w:val="doub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Country</w:t>
            </w:r>
          </w:p>
        </w:tc>
        <w:tc>
          <w:tcPr>
            <w:tcW w:w="1594" w:type="dxa"/>
            <w:tcBorders>
              <w:top w:val="doub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Success / Failure</w:t>
            </w:r>
          </w:p>
        </w:tc>
        <w:tc>
          <w:tcPr>
            <w:tcW w:w="2332" w:type="dxa"/>
            <w:tcBorders>
              <w:top w:val="doub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Theoretical Perspective</w:t>
            </w:r>
          </w:p>
        </w:tc>
        <w:tc>
          <w:tcPr>
            <w:tcW w:w="1621" w:type="dxa"/>
            <w:tcBorders>
              <w:top w:val="doub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Method of analysis</w:t>
            </w:r>
          </w:p>
        </w:tc>
        <w:tc>
          <w:tcPr>
            <w:tcW w:w="2917" w:type="dxa"/>
            <w:tcBorders>
              <w:top w:val="doub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ANTECEDENTS</w:t>
            </w:r>
            <w:r w:rsidRPr="00965467">
              <w:rPr>
                <w:i/>
                <w:iCs/>
                <w:color w:val="000000" w:themeColor="text1"/>
                <w:kern w:val="24"/>
                <w:sz w:val="20"/>
                <w:szCs w:val="20"/>
              </w:rPr>
              <w:br/>
              <w:t>&amp; triggers (Voids; ICT; Passion)</w:t>
            </w:r>
          </w:p>
        </w:tc>
        <w:tc>
          <w:tcPr>
            <w:tcW w:w="2096" w:type="dxa"/>
            <w:tcBorders>
              <w:top w:val="doub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STRATEGY</w:t>
            </w:r>
            <w:r w:rsidRPr="00965467">
              <w:rPr>
                <w:i/>
                <w:iCs/>
                <w:color w:val="000000" w:themeColor="text1"/>
                <w:kern w:val="24"/>
                <w:sz w:val="20"/>
                <w:szCs w:val="20"/>
              </w:rPr>
              <w:br/>
              <w:t>Scaling &amp; growing</w:t>
            </w:r>
            <w:r w:rsidRPr="00965467">
              <w:rPr>
                <w:i/>
                <w:iCs/>
                <w:color w:val="000000" w:themeColor="text1"/>
                <w:kern w:val="24"/>
                <w:sz w:val="20"/>
                <w:szCs w:val="20"/>
              </w:rPr>
              <w:br/>
              <w:t xml:space="preserve"> strategies (e.g. across </w:t>
            </w:r>
            <w:r w:rsidRPr="00965467">
              <w:rPr>
                <w:i/>
                <w:iCs/>
                <w:color w:val="000000" w:themeColor="text1"/>
                <w:kern w:val="24"/>
                <w:sz w:val="20"/>
                <w:szCs w:val="20"/>
              </w:rPr>
              <w:br/>
              <w:t>geography)</w:t>
            </w:r>
          </w:p>
        </w:tc>
      </w:tr>
      <w:tr w:rsidR="003F48EA" w:rsidRPr="00965467" w:rsidTr="00594131">
        <w:trPr>
          <w:trHeight w:val="404"/>
        </w:trPr>
        <w:tc>
          <w:tcPr>
            <w:tcW w:w="1098" w:type="dxa"/>
          </w:tcPr>
          <w:p w:rsidR="003F48EA" w:rsidRPr="00965467" w:rsidRDefault="003F48EA" w:rsidP="00594131">
            <w:pPr>
              <w:jc w:val="center"/>
              <w:textAlignment w:val="bottom"/>
              <w:rPr>
                <w:color w:val="000000" w:themeColor="text1"/>
                <w:kern w:val="24"/>
                <w:sz w:val="20"/>
                <w:szCs w:val="20"/>
              </w:rPr>
            </w:pPr>
          </w:p>
        </w:tc>
        <w:tc>
          <w:tcPr>
            <w:tcW w:w="1504" w:type="dxa"/>
          </w:tcPr>
          <w:p w:rsidR="003F48EA" w:rsidRPr="00965467" w:rsidRDefault="003F48EA" w:rsidP="00594131">
            <w:pPr>
              <w:jc w:val="center"/>
              <w:textAlignment w:val="bottom"/>
              <w:rPr>
                <w:color w:val="000000" w:themeColor="text1"/>
                <w:kern w:val="24"/>
                <w:sz w:val="20"/>
                <w:szCs w:val="20"/>
              </w:rPr>
            </w:pPr>
          </w:p>
        </w:tc>
        <w:tc>
          <w:tcPr>
            <w:tcW w:w="1594" w:type="dxa"/>
          </w:tcPr>
          <w:p w:rsidR="003F48EA" w:rsidRPr="00965467" w:rsidRDefault="003F48EA" w:rsidP="00594131">
            <w:pPr>
              <w:jc w:val="center"/>
              <w:textAlignment w:val="bottom"/>
              <w:rPr>
                <w:color w:val="000000" w:themeColor="text1"/>
                <w:kern w:val="24"/>
                <w:sz w:val="20"/>
                <w:szCs w:val="20"/>
              </w:rPr>
            </w:pPr>
          </w:p>
        </w:tc>
        <w:tc>
          <w:tcPr>
            <w:tcW w:w="2332" w:type="dxa"/>
          </w:tcPr>
          <w:p w:rsidR="003F48EA" w:rsidRPr="00965467" w:rsidRDefault="003F48EA" w:rsidP="00594131">
            <w:pPr>
              <w:jc w:val="center"/>
              <w:textAlignment w:val="bottom"/>
              <w:rPr>
                <w:color w:val="000000" w:themeColor="text1"/>
                <w:kern w:val="24"/>
                <w:sz w:val="20"/>
                <w:szCs w:val="20"/>
              </w:rPr>
            </w:pPr>
          </w:p>
        </w:tc>
        <w:tc>
          <w:tcPr>
            <w:tcW w:w="1621" w:type="dxa"/>
          </w:tcPr>
          <w:p w:rsidR="003F48EA" w:rsidRPr="00965467" w:rsidRDefault="003F48EA" w:rsidP="00594131">
            <w:pPr>
              <w:jc w:val="center"/>
              <w:textAlignment w:val="bottom"/>
              <w:rPr>
                <w:color w:val="000000" w:themeColor="text1"/>
                <w:kern w:val="24"/>
                <w:sz w:val="20"/>
                <w:szCs w:val="20"/>
              </w:rPr>
            </w:pPr>
          </w:p>
        </w:tc>
        <w:tc>
          <w:tcPr>
            <w:tcW w:w="2917" w:type="dxa"/>
          </w:tcPr>
          <w:p w:rsidR="003F48EA" w:rsidRPr="00965467" w:rsidRDefault="003F48EA" w:rsidP="00594131">
            <w:pPr>
              <w:jc w:val="center"/>
              <w:textAlignment w:val="bottom"/>
              <w:rPr>
                <w:color w:val="000000" w:themeColor="text1"/>
                <w:kern w:val="24"/>
                <w:sz w:val="20"/>
                <w:szCs w:val="20"/>
              </w:rPr>
            </w:pPr>
          </w:p>
        </w:tc>
        <w:tc>
          <w:tcPr>
            <w:tcW w:w="2096" w:type="dxa"/>
          </w:tcPr>
          <w:p w:rsidR="003F48EA" w:rsidRPr="00965467" w:rsidRDefault="003F48EA" w:rsidP="00594131">
            <w:pPr>
              <w:jc w:val="center"/>
              <w:textAlignment w:val="bottom"/>
              <w:rPr>
                <w:color w:val="000000" w:themeColor="text1"/>
                <w:kern w:val="24"/>
                <w:sz w:val="20"/>
                <w:szCs w:val="20"/>
              </w:rPr>
            </w:pPr>
          </w:p>
        </w:tc>
      </w:tr>
      <w:tr w:rsidR="003F48EA" w:rsidRPr="00965467" w:rsidTr="00594131">
        <w:trPr>
          <w:trHeight w:val="1706"/>
        </w:trPr>
        <w:tc>
          <w:tcPr>
            <w:tcW w:w="1098" w:type="dxa"/>
            <w:hideMark/>
          </w:tcPr>
          <w:p w:rsidR="003F48EA" w:rsidRPr="00965467" w:rsidRDefault="003F48EA" w:rsidP="00594131">
            <w:pPr>
              <w:jc w:val="center"/>
              <w:textAlignment w:val="bottom"/>
              <w:rPr>
                <w:sz w:val="20"/>
                <w:szCs w:val="20"/>
              </w:rPr>
            </w:pPr>
            <w:r w:rsidRPr="00965467">
              <w:rPr>
                <w:color w:val="000000" w:themeColor="text1"/>
                <w:kern w:val="24"/>
                <w:sz w:val="20"/>
                <w:szCs w:val="20"/>
              </w:rPr>
              <w:t>Duke (2016)</w:t>
            </w:r>
          </w:p>
        </w:tc>
        <w:tc>
          <w:tcPr>
            <w:tcW w:w="1504" w:type="dxa"/>
            <w:hideMark/>
          </w:tcPr>
          <w:p w:rsidR="003F48EA" w:rsidRPr="00965467" w:rsidRDefault="003F48EA" w:rsidP="00594131">
            <w:pPr>
              <w:jc w:val="center"/>
              <w:textAlignment w:val="bottom"/>
              <w:rPr>
                <w:sz w:val="20"/>
                <w:szCs w:val="20"/>
              </w:rPr>
            </w:pPr>
            <w:r w:rsidRPr="00965467">
              <w:rPr>
                <w:color w:val="000000" w:themeColor="text1"/>
                <w:kern w:val="24"/>
                <w:sz w:val="20"/>
                <w:szCs w:val="20"/>
              </w:rPr>
              <w:t>USA (Kenya and Latin American country)</w:t>
            </w:r>
          </w:p>
        </w:tc>
        <w:tc>
          <w:tcPr>
            <w:tcW w:w="1594" w:type="dxa"/>
            <w:hideMark/>
          </w:tcPr>
          <w:p w:rsidR="003F48EA" w:rsidRPr="00965467" w:rsidRDefault="003F48EA" w:rsidP="00594131">
            <w:pPr>
              <w:jc w:val="center"/>
              <w:textAlignment w:val="bottom"/>
              <w:rPr>
                <w:sz w:val="20"/>
                <w:szCs w:val="20"/>
              </w:rPr>
            </w:pPr>
            <w:r w:rsidRPr="00965467">
              <w:rPr>
                <w:color w:val="000000" w:themeColor="text1"/>
                <w:kern w:val="24"/>
                <w:sz w:val="20"/>
                <w:szCs w:val="20"/>
              </w:rPr>
              <w:t>Mixed</w:t>
            </w:r>
          </w:p>
        </w:tc>
        <w:tc>
          <w:tcPr>
            <w:tcW w:w="2332" w:type="dxa"/>
            <w:hideMark/>
          </w:tcPr>
          <w:p w:rsidR="003F48EA" w:rsidRPr="00965467" w:rsidRDefault="003F48EA" w:rsidP="00594131">
            <w:pPr>
              <w:jc w:val="center"/>
              <w:textAlignment w:val="bottom"/>
              <w:rPr>
                <w:sz w:val="20"/>
                <w:szCs w:val="20"/>
              </w:rPr>
            </w:pPr>
            <w:r w:rsidRPr="00965467">
              <w:rPr>
                <w:color w:val="000000" w:themeColor="text1"/>
                <w:kern w:val="24"/>
                <w:sz w:val="20"/>
                <w:szCs w:val="20"/>
              </w:rPr>
              <w:t>Entrepreneurial and creative processes literature</w:t>
            </w:r>
          </w:p>
        </w:tc>
        <w:tc>
          <w:tcPr>
            <w:tcW w:w="1621" w:type="dxa"/>
            <w:hideMark/>
          </w:tcPr>
          <w:p w:rsidR="003F48EA" w:rsidRPr="00965467" w:rsidRDefault="003F48EA" w:rsidP="00594131">
            <w:pPr>
              <w:jc w:val="center"/>
              <w:textAlignment w:val="bottom"/>
              <w:rPr>
                <w:sz w:val="20"/>
                <w:szCs w:val="20"/>
              </w:rPr>
            </w:pPr>
            <w:r w:rsidRPr="00965467">
              <w:rPr>
                <w:color w:val="000000" w:themeColor="text1"/>
                <w:kern w:val="24"/>
                <w:sz w:val="20"/>
                <w:szCs w:val="20"/>
              </w:rPr>
              <w:t>Qualitative</w:t>
            </w:r>
          </w:p>
        </w:tc>
        <w:tc>
          <w:tcPr>
            <w:tcW w:w="2917" w:type="dxa"/>
            <w:hideMark/>
          </w:tcPr>
          <w:p w:rsidR="003F48EA" w:rsidRPr="00965467" w:rsidRDefault="003F48EA" w:rsidP="00594131">
            <w:pPr>
              <w:jc w:val="center"/>
              <w:textAlignment w:val="bottom"/>
              <w:rPr>
                <w:sz w:val="20"/>
                <w:szCs w:val="20"/>
              </w:rPr>
            </w:pPr>
            <w:r w:rsidRPr="00965467">
              <w:rPr>
                <w:color w:val="000000" w:themeColor="text1"/>
                <w:kern w:val="24"/>
                <w:sz w:val="20"/>
                <w:szCs w:val="20"/>
              </w:rPr>
              <w:t>Initial: provision of locally meaningful and environmental benefits while simultaneously creating profits.</w:t>
            </w:r>
          </w:p>
        </w:tc>
        <w:tc>
          <w:tcPr>
            <w:tcW w:w="2096" w:type="dxa"/>
            <w:hideMark/>
          </w:tcPr>
          <w:p w:rsidR="003F48EA" w:rsidRPr="00965467" w:rsidRDefault="003F48EA" w:rsidP="00594131">
            <w:pPr>
              <w:jc w:val="center"/>
              <w:textAlignment w:val="bottom"/>
              <w:rPr>
                <w:sz w:val="20"/>
                <w:szCs w:val="20"/>
              </w:rPr>
            </w:pPr>
            <w:r w:rsidRPr="00965467">
              <w:rPr>
                <w:color w:val="000000" w:themeColor="text1"/>
                <w:kern w:val="24"/>
                <w:sz w:val="20"/>
                <w:szCs w:val="20"/>
              </w:rPr>
              <w:t>Micro-franchising and geographical expansion mentioned as strategies.</w:t>
            </w:r>
          </w:p>
        </w:tc>
      </w:tr>
      <w:tr w:rsidR="003F48EA" w:rsidRPr="00965467" w:rsidTr="00594131">
        <w:trPr>
          <w:trHeight w:val="213"/>
        </w:trPr>
        <w:tc>
          <w:tcPr>
            <w:tcW w:w="1098" w:type="dxa"/>
          </w:tcPr>
          <w:p w:rsidR="003F48EA" w:rsidRPr="00965467" w:rsidRDefault="003F48EA" w:rsidP="00594131">
            <w:pPr>
              <w:jc w:val="center"/>
              <w:textAlignment w:val="bottom"/>
              <w:rPr>
                <w:color w:val="000000" w:themeColor="text1"/>
                <w:kern w:val="24"/>
                <w:sz w:val="20"/>
                <w:szCs w:val="20"/>
              </w:rPr>
            </w:pPr>
          </w:p>
        </w:tc>
        <w:tc>
          <w:tcPr>
            <w:tcW w:w="1504" w:type="dxa"/>
          </w:tcPr>
          <w:p w:rsidR="003F48EA" w:rsidRPr="00965467" w:rsidRDefault="003F48EA" w:rsidP="00594131">
            <w:pPr>
              <w:jc w:val="center"/>
              <w:textAlignment w:val="bottom"/>
              <w:rPr>
                <w:color w:val="000000" w:themeColor="text1"/>
                <w:kern w:val="24"/>
                <w:sz w:val="20"/>
                <w:szCs w:val="20"/>
              </w:rPr>
            </w:pPr>
          </w:p>
        </w:tc>
        <w:tc>
          <w:tcPr>
            <w:tcW w:w="1594" w:type="dxa"/>
          </w:tcPr>
          <w:p w:rsidR="003F48EA" w:rsidRPr="00965467" w:rsidRDefault="003F48EA" w:rsidP="00594131">
            <w:pPr>
              <w:jc w:val="center"/>
              <w:textAlignment w:val="bottom"/>
              <w:rPr>
                <w:color w:val="000000" w:themeColor="text1"/>
                <w:kern w:val="24"/>
                <w:sz w:val="20"/>
                <w:szCs w:val="20"/>
              </w:rPr>
            </w:pPr>
          </w:p>
        </w:tc>
        <w:tc>
          <w:tcPr>
            <w:tcW w:w="2332" w:type="dxa"/>
          </w:tcPr>
          <w:p w:rsidR="003F48EA" w:rsidRPr="00965467" w:rsidRDefault="003F48EA" w:rsidP="00594131">
            <w:pPr>
              <w:jc w:val="center"/>
              <w:textAlignment w:val="bottom"/>
              <w:rPr>
                <w:color w:val="000000" w:themeColor="text1"/>
                <w:kern w:val="24"/>
                <w:sz w:val="20"/>
                <w:szCs w:val="20"/>
              </w:rPr>
            </w:pPr>
          </w:p>
        </w:tc>
        <w:tc>
          <w:tcPr>
            <w:tcW w:w="1621" w:type="dxa"/>
          </w:tcPr>
          <w:p w:rsidR="003F48EA" w:rsidRPr="00965467" w:rsidRDefault="003F48EA" w:rsidP="00594131">
            <w:pPr>
              <w:jc w:val="center"/>
              <w:textAlignment w:val="bottom"/>
              <w:rPr>
                <w:color w:val="000000" w:themeColor="text1"/>
                <w:kern w:val="24"/>
                <w:sz w:val="20"/>
                <w:szCs w:val="20"/>
              </w:rPr>
            </w:pPr>
          </w:p>
        </w:tc>
        <w:tc>
          <w:tcPr>
            <w:tcW w:w="2917" w:type="dxa"/>
          </w:tcPr>
          <w:p w:rsidR="003F48EA" w:rsidRPr="00965467" w:rsidRDefault="003F48EA" w:rsidP="00594131">
            <w:pPr>
              <w:jc w:val="center"/>
              <w:textAlignment w:val="bottom"/>
              <w:rPr>
                <w:color w:val="000000" w:themeColor="text1"/>
                <w:kern w:val="24"/>
                <w:sz w:val="20"/>
                <w:szCs w:val="20"/>
              </w:rPr>
            </w:pPr>
          </w:p>
        </w:tc>
        <w:tc>
          <w:tcPr>
            <w:tcW w:w="2096" w:type="dxa"/>
          </w:tcPr>
          <w:p w:rsidR="003F48EA" w:rsidRPr="00965467" w:rsidRDefault="003F48EA" w:rsidP="00594131">
            <w:pPr>
              <w:jc w:val="center"/>
              <w:textAlignment w:val="bottom"/>
              <w:rPr>
                <w:color w:val="000000" w:themeColor="text1"/>
                <w:kern w:val="24"/>
                <w:sz w:val="20"/>
                <w:szCs w:val="20"/>
              </w:rPr>
            </w:pPr>
          </w:p>
        </w:tc>
      </w:tr>
    </w:tbl>
    <w:p w:rsidR="003F48EA" w:rsidRPr="00965467" w:rsidRDefault="003F48EA" w:rsidP="003F48EA">
      <w:pPr>
        <w:jc w:val="right"/>
        <w:rPr>
          <w:i/>
        </w:rPr>
      </w:pPr>
      <w:r w:rsidRPr="00965467">
        <w:rPr>
          <w:i/>
        </w:rPr>
        <w:t>Contd.</w:t>
      </w:r>
    </w:p>
    <w:p w:rsidR="003F48EA" w:rsidRPr="00965467" w:rsidRDefault="003F48EA" w:rsidP="003F48EA"/>
    <w:p w:rsidR="003F48EA" w:rsidRPr="00965467" w:rsidRDefault="003F48EA" w:rsidP="003F48EA">
      <w:r w:rsidRPr="00965467">
        <w:br w:type="page"/>
      </w:r>
    </w:p>
    <w:tbl>
      <w:tblPr>
        <w:tblStyle w:val="PlainTable2"/>
        <w:tblW w:w="13173" w:type="dxa"/>
        <w:tblLook w:val="0620" w:firstRow="1" w:lastRow="0" w:firstColumn="0" w:lastColumn="0" w:noHBand="1" w:noVBand="1"/>
      </w:tblPr>
      <w:tblGrid>
        <w:gridCol w:w="993"/>
        <w:gridCol w:w="3374"/>
        <w:gridCol w:w="2097"/>
        <w:gridCol w:w="2467"/>
        <w:gridCol w:w="2126"/>
        <w:gridCol w:w="2116"/>
      </w:tblGrid>
      <w:tr w:rsidR="003F48EA" w:rsidRPr="00965467" w:rsidTr="00594131">
        <w:trPr>
          <w:cnfStyle w:val="100000000000" w:firstRow="1" w:lastRow="0" w:firstColumn="0" w:lastColumn="0" w:oddVBand="0" w:evenVBand="0" w:oddHBand="0" w:evenHBand="0" w:firstRowFirstColumn="0" w:firstRowLastColumn="0" w:lastRowFirstColumn="0" w:lastRowLastColumn="0"/>
          <w:trHeight w:val="1408"/>
        </w:trPr>
        <w:tc>
          <w:tcPr>
            <w:tcW w:w="993" w:type="dxa"/>
            <w:tcBorders>
              <w:top w:val="sing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lastRenderedPageBreak/>
              <w:t>Study</w:t>
            </w:r>
          </w:p>
        </w:tc>
        <w:tc>
          <w:tcPr>
            <w:tcW w:w="3374" w:type="dxa"/>
            <w:tcBorders>
              <w:top w:val="single" w:sz="4" w:space="0" w:color="auto"/>
            </w:tcBorders>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CONSTRAINTS/</w:t>
            </w:r>
          </w:p>
          <w:p w:rsidR="003F48EA" w:rsidRPr="00965467" w:rsidRDefault="003F48EA" w:rsidP="00594131">
            <w:pPr>
              <w:jc w:val="center"/>
              <w:textAlignment w:val="bottom"/>
              <w:rPr>
                <w:i/>
                <w:iCs/>
                <w:color w:val="000000" w:themeColor="text1"/>
                <w:kern w:val="24"/>
                <w:sz w:val="20"/>
                <w:szCs w:val="20"/>
              </w:rPr>
            </w:pPr>
            <w:r w:rsidRPr="00965467">
              <w:rPr>
                <w:i/>
                <w:iCs/>
                <w:color w:val="000000" w:themeColor="text1"/>
                <w:kern w:val="24"/>
                <w:sz w:val="20"/>
                <w:szCs w:val="20"/>
              </w:rPr>
              <w:t>Contingency</w:t>
            </w:r>
            <w:r w:rsidRPr="00965467">
              <w:rPr>
                <w:i/>
                <w:iCs/>
                <w:color w:val="000000" w:themeColor="text1"/>
                <w:kern w:val="24"/>
                <w:sz w:val="20"/>
                <w:szCs w:val="20"/>
              </w:rPr>
              <w:br/>
              <w:t>Organizational constraints</w:t>
            </w:r>
          </w:p>
        </w:tc>
        <w:tc>
          <w:tcPr>
            <w:tcW w:w="2097" w:type="dxa"/>
            <w:tcBorders>
              <w:top w:val="single" w:sz="4" w:space="0" w:color="auto"/>
            </w:tcBorders>
            <w:hideMark/>
          </w:tcPr>
          <w:p w:rsidR="003F48EA" w:rsidRPr="00965467" w:rsidRDefault="003F48EA" w:rsidP="00594131">
            <w:pPr>
              <w:jc w:val="center"/>
              <w:textAlignment w:val="bottom"/>
              <w:rPr>
                <w:i/>
                <w:iCs/>
                <w:sz w:val="20"/>
                <w:szCs w:val="20"/>
                <w:lang w:val="fr-FR"/>
              </w:rPr>
            </w:pPr>
            <w:r w:rsidRPr="00965467">
              <w:rPr>
                <w:i/>
                <w:iCs/>
                <w:color w:val="000000" w:themeColor="text1"/>
                <w:kern w:val="24"/>
                <w:sz w:val="20"/>
                <w:szCs w:val="20"/>
                <w:lang w:val="fr-FR"/>
              </w:rPr>
              <w:t>CONSTRAINTS</w:t>
            </w:r>
            <w:r w:rsidRPr="00965467">
              <w:rPr>
                <w:i/>
                <w:iCs/>
                <w:color w:val="000000" w:themeColor="text1"/>
                <w:kern w:val="24"/>
                <w:sz w:val="20"/>
                <w:szCs w:val="20"/>
                <w:lang w:val="fr-FR"/>
              </w:rPr>
              <w:br/>
              <w:t>Formal &amp; informal, socio-cultural &amp; institutional</w:t>
            </w:r>
          </w:p>
        </w:tc>
        <w:tc>
          <w:tcPr>
            <w:tcW w:w="2467" w:type="dxa"/>
            <w:tcBorders>
              <w:top w:val="sing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CAPABILITIES</w:t>
            </w:r>
            <w:r w:rsidRPr="00965467">
              <w:rPr>
                <w:i/>
                <w:iCs/>
                <w:color w:val="000000" w:themeColor="text1"/>
                <w:kern w:val="24"/>
                <w:sz w:val="20"/>
                <w:szCs w:val="20"/>
              </w:rPr>
              <w:br/>
              <w:t>&amp; enablers: e.g. co-creation, social networks.</w:t>
            </w:r>
          </w:p>
        </w:tc>
        <w:tc>
          <w:tcPr>
            <w:tcW w:w="2126" w:type="dxa"/>
            <w:tcBorders>
              <w:top w:val="sing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BENEFICIARIES</w:t>
            </w:r>
            <w:r w:rsidRPr="00965467">
              <w:rPr>
                <w:i/>
                <w:iCs/>
                <w:color w:val="000000" w:themeColor="text1"/>
                <w:kern w:val="24"/>
                <w:sz w:val="20"/>
                <w:szCs w:val="20"/>
              </w:rPr>
              <w:br/>
              <w:t>and/or customers</w:t>
            </w:r>
          </w:p>
        </w:tc>
        <w:tc>
          <w:tcPr>
            <w:tcW w:w="2116" w:type="dxa"/>
            <w:tcBorders>
              <w:top w:val="single" w:sz="4" w:space="0" w:color="auto"/>
            </w:tcBorders>
            <w:hideMark/>
          </w:tcPr>
          <w:p w:rsidR="003F48EA" w:rsidRPr="00965467" w:rsidRDefault="003F48EA" w:rsidP="00594131">
            <w:pPr>
              <w:jc w:val="center"/>
              <w:textAlignment w:val="bottom"/>
              <w:rPr>
                <w:i/>
                <w:iCs/>
                <w:sz w:val="20"/>
                <w:szCs w:val="20"/>
              </w:rPr>
            </w:pPr>
            <w:r w:rsidRPr="00965467">
              <w:rPr>
                <w:i/>
                <w:iCs/>
                <w:color w:val="000000" w:themeColor="text1"/>
                <w:kern w:val="24"/>
                <w:sz w:val="20"/>
                <w:szCs w:val="20"/>
              </w:rPr>
              <w:t>IMPACT +/-</w:t>
            </w:r>
            <w:r w:rsidRPr="00965467">
              <w:rPr>
                <w:i/>
                <w:iCs/>
                <w:color w:val="000000" w:themeColor="text1"/>
                <w:kern w:val="24"/>
                <w:sz w:val="20"/>
                <w:szCs w:val="20"/>
              </w:rPr>
              <w:br/>
              <w:t>(Economic or Social )</w:t>
            </w:r>
          </w:p>
        </w:tc>
      </w:tr>
      <w:tr w:rsidR="003F48EA" w:rsidRPr="00965467" w:rsidTr="00594131">
        <w:trPr>
          <w:trHeight w:val="4058"/>
        </w:trPr>
        <w:tc>
          <w:tcPr>
            <w:tcW w:w="993" w:type="dxa"/>
            <w:tcBorders>
              <w:top w:val="single" w:sz="4" w:space="0" w:color="7F7F7F" w:themeColor="text1" w:themeTint="80"/>
              <w:bottom w:val="double" w:sz="4" w:space="0" w:color="auto"/>
            </w:tcBorders>
            <w:hideMark/>
          </w:tcPr>
          <w:p w:rsidR="003F48EA" w:rsidRPr="00965467" w:rsidRDefault="003F48EA" w:rsidP="00594131">
            <w:pPr>
              <w:jc w:val="center"/>
              <w:textAlignment w:val="bottom"/>
              <w:rPr>
                <w:sz w:val="20"/>
                <w:szCs w:val="20"/>
              </w:rPr>
            </w:pPr>
            <w:r w:rsidRPr="00965467">
              <w:rPr>
                <w:color w:val="000000" w:themeColor="text1"/>
                <w:kern w:val="24"/>
                <w:sz w:val="20"/>
                <w:szCs w:val="20"/>
              </w:rPr>
              <w:t>Duke (2016)</w:t>
            </w:r>
          </w:p>
        </w:tc>
        <w:tc>
          <w:tcPr>
            <w:tcW w:w="3374" w:type="dxa"/>
            <w:tcBorders>
              <w:top w:val="single" w:sz="4" w:space="0" w:color="7F7F7F" w:themeColor="text1" w:themeTint="80"/>
              <w:bottom w:val="double" w:sz="4" w:space="0" w:color="auto"/>
            </w:tcBorders>
          </w:tcPr>
          <w:p w:rsidR="003F48EA" w:rsidRPr="00965467" w:rsidRDefault="003F48EA" w:rsidP="00594131">
            <w:pPr>
              <w:jc w:val="center"/>
              <w:textAlignment w:val="bottom"/>
              <w:rPr>
                <w:color w:val="000000" w:themeColor="text1"/>
                <w:kern w:val="24"/>
                <w:sz w:val="20"/>
                <w:szCs w:val="20"/>
              </w:rPr>
            </w:pPr>
            <w:r w:rsidRPr="00965467">
              <w:rPr>
                <w:color w:val="000000" w:themeColor="text1"/>
                <w:kern w:val="24"/>
                <w:sz w:val="20"/>
                <w:szCs w:val="20"/>
              </w:rPr>
              <w:t xml:space="preserve">1) Unclear organizational boundaries during the nonlinear and iterative business development process of becoming native and locally embedded - Result: reduced ability to make decisions in clear and logical order. </w:t>
            </w:r>
          </w:p>
          <w:p w:rsidR="003F48EA" w:rsidRPr="00965467" w:rsidRDefault="003F48EA" w:rsidP="00594131">
            <w:pPr>
              <w:jc w:val="center"/>
              <w:textAlignment w:val="bottom"/>
              <w:rPr>
                <w:color w:val="000000" w:themeColor="text1"/>
                <w:kern w:val="24"/>
                <w:sz w:val="20"/>
                <w:szCs w:val="20"/>
              </w:rPr>
            </w:pPr>
            <w:r w:rsidRPr="00965467">
              <w:rPr>
                <w:color w:val="000000" w:themeColor="text1"/>
                <w:kern w:val="24"/>
                <w:sz w:val="20"/>
                <w:szCs w:val="20"/>
              </w:rPr>
              <w:t xml:space="preserve">2) Conflicting goals shifting from the initial orientation to accommodate local needs and constraints. </w:t>
            </w:r>
          </w:p>
          <w:p w:rsidR="003F48EA" w:rsidRPr="00965467" w:rsidRDefault="003F48EA" w:rsidP="00594131">
            <w:pPr>
              <w:jc w:val="center"/>
              <w:textAlignment w:val="bottom"/>
              <w:rPr>
                <w:rFonts w:eastAsiaTheme="minorEastAsia"/>
                <w:color w:val="000000" w:themeColor="text1"/>
                <w:kern w:val="24"/>
                <w:sz w:val="20"/>
                <w:szCs w:val="20"/>
              </w:rPr>
            </w:pPr>
            <w:r w:rsidRPr="00965467">
              <w:rPr>
                <w:color w:val="000000" w:themeColor="text1"/>
                <w:kern w:val="24"/>
                <w:sz w:val="20"/>
                <w:szCs w:val="20"/>
              </w:rPr>
              <w:t>3) Expectations coming from parents (or funding) parent companies - e.g. align mission and endowments, fit existing cultures and strategic postures.</w:t>
            </w:r>
          </w:p>
        </w:tc>
        <w:tc>
          <w:tcPr>
            <w:tcW w:w="2097" w:type="dxa"/>
            <w:tcBorders>
              <w:top w:val="single" w:sz="4" w:space="0" w:color="7F7F7F" w:themeColor="text1" w:themeTint="80"/>
              <w:bottom w:val="double" w:sz="4" w:space="0" w:color="auto"/>
            </w:tcBorders>
            <w:hideMark/>
          </w:tcPr>
          <w:p w:rsidR="003F48EA" w:rsidRPr="00965467" w:rsidRDefault="003F48EA" w:rsidP="00594131">
            <w:pPr>
              <w:jc w:val="center"/>
              <w:textAlignment w:val="bottom"/>
              <w:rPr>
                <w:sz w:val="20"/>
                <w:szCs w:val="20"/>
              </w:rPr>
            </w:pPr>
            <w:r w:rsidRPr="00965467">
              <w:rPr>
                <w:rFonts w:eastAsiaTheme="minorEastAsia"/>
                <w:color w:val="000000" w:themeColor="text1"/>
                <w:kern w:val="24"/>
                <w:sz w:val="20"/>
                <w:szCs w:val="20"/>
              </w:rPr>
              <w:t>Local cultural structures, willingness-to-pay of Base of Pyramid consumers, lack of local awareness.</w:t>
            </w:r>
          </w:p>
        </w:tc>
        <w:tc>
          <w:tcPr>
            <w:tcW w:w="2467" w:type="dxa"/>
            <w:tcBorders>
              <w:top w:val="single" w:sz="4" w:space="0" w:color="7F7F7F" w:themeColor="text1" w:themeTint="80"/>
              <w:bottom w:val="double" w:sz="4" w:space="0" w:color="auto"/>
            </w:tcBorders>
            <w:hideMark/>
          </w:tcPr>
          <w:p w:rsidR="003F48EA" w:rsidRPr="00965467" w:rsidRDefault="003F48EA" w:rsidP="00594131">
            <w:pPr>
              <w:jc w:val="center"/>
              <w:textAlignment w:val="bottom"/>
              <w:rPr>
                <w:rFonts w:eastAsiaTheme="minorEastAsia"/>
                <w:color w:val="000000" w:themeColor="text1"/>
                <w:kern w:val="24"/>
                <w:sz w:val="20"/>
                <w:szCs w:val="20"/>
              </w:rPr>
            </w:pPr>
            <w:r w:rsidRPr="00965467">
              <w:rPr>
                <w:rFonts w:eastAsiaTheme="minorEastAsia"/>
                <w:color w:val="000000" w:themeColor="text1"/>
                <w:kern w:val="24"/>
                <w:sz w:val="20"/>
                <w:szCs w:val="20"/>
              </w:rPr>
              <w:t xml:space="preserve">1) Co-creation - team's immersion and deep interaction with local communities - enables mechanisms to 'break the trust barrier' </w:t>
            </w:r>
          </w:p>
          <w:p w:rsidR="003F48EA" w:rsidRPr="00965467" w:rsidRDefault="003F48EA" w:rsidP="00594131">
            <w:pPr>
              <w:jc w:val="center"/>
              <w:textAlignment w:val="bottom"/>
              <w:rPr>
                <w:rFonts w:eastAsiaTheme="minorEastAsia"/>
                <w:color w:val="000000" w:themeColor="text1"/>
                <w:kern w:val="24"/>
                <w:sz w:val="20"/>
                <w:szCs w:val="20"/>
              </w:rPr>
            </w:pPr>
            <w:r w:rsidRPr="00965467">
              <w:rPr>
                <w:rFonts w:eastAsiaTheme="minorEastAsia"/>
                <w:color w:val="000000" w:themeColor="text1"/>
                <w:kern w:val="24"/>
                <w:sz w:val="20"/>
                <w:szCs w:val="20"/>
              </w:rPr>
              <w:t xml:space="preserve">2) Bricolage and entrepreneurial opportunity discovery and creation processes - but not ascribed to individuals but rather teams. </w:t>
            </w:r>
          </w:p>
          <w:p w:rsidR="003F48EA" w:rsidRPr="00965467" w:rsidRDefault="003F48EA" w:rsidP="00594131">
            <w:pPr>
              <w:jc w:val="center"/>
              <w:textAlignment w:val="bottom"/>
              <w:rPr>
                <w:sz w:val="20"/>
                <w:szCs w:val="20"/>
              </w:rPr>
            </w:pPr>
            <w:r w:rsidRPr="00965467">
              <w:rPr>
                <w:rFonts w:eastAsiaTheme="minorEastAsia"/>
                <w:color w:val="000000" w:themeColor="text1"/>
                <w:kern w:val="24"/>
                <w:sz w:val="20"/>
                <w:szCs w:val="20"/>
              </w:rPr>
              <w:t>3) Outcomes shaped by interactions of multiple actors.</w:t>
            </w:r>
          </w:p>
        </w:tc>
        <w:tc>
          <w:tcPr>
            <w:tcW w:w="2126" w:type="dxa"/>
            <w:tcBorders>
              <w:top w:val="single" w:sz="4" w:space="0" w:color="7F7F7F" w:themeColor="text1" w:themeTint="80"/>
              <w:bottom w:val="double" w:sz="4" w:space="0" w:color="auto"/>
            </w:tcBorders>
            <w:hideMark/>
          </w:tcPr>
          <w:p w:rsidR="003F48EA" w:rsidRPr="00965467" w:rsidRDefault="003F48EA" w:rsidP="00594131">
            <w:pPr>
              <w:jc w:val="center"/>
              <w:textAlignment w:val="bottom"/>
              <w:rPr>
                <w:color w:val="000000" w:themeColor="text1"/>
                <w:kern w:val="24"/>
                <w:sz w:val="20"/>
                <w:szCs w:val="20"/>
              </w:rPr>
            </w:pPr>
            <w:r w:rsidRPr="00965467">
              <w:rPr>
                <w:color w:val="000000" w:themeColor="text1"/>
                <w:kern w:val="24"/>
                <w:sz w:val="20"/>
                <w:szCs w:val="20"/>
              </w:rPr>
              <w:t>Urban slum dwellers</w:t>
            </w:r>
          </w:p>
          <w:p w:rsidR="003F48EA" w:rsidRPr="00965467" w:rsidRDefault="003F48EA" w:rsidP="00594131">
            <w:pPr>
              <w:jc w:val="center"/>
              <w:textAlignment w:val="bottom"/>
              <w:rPr>
                <w:color w:val="000000" w:themeColor="text1"/>
                <w:kern w:val="24"/>
                <w:sz w:val="20"/>
                <w:szCs w:val="20"/>
              </w:rPr>
            </w:pPr>
          </w:p>
          <w:p w:rsidR="003F48EA" w:rsidRPr="00965467" w:rsidRDefault="003F48EA" w:rsidP="00594131">
            <w:pPr>
              <w:jc w:val="center"/>
              <w:textAlignment w:val="bottom"/>
              <w:rPr>
                <w:sz w:val="20"/>
                <w:szCs w:val="20"/>
              </w:rPr>
            </w:pPr>
            <w:r w:rsidRPr="00965467">
              <w:rPr>
                <w:color w:val="000000" w:themeColor="text1"/>
                <w:kern w:val="24"/>
                <w:sz w:val="20"/>
                <w:szCs w:val="20"/>
              </w:rPr>
              <w:t xml:space="preserve">Poor people in general </w:t>
            </w:r>
          </w:p>
        </w:tc>
        <w:tc>
          <w:tcPr>
            <w:tcW w:w="2116" w:type="dxa"/>
            <w:tcBorders>
              <w:top w:val="single" w:sz="4" w:space="0" w:color="7F7F7F" w:themeColor="text1" w:themeTint="80"/>
              <w:bottom w:val="double" w:sz="4" w:space="0" w:color="auto"/>
            </w:tcBorders>
            <w:hideMark/>
          </w:tcPr>
          <w:p w:rsidR="003F48EA" w:rsidRPr="00965467" w:rsidRDefault="003F48EA" w:rsidP="00594131">
            <w:pPr>
              <w:jc w:val="center"/>
              <w:textAlignment w:val="bottom"/>
              <w:rPr>
                <w:sz w:val="20"/>
                <w:szCs w:val="20"/>
              </w:rPr>
            </w:pPr>
            <w:r w:rsidRPr="00965467">
              <w:rPr>
                <w:color w:val="000000" w:themeColor="text1"/>
                <w:kern w:val="24"/>
                <w:sz w:val="20"/>
                <w:szCs w:val="20"/>
              </w:rPr>
              <w:t>Started with steady income generation for sustainable farming, currently with selling sanitation products for hygienic restrooms and income for micro-entrepreneurs. Issue: social benefits are easier to observe, at individual and community level, are more immediate in time, and accrue to individuals - easier to sell to BoP consumers.</w:t>
            </w:r>
          </w:p>
        </w:tc>
      </w:tr>
    </w:tbl>
    <w:p w:rsidR="003F48EA" w:rsidRPr="00965467" w:rsidRDefault="003F48EA" w:rsidP="003F48EA"/>
    <w:p w:rsidR="003F48EA" w:rsidRPr="00965467" w:rsidRDefault="003F48EA" w:rsidP="003F48EA">
      <w:pPr>
        <w:ind w:firstLine="720"/>
      </w:pPr>
    </w:p>
    <w:p w:rsidR="003F48EA" w:rsidRPr="00965467" w:rsidRDefault="003F48EA" w:rsidP="003F48EA"/>
    <w:p w:rsidR="003F48EA" w:rsidRPr="00965467" w:rsidRDefault="003F48EA" w:rsidP="003F48EA"/>
    <w:p w:rsidR="003F48EA" w:rsidRPr="00965467" w:rsidRDefault="003F48EA" w:rsidP="003F48EA"/>
    <w:p w:rsidR="003F48EA" w:rsidRPr="00965467" w:rsidRDefault="003F48EA" w:rsidP="003F48EA"/>
    <w:p w:rsidR="003F48EA" w:rsidRPr="00965467" w:rsidRDefault="003F48EA" w:rsidP="003F48EA">
      <w:r w:rsidRPr="00965467">
        <w:t>Figure A4: Trends in the publications of articles in our sample</w:t>
      </w:r>
    </w:p>
    <w:p w:rsidR="003F48EA" w:rsidRPr="00965467" w:rsidRDefault="003F48EA" w:rsidP="003F48EA">
      <w:pPr>
        <w:keepNext/>
      </w:pPr>
      <w:r w:rsidRPr="00965467">
        <w:rPr>
          <w:noProof/>
          <w:color w:val="002060"/>
          <w:lang w:eastAsia="en-IN"/>
        </w:rPr>
        <w:lastRenderedPageBreak/>
        <w:drawing>
          <wp:inline distT="0" distB="0" distL="0" distR="0" wp14:anchorId="2EAAE35F" wp14:editId="6CE16E1A">
            <wp:extent cx="5562600" cy="3067050"/>
            <wp:effectExtent l="0" t="0" r="12700" b="6350"/>
            <wp:docPr id="450" name="Chart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F48EA" w:rsidRPr="00965467" w:rsidRDefault="003F48EA" w:rsidP="003F48EA">
      <w:pPr>
        <w:spacing w:line="240" w:lineRule="auto"/>
        <w:rPr>
          <w:sz w:val="20"/>
          <w:szCs w:val="20"/>
        </w:rPr>
      </w:pPr>
      <w:r w:rsidRPr="00FB4DD3">
        <w:rPr>
          <w:i/>
          <w:sz w:val="20"/>
          <w:szCs w:val="20"/>
        </w:rPr>
        <w:t>Note:</w:t>
      </w:r>
      <w:r w:rsidRPr="00965467">
        <w:rPr>
          <w:sz w:val="20"/>
          <w:szCs w:val="20"/>
        </w:rPr>
        <w:t xml:space="preserve"> This figure reveals that number of published articles has been increasing. Our sample hence has a strong focus on recent articles – a majority of which were published after 2012. In terms of journals, practitioner-oriented outlets (e.g. Harvard Business Review) remain dominant (with more than 20 articles in our sample), while top academic outlets in management have published more than 13 articles (AMJ, JIBS, SMJ, SEJ, JBV). Other academic outlets with significant number of articles in our sample include Journal of Business Research (8), Journal of Cleaner Production (6), Journal of Business Ethics (5), Organization &amp; Environment (4), Business &amp; Society (3) and Business Strategy and the Environment (3).</w:t>
      </w:r>
    </w:p>
    <w:p w:rsidR="003F48EA" w:rsidRPr="00965467" w:rsidRDefault="003F48EA" w:rsidP="003F48EA"/>
    <w:p w:rsidR="003F48EA" w:rsidRPr="00965467" w:rsidRDefault="003F48EA" w:rsidP="003F48EA">
      <w:r w:rsidRPr="00965467">
        <w:br w:type="page"/>
      </w:r>
    </w:p>
    <w:p w:rsidR="003F48EA" w:rsidRPr="00965467" w:rsidRDefault="003F48EA" w:rsidP="003F48EA">
      <w:r w:rsidRPr="00965467">
        <w:t>Figure A5: Overview of methodological approaches employed (110 articles)</w:t>
      </w:r>
    </w:p>
    <w:p w:rsidR="003F48EA" w:rsidRPr="00965467" w:rsidRDefault="003F48EA" w:rsidP="003F48EA">
      <w:pPr>
        <w:keepNext/>
      </w:pPr>
      <w:r w:rsidRPr="00965467">
        <w:rPr>
          <w:noProof/>
          <w:lang w:eastAsia="en-IN"/>
        </w:rPr>
        <w:drawing>
          <wp:inline distT="0" distB="0" distL="0" distR="0" wp14:anchorId="1F49DD4C" wp14:editId="6FBB7E34">
            <wp:extent cx="6429375" cy="2676525"/>
            <wp:effectExtent l="0" t="0" r="0" b="0"/>
            <wp:docPr id="452" name="Chart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48EA" w:rsidRPr="00965467" w:rsidRDefault="003F48EA" w:rsidP="003F48EA">
      <w:pPr>
        <w:pStyle w:val="Caption"/>
        <w:rPr>
          <w:rFonts w:ascii="Times New Roman" w:hAnsi="Times New Roman" w:cs="Times New Roman"/>
          <w:i w:val="0"/>
          <w:iCs w:val="0"/>
          <w:color w:val="auto"/>
          <w:sz w:val="20"/>
          <w:szCs w:val="20"/>
        </w:rPr>
      </w:pPr>
      <w:r w:rsidRPr="00FB4DD3">
        <w:rPr>
          <w:rFonts w:ascii="Times New Roman" w:hAnsi="Times New Roman" w:cs="Times New Roman"/>
          <w:iCs w:val="0"/>
          <w:color w:val="auto"/>
          <w:sz w:val="20"/>
          <w:szCs w:val="20"/>
        </w:rPr>
        <w:t>Note:</w:t>
      </w:r>
      <w:r w:rsidRPr="00965467">
        <w:rPr>
          <w:rFonts w:ascii="Times New Roman" w:hAnsi="Times New Roman" w:cs="Times New Roman"/>
          <w:i w:val="0"/>
          <w:iCs w:val="0"/>
          <w:color w:val="auto"/>
          <w:sz w:val="20"/>
          <w:szCs w:val="20"/>
        </w:rPr>
        <w:t xml:space="preserve"> This figure</w:t>
      </w:r>
      <w:r w:rsidRPr="00965467">
        <w:rPr>
          <w:rFonts w:ascii="Times New Roman" w:hAnsi="Times New Roman" w:cs="Times New Roman"/>
          <w:b/>
          <w:i w:val="0"/>
          <w:iCs w:val="0"/>
          <w:color w:val="auto"/>
          <w:sz w:val="20"/>
          <w:szCs w:val="20"/>
        </w:rPr>
        <w:t xml:space="preserve"> </w:t>
      </w:r>
      <w:r w:rsidRPr="00965467">
        <w:rPr>
          <w:rFonts w:ascii="Times New Roman" w:hAnsi="Times New Roman" w:cs="Times New Roman"/>
          <w:i w:val="0"/>
          <w:iCs w:val="0"/>
          <w:color w:val="auto"/>
          <w:sz w:val="20"/>
          <w:szCs w:val="20"/>
        </w:rPr>
        <w:t>shows the use of different qualitative and qualitative research approaches in the literature. The results show that the multiple case study design is the most frequently used method. A very small number of empirical studies use large sample analysis for hypotheses testing.</w:t>
      </w:r>
    </w:p>
    <w:p w:rsidR="003F48EA" w:rsidRPr="00965467" w:rsidRDefault="003F48EA" w:rsidP="003F48EA">
      <w:r w:rsidRPr="00965467">
        <w:t xml:space="preserve"> </w:t>
      </w:r>
      <w:r w:rsidRPr="00965467">
        <w:br w:type="page"/>
      </w:r>
    </w:p>
    <w:p w:rsidR="003F48EA" w:rsidRPr="00965467" w:rsidRDefault="003F48EA" w:rsidP="003F48EA">
      <w:r w:rsidRPr="00965467">
        <w:t>Figure A6: Overview of successes and failures of the BoP initiatives investigated (110 articles)</w:t>
      </w:r>
    </w:p>
    <w:p w:rsidR="003F48EA" w:rsidRPr="00965467" w:rsidRDefault="003F48EA" w:rsidP="003F48EA">
      <w:pPr>
        <w:keepNext/>
      </w:pPr>
      <w:r w:rsidRPr="00965467">
        <w:rPr>
          <w:noProof/>
          <w:lang w:eastAsia="en-IN"/>
        </w:rPr>
        <w:drawing>
          <wp:inline distT="0" distB="0" distL="0" distR="0" wp14:anchorId="06E589AE" wp14:editId="2EDF8432">
            <wp:extent cx="5086350" cy="2573655"/>
            <wp:effectExtent l="0" t="0" r="6350" b="17145"/>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F48EA" w:rsidRPr="00965467" w:rsidRDefault="003F48EA" w:rsidP="003F48EA">
      <w:pPr>
        <w:pStyle w:val="Caption"/>
        <w:rPr>
          <w:rFonts w:ascii="Times New Roman" w:hAnsi="Times New Roman" w:cs="Times New Roman"/>
          <w:i w:val="0"/>
          <w:iCs w:val="0"/>
          <w:color w:val="auto"/>
          <w:sz w:val="20"/>
          <w:szCs w:val="20"/>
        </w:rPr>
      </w:pPr>
      <w:r w:rsidRPr="00FB4DD3">
        <w:rPr>
          <w:rFonts w:ascii="Times New Roman" w:hAnsi="Times New Roman" w:cs="Times New Roman"/>
          <w:iCs w:val="0"/>
          <w:color w:val="auto"/>
          <w:sz w:val="20"/>
          <w:szCs w:val="20"/>
        </w:rPr>
        <w:t>Note:</w:t>
      </w:r>
      <w:r w:rsidRPr="00965467">
        <w:rPr>
          <w:rFonts w:ascii="Times New Roman" w:hAnsi="Times New Roman" w:cs="Times New Roman"/>
          <w:i w:val="0"/>
          <w:iCs w:val="0"/>
          <w:color w:val="auto"/>
          <w:sz w:val="20"/>
          <w:szCs w:val="20"/>
        </w:rPr>
        <w:t xml:space="preserve"> The literature heavily draws on successful cases (65%), which is in line with the critique by previous research (Karnani, 2007). Recent years have seen a shift of attention towards cases of failure and mixed success. In these studies, success is often defined in terms of scale, financial performance, and the number of customers/beneficiaries reached, while failure is defined in terms of exiting the market or becoming an NGO (Tasavori et al., 2014; Kistruck et al., 2013).</w:t>
      </w:r>
    </w:p>
    <w:p w:rsidR="003F48EA" w:rsidRPr="00965467" w:rsidRDefault="003F48EA" w:rsidP="003F48EA"/>
    <w:p w:rsidR="003F48EA" w:rsidRPr="00965467" w:rsidRDefault="003F48EA" w:rsidP="003F48EA"/>
    <w:p w:rsidR="003F48EA" w:rsidRPr="00965467" w:rsidRDefault="003F48EA" w:rsidP="003F48EA"/>
    <w:p w:rsidR="003F48EA" w:rsidRPr="00965467" w:rsidRDefault="003F48EA" w:rsidP="003F48EA"/>
    <w:p w:rsidR="003F48EA" w:rsidRPr="00965467" w:rsidRDefault="003F48EA" w:rsidP="003F48EA">
      <w:r w:rsidRPr="00965467">
        <w:br w:type="page"/>
      </w:r>
    </w:p>
    <w:p w:rsidR="003F48EA" w:rsidRPr="00965467" w:rsidRDefault="003F48EA" w:rsidP="003F48EA">
      <w:r w:rsidRPr="00965467">
        <w:t>Figure A7: Theoretical perspectives employed in studied articles (total of 110 articles)</w:t>
      </w:r>
    </w:p>
    <w:p w:rsidR="003F48EA" w:rsidRPr="00965467" w:rsidRDefault="003F48EA" w:rsidP="003F48EA">
      <w:pPr>
        <w:keepNext/>
        <w:pBdr>
          <w:top w:val="nil"/>
          <w:left w:val="nil"/>
          <w:bottom w:val="nil"/>
          <w:right w:val="nil"/>
          <w:between w:val="nil"/>
        </w:pBdr>
        <w:spacing w:after="200"/>
      </w:pPr>
      <w:r w:rsidRPr="00965467">
        <w:rPr>
          <w:i/>
          <w:noProof/>
          <w:color w:val="44546A"/>
          <w:lang w:eastAsia="en-IN"/>
        </w:rPr>
        <w:drawing>
          <wp:inline distT="0" distB="0" distL="0" distR="0" wp14:anchorId="4FDF3D8B" wp14:editId="4248CCFF">
            <wp:extent cx="5943600" cy="2821190"/>
            <wp:effectExtent l="0" t="0" r="12700" b="11430"/>
            <wp:docPr id="453" name="Chart 4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48EA" w:rsidRPr="00965467" w:rsidRDefault="003F48EA" w:rsidP="003F48EA">
      <w:pPr>
        <w:pStyle w:val="Caption"/>
        <w:rPr>
          <w:rFonts w:ascii="Times New Roman" w:hAnsi="Times New Roman" w:cs="Times New Roman"/>
          <w:i w:val="0"/>
          <w:color w:val="44546A"/>
        </w:rPr>
      </w:pPr>
    </w:p>
    <w:p w:rsidR="003F48EA" w:rsidRPr="00965467" w:rsidRDefault="003F48EA" w:rsidP="003F48EA">
      <w:r w:rsidRPr="00965467">
        <w:br w:type="page"/>
      </w:r>
    </w:p>
    <w:p w:rsidR="003F48EA" w:rsidRPr="00965467" w:rsidRDefault="003F48EA" w:rsidP="003F48EA">
      <w:pPr>
        <w:spacing w:line="240" w:lineRule="auto"/>
        <w:sectPr w:rsidR="003F48EA" w:rsidRPr="00965467" w:rsidSect="006B1577">
          <w:pgSz w:w="15840" w:h="12240" w:orient="landscape"/>
          <w:pgMar w:top="1440" w:right="1440" w:bottom="1440" w:left="1440" w:header="720" w:footer="720" w:gutter="0"/>
          <w:cols w:space="720"/>
          <w:docGrid w:linePitch="360"/>
        </w:sectPr>
      </w:pPr>
    </w:p>
    <w:p w:rsidR="003F48EA" w:rsidRPr="00965467" w:rsidRDefault="003F48EA" w:rsidP="003F48EA">
      <w:pPr>
        <w:spacing w:line="240" w:lineRule="auto"/>
      </w:pPr>
      <w:r w:rsidRPr="00965467">
        <w:t xml:space="preserve">Table A8: Frequencies of keywords from the abstracts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2356"/>
        <w:gridCol w:w="2005"/>
        <w:gridCol w:w="2409"/>
      </w:tblGrid>
      <w:tr w:rsidR="003F48EA" w:rsidRPr="00965467" w:rsidTr="00594131">
        <w:tc>
          <w:tcPr>
            <w:tcW w:w="0" w:type="auto"/>
            <w:tcBorders>
              <w:top w:val="double" w:sz="4" w:space="0" w:color="auto"/>
              <w:bottom w:val="single" w:sz="4" w:space="0" w:color="auto"/>
            </w:tcBorders>
            <w:vAlign w:val="center"/>
          </w:tcPr>
          <w:p w:rsidR="003F48EA" w:rsidRPr="00965467" w:rsidRDefault="003F48EA" w:rsidP="00594131">
            <w:pPr>
              <w:jc w:val="center"/>
              <w:rPr>
                <w:rFonts w:ascii="Times New Roman" w:hAnsi="Times New Roman" w:cs="Times New Roman"/>
                <w:b/>
                <w:sz w:val="20"/>
              </w:rPr>
            </w:pPr>
            <w:r w:rsidRPr="00965467">
              <w:rPr>
                <w:rFonts w:ascii="Times New Roman" w:hAnsi="Times New Roman" w:cs="Times New Roman"/>
                <w:b/>
                <w:sz w:val="20"/>
              </w:rPr>
              <w:t>Capabilities</w:t>
            </w:r>
          </w:p>
        </w:tc>
        <w:tc>
          <w:tcPr>
            <w:tcW w:w="0" w:type="auto"/>
            <w:tcBorders>
              <w:top w:val="double" w:sz="4" w:space="0" w:color="auto"/>
              <w:bottom w:val="single" w:sz="4" w:space="0" w:color="auto"/>
            </w:tcBorders>
            <w:vAlign w:val="center"/>
          </w:tcPr>
          <w:p w:rsidR="003F48EA" w:rsidRPr="00965467" w:rsidRDefault="003F48EA" w:rsidP="00594131">
            <w:pPr>
              <w:jc w:val="center"/>
              <w:rPr>
                <w:rFonts w:ascii="Times New Roman" w:hAnsi="Times New Roman" w:cs="Times New Roman"/>
                <w:b/>
                <w:sz w:val="20"/>
              </w:rPr>
            </w:pPr>
            <w:r w:rsidRPr="00965467">
              <w:rPr>
                <w:rFonts w:ascii="Times New Roman" w:hAnsi="Times New Roman" w:cs="Times New Roman"/>
                <w:b/>
                <w:sz w:val="20"/>
              </w:rPr>
              <w:t xml:space="preserve">Constraints and </w:t>
            </w:r>
            <w:r>
              <w:rPr>
                <w:rFonts w:ascii="Times New Roman" w:hAnsi="Times New Roman" w:cs="Times New Roman"/>
                <w:b/>
                <w:sz w:val="20"/>
              </w:rPr>
              <w:t>c</w:t>
            </w:r>
            <w:r w:rsidRPr="00965467">
              <w:rPr>
                <w:rFonts w:ascii="Times New Roman" w:hAnsi="Times New Roman" w:cs="Times New Roman"/>
                <w:b/>
                <w:sz w:val="20"/>
              </w:rPr>
              <w:t>ontingencies</w:t>
            </w:r>
          </w:p>
        </w:tc>
        <w:tc>
          <w:tcPr>
            <w:tcW w:w="2005" w:type="dxa"/>
            <w:tcBorders>
              <w:top w:val="double" w:sz="4" w:space="0" w:color="auto"/>
              <w:bottom w:val="single" w:sz="4" w:space="0" w:color="auto"/>
            </w:tcBorders>
            <w:vAlign w:val="center"/>
          </w:tcPr>
          <w:p w:rsidR="003F48EA" w:rsidRPr="00965467" w:rsidRDefault="003F48EA" w:rsidP="00594131">
            <w:pPr>
              <w:jc w:val="center"/>
              <w:rPr>
                <w:rFonts w:ascii="Times New Roman" w:hAnsi="Times New Roman" w:cs="Times New Roman"/>
                <w:b/>
                <w:sz w:val="20"/>
              </w:rPr>
            </w:pPr>
            <w:r w:rsidRPr="00965467">
              <w:rPr>
                <w:rFonts w:ascii="Times New Roman" w:hAnsi="Times New Roman" w:cs="Times New Roman"/>
                <w:b/>
                <w:sz w:val="20"/>
              </w:rPr>
              <w:t>Outcomes</w:t>
            </w:r>
          </w:p>
          <w:p w:rsidR="003F48EA" w:rsidRPr="00965467" w:rsidRDefault="003F48EA" w:rsidP="00594131">
            <w:pPr>
              <w:jc w:val="center"/>
              <w:rPr>
                <w:rFonts w:ascii="Times New Roman" w:hAnsi="Times New Roman" w:cs="Times New Roman"/>
                <w:b/>
                <w:sz w:val="20"/>
              </w:rPr>
            </w:pPr>
          </w:p>
        </w:tc>
        <w:tc>
          <w:tcPr>
            <w:tcW w:w="2409" w:type="dxa"/>
            <w:tcBorders>
              <w:top w:val="double" w:sz="4" w:space="0" w:color="auto"/>
              <w:bottom w:val="single" w:sz="4" w:space="0" w:color="auto"/>
            </w:tcBorders>
            <w:vAlign w:val="center"/>
          </w:tcPr>
          <w:p w:rsidR="003F48EA" w:rsidRPr="00965467" w:rsidRDefault="003F48EA" w:rsidP="00594131">
            <w:pPr>
              <w:jc w:val="center"/>
              <w:rPr>
                <w:rFonts w:ascii="Times New Roman" w:hAnsi="Times New Roman" w:cs="Times New Roman"/>
                <w:b/>
                <w:sz w:val="20"/>
              </w:rPr>
            </w:pPr>
            <w:r w:rsidRPr="00965467">
              <w:rPr>
                <w:rFonts w:ascii="Times New Roman" w:hAnsi="Times New Roman" w:cs="Times New Roman"/>
                <w:b/>
                <w:sz w:val="20"/>
              </w:rPr>
              <w:t>Stakeholders</w:t>
            </w:r>
          </w:p>
          <w:p w:rsidR="003F48EA" w:rsidRPr="00965467" w:rsidRDefault="003F48EA" w:rsidP="00594131">
            <w:pPr>
              <w:jc w:val="center"/>
              <w:rPr>
                <w:rFonts w:ascii="Times New Roman" w:hAnsi="Times New Roman" w:cs="Times New Roman"/>
                <w:b/>
                <w:sz w:val="20"/>
              </w:rPr>
            </w:pPr>
          </w:p>
        </w:tc>
      </w:tr>
      <w:tr w:rsidR="003F48EA" w:rsidRPr="00965467" w:rsidTr="00594131">
        <w:tc>
          <w:tcPr>
            <w:tcW w:w="0" w:type="auto"/>
            <w:tcBorders>
              <w:top w:val="single" w:sz="4" w:space="0" w:color="auto"/>
              <w:bottom w:val="double" w:sz="4" w:space="0" w:color="auto"/>
            </w:tcBorders>
          </w:tcPr>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innovation (75)</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learning, creation,</w:t>
            </w:r>
            <w:r>
              <w:rPr>
                <w:rFonts w:ascii="Times New Roman" w:hAnsi="Times New Roman" w:cs="Times New Roman"/>
                <w:sz w:val="20"/>
              </w:rPr>
              <w:t xml:space="preserve"> </w:t>
            </w:r>
            <w:r w:rsidRPr="00965467">
              <w:rPr>
                <w:rFonts w:ascii="Times New Roman" w:hAnsi="Times New Roman" w:cs="Times New Roman"/>
                <w:sz w:val="20"/>
              </w:rPr>
              <w:t>opportunity (38)</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capabilities (28)</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entrepreneurship (20)</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marketing (18)</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technology (12)</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partnership (11)</w:t>
            </w:r>
          </w:p>
          <w:p w:rsidR="003F48EA" w:rsidRPr="00965467" w:rsidRDefault="003F48EA" w:rsidP="00594131">
            <w:pPr>
              <w:jc w:val="center"/>
              <w:rPr>
                <w:rFonts w:ascii="Times New Roman" w:hAnsi="Times New Roman" w:cs="Times New Roman"/>
                <w:sz w:val="20"/>
              </w:rPr>
            </w:pPr>
          </w:p>
        </w:tc>
        <w:tc>
          <w:tcPr>
            <w:tcW w:w="0" w:type="auto"/>
            <w:tcBorders>
              <w:top w:val="single" w:sz="4" w:space="0" w:color="auto"/>
              <w:bottom w:val="double" w:sz="4" w:space="0" w:color="auto"/>
            </w:tcBorders>
          </w:tcPr>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poverty, subsistence (63)</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local, rural (40)</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institutional, context (40)</w:t>
            </w:r>
          </w:p>
          <w:p w:rsidR="003F48EA" w:rsidRDefault="003F48EA" w:rsidP="00594131">
            <w:pPr>
              <w:jc w:val="center"/>
              <w:rPr>
                <w:rFonts w:ascii="Times New Roman" w:hAnsi="Times New Roman" w:cs="Times New Roman"/>
                <w:sz w:val="20"/>
              </w:rPr>
            </w:pPr>
            <w:r w:rsidRPr="00965467">
              <w:rPr>
                <w:rFonts w:ascii="Times New Roman" w:hAnsi="Times New Roman" w:cs="Times New Roman"/>
                <w:sz w:val="20"/>
              </w:rPr>
              <w:t xml:space="preserve">challenges, </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constraints (32)</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access (10)</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scaling (10)</w:t>
            </w:r>
          </w:p>
        </w:tc>
        <w:tc>
          <w:tcPr>
            <w:tcW w:w="2005" w:type="dxa"/>
            <w:tcBorders>
              <w:top w:val="single" w:sz="4" w:space="0" w:color="auto"/>
              <w:bottom w:val="double" w:sz="4" w:space="0" w:color="auto"/>
            </w:tcBorders>
          </w:tcPr>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social, socially (110)</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sustainability, sustainable (49)</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inclusive (23)</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environmental (17)</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alleviation (13)</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impact (11)</w:t>
            </w:r>
          </w:p>
          <w:p w:rsidR="003F48EA" w:rsidRPr="00965467" w:rsidRDefault="003F48EA" w:rsidP="00594131">
            <w:pPr>
              <w:jc w:val="center"/>
              <w:rPr>
                <w:rFonts w:ascii="Times New Roman" w:hAnsi="Times New Roman" w:cs="Times New Roman"/>
                <w:sz w:val="20"/>
              </w:rPr>
            </w:pPr>
          </w:p>
          <w:p w:rsidR="003F48EA" w:rsidRPr="00965467" w:rsidRDefault="003F48EA" w:rsidP="00594131">
            <w:pPr>
              <w:jc w:val="center"/>
              <w:rPr>
                <w:rFonts w:ascii="Times New Roman" w:hAnsi="Times New Roman" w:cs="Times New Roman"/>
                <w:sz w:val="20"/>
              </w:rPr>
            </w:pPr>
          </w:p>
        </w:tc>
        <w:tc>
          <w:tcPr>
            <w:tcW w:w="2409" w:type="dxa"/>
            <w:tcBorders>
              <w:top w:val="single" w:sz="4" w:space="0" w:color="auto"/>
              <w:bottom w:val="double" w:sz="4" w:space="0" w:color="auto"/>
            </w:tcBorders>
          </w:tcPr>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companies, firms, enterprises (71)</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poor, low-income (30)</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mnc, multinationals (29)</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communities, people (28)</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consumers, customers (27)</w:t>
            </w:r>
          </w:p>
          <w:p w:rsidR="003F48EA" w:rsidRPr="00965467" w:rsidRDefault="003F48EA" w:rsidP="00594131">
            <w:pPr>
              <w:jc w:val="center"/>
              <w:rPr>
                <w:rFonts w:ascii="Times New Roman" w:hAnsi="Times New Roman" w:cs="Times New Roman"/>
                <w:sz w:val="20"/>
                <w:lang w:val="fr-FR"/>
              </w:rPr>
            </w:pPr>
            <w:r w:rsidRPr="00965467">
              <w:rPr>
                <w:rFonts w:ascii="Times New Roman" w:hAnsi="Times New Roman" w:cs="Times New Roman"/>
                <w:sz w:val="20"/>
                <w:lang w:val="fr-FR"/>
              </w:rPr>
              <w:t>entrepreneurs (17)</w:t>
            </w:r>
          </w:p>
          <w:p w:rsidR="003F48EA" w:rsidRPr="00965467" w:rsidRDefault="003F48EA" w:rsidP="00594131">
            <w:pPr>
              <w:jc w:val="center"/>
              <w:rPr>
                <w:rFonts w:ascii="Times New Roman" w:hAnsi="Times New Roman" w:cs="Times New Roman"/>
                <w:sz w:val="20"/>
              </w:rPr>
            </w:pPr>
            <w:r w:rsidRPr="00965467">
              <w:rPr>
                <w:rFonts w:ascii="Times New Roman" w:hAnsi="Times New Roman" w:cs="Times New Roman"/>
                <w:sz w:val="20"/>
              </w:rPr>
              <w:t>producers (12)</w:t>
            </w:r>
          </w:p>
          <w:p w:rsidR="003F48EA" w:rsidRPr="00965467" w:rsidRDefault="003F48EA" w:rsidP="00594131">
            <w:pPr>
              <w:jc w:val="center"/>
              <w:rPr>
                <w:rFonts w:ascii="Times New Roman" w:hAnsi="Times New Roman" w:cs="Times New Roman"/>
                <w:sz w:val="20"/>
              </w:rPr>
            </w:pPr>
          </w:p>
        </w:tc>
      </w:tr>
    </w:tbl>
    <w:p w:rsidR="003F48EA" w:rsidRPr="00965467" w:rsidRDefault="003F48EA" w:rsidP="003F48EA">
      <w:pPr>
        <w:spacing w:line="240" w:lineRule="auto"/>
        <w:rPr>
          <w:sz w:val="18"/>
          <w:szCs w:val="18"/>
        </w:rPr>
      </w:pPr>
      <w:r w:rsidRPr="00FB4DD3">
        <w:rPr>
          <w:i/>
          <w:sz w:val="18"/>
          <w:szCs w:val="18"/>
        </w:rPr>
        <w:t>Note:</w:t>
      </w:r>
      <w:r w:rsidRPr="00965467">
        <w:rPr>
          <w:sz w:val="18"/>
          <w:szCs w:val="18"/>
        </w:rPr>
        <w:t xml:space="preserve"> The maximum frequency in our list of keywords is 152 for “Base/Bottom of the Pyramid” (BoP). We have excluded all generic words and reported here all other keywords that occur with a minimum frequency of 10.</w:t>
      </w: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pPr>
        <w:spacing w:line="240" w:lineRule="auto"/>
      </w:pPr>
    </w:p>
    <w:p w:rsidR="003F48EA" w:rsidRPr="00965467" w:rsidRDefault="003F48EA" w:rsidP="003F48EA">
      <w:r w:rsidRPr="00965467">
        <w:br w:type="page"/>
      </w:r>
    </w:p>
    <w:p w:rsidR="003F48EA" w:rsidRPr="00965467" w:rsidRDefault="003F48EA" w:rsidP="003F48EA">
      <w:pPr>
        <w:spacing w:line="240" w:lineRule="auto"/>
      </w:pPr>
      <w:r w:rsidRPr="00965467">
        <w:t xml:space="preserve">Table A9: Examples of reviewed studies that addressed different elements of social value creation </w:t>
      </w:r>
    </w:p>
    <w:tbl>
      <w:tblPr>
        <w:tblStyle w:val="PlainTable2"/>
        <w:tblW w:w="9896" w:type="dxa"/>
        <w:tblLook w:val="04A0" w:firstRow="1" w:lastRow="0" w:firstColumn="1" w:lastColumn="0" w:noHBand="0" w:noVBand="1"/>
      </w:tblPr>
      <w:tblGrid>
        <w:gridCol w:w="3746"/>
        <w:gridCol w:w="6150"/>
      </w:tblGrid>
      <w:tr w:rsidR="003F48EA" w:rsidRPr="00965467" w:rsidTr="00594131">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3746" w:type="dxa"/>
          </w:tcPr>
          <w:p w:rsidR="003F48EA" w:rsidRPr="00965467" w:rsidRDefault="003F48EA" w:rsidP="00594131">
            <w:pPr>
              <w:spacing w:line="276" w:lineRule="auto"/>
              <w:rPr>
                <w:b w:val="0"/>
                <w:bCs w:val="0"/>
                <w:i/>
                <w:iCs/>
                <w:sz w:val="20"/>
                <w:szCs w:val="20"/>
              </w:rPr>
            </w:pPr>
            <w:r w:rsidRPr="00965467">
              <w:rPr>
                <w:i/>
                <w:iCs/>
                <w:sz w:val="20"/>
                <w:szCs w:val="20"/>
              </w:rPr>
              <w:t xml:space="preserve">Elements of social value creation </w:t>
            </w:r>
          </w:p>
        </w:tc>
        <w:tc>
          <w:tcPr>
            <w:tcW w:w="6150" w:type="dxa"/>
          </w:tcPr>
          <w:p w:rsidR="003F48EA" w:rsidRPr="00965467" w:rsidRDefault="003F48EA" w:rsidP="00594131">
            <w:pPr>
              <w:spacing w:line="276" w:lineRule="auto"/>
              <w:cnfStyle w:val="100000000000" w:firstRow="1" w:lastRow="0" w:firstColumn="0" w:lastColumn="0" w:oddVBand="0" w:evenVBand="0" w:oddHBand="0" w:evenHBand="0" w:firstRowFirstColumn="0" w:firstRowLastColumn="0" w:lastRowFirstColumn="0" w:lastRowLastColumn="0"/>
              <w:rPr>
                <w:b w:val="0"/>
                <w:bCs w:val="0"/>
                <w:i/>
                <w:iCs/>
                <w:sz w:val="20"/>
                <w:szCs w:val="20"/>
              </w:rPr>
            </w:pPr>
            <w:r w:rsidRPr="00965467">
              <w:rPr>
                <w:i/>
                <w:iCs/>
                <w:sz w:val="20"/>
                <w:szCs w:val="20"/>
              </w:rPr>
              <w:t>Examples of key studies reviewed</w:t>
            </w:r>
          </w:p>
        </w:tc>
      </w:tr>
      <w:tr w:rsidR="003F48EA" w:rsidRPr="00965467" w:rsidTr="0059413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3746" w:type="dxa"/>
          </w:tcPr>
          <w:p w:rsidR="003F48EA" w:rsidRPr="00965467" w:rsidRDefault="003F48EA" w:rsidP="00594131">
            <w:pPr>
              <w:spacing w:line="276" w:lineRule="auto"/>
              <w:rPr>
                <w:b w:val="0"/>
                <w:bCs w:val="0"/>
                <w:i/>
                <w:iCs/>
                <w:sz w:val="20"/>
                <w:szCs w:val="20"/>
              </w:rPr>
            </w:pPr>
            <w:r w:rsidRPr="00965467">
              <w:rPr>
                <w:i/>
                <w:iCs/>
                <w:sz w:val="20"/>
                <w:szCs w:val="20"/>
              </w:rPr>
              <w:t xml:space="preserve">Antecedents </w:t>
            </w:r>
          </w:p>
        </w:tc>
        <w:tc>
          <w:tcPr>
            <w:tcW w:w="6150" w:type="dxa"/>
          </w:tcPr>
          <w:p w:rsidR="003F48EA" w:rsidRPr="00965467"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b/>
                <w:bCs/>
                <w:i/>
                <w:iCs/>
                <w:sz w:val="20"/>
                <w:szCs w:val="20"/>
              </w:rPr>
            </w:pPr>
          </w:p>
        </w:tc>
      </w:tr>
      <w:tr w:rsidR="003F48EA" w:rsidRPr="00965467" w:rsidTr="00594131">
        <w:trPr>
          <w:trHeight w:val="175"/>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5"/>
              </w:numPr>
              <w:spacing w:line="276" w:lineRule="auto"/>
              <w:jc w:val="left"/>
              <w:rPr>
                <w:b w:val="0"/>
                <w:bCs w:val="0"/>
                <w:sz w:val="20"/>
                <w:szCs w:val="20"/>
              </w:rPr>
            </w:pPr>
            <w:r w:rsidRPr="00AB7B59">
              <w:rPr>
                <w:b w:val="0"/>
                <w:bCs w:val="0"/>
                <w:sz w:val="20"/>
                <w:szCs w:val="20"/>
              </w:rPr>
              <w:t xml:space="preserve">Outside-out motivations </w:t>
            </w:r>
          </w:p>
        </w:tc>
        <w:tc>
          <w:tcPr>
            <w:tcW w:w="6150" w:type="dxa"/>
          </w:tcPr>
          <w:p w:rsidR="003F48EA" w:rsidRPr="00965467"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965467">
              <w:rPr>
                <w:sz w:val="20"/>
                <w:szCs w:val="20"/>
              </w:rPr>
              <w:t xml:space="preserve">Matos and Silvestre (2013); Schrader </w:t>
            </w:r>
            <w:r w:rsidRPr="00965467">
              <w:rPr>
                <w:i/>
                <w:iCs/>
                <w:sz w:val="20"/>
                <w:szCs w:val="20"/>
              </w:rPr>
              <w:t>et al</w:t>
            </w:r>
            <w:r w:rsidRPr="00965467">
              <w:rPr>
                <w:sz w:val="20"/>
                <w:szCs w:val="20"/>
              </w:rPr>
              <w:t>. (2012); Olsen and Boxenbaum (2009); Perez-Aleman and Sandilands (2008), Seelos and Mair (2007).</w:t>
            </w:r>
          </w:p>
        </w:tc>
      </w:tr>
      <w:tr w:rsidR="003F48EA" w:rsidRPr="00965467" w:rsidTr="0059413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5"/>
              </w:numPr>
              <w:spacing w:line="276" w:lineRule="auto"/>
              <w:jc w:val="left"/>
              <w:rPr>
                <w:b w:val="0"/>
                <w:bCs w:val="0"/>
                <w:sz w:val="20"/>
                <w:szCs w:val="20"/>
              </w:rPr>
            </w:pPr>
            <w:r w:rsidRPr="00AB7B59">
              <w:rPr>
                <w:b w:val="0"/>
                <w:bCs w:val="0"/>
                <w:sz w:val="20"/>
                <w:szCs w:val="20"/>
              </w:rPr>
              <w:t xml:space="preserve">Inside-out motivations </w:t>
            </w:r>
          </w:p>
        </w:tc>
        <w:tc>
          <w:tcPr>
            <w:tcW w:w="6150" w:type="dxa"/>
          </w:tcPr>
          <w:p w:rsidR="003F48EA" w:rsidRPr="00965467"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965467">
              <w:rPr>
                <w:sz w:val="20"/>
                <w:szCs w:val="20"/>
                <w:lang w:val="de-DE"/>
              </w:rPr>
              <w:t xml:space="preserve">Tate and Bals (2018); George </w:t>
            </w:r>
            <w:r w:rsidRPr="00965467">
              <w:rPr>
                <w:i/>
                <w:iCs/>
                <w:sz w:val="20"/>
                <w:szCs w:val="20"/>
                <w:lang w:val="de-DE"/>
              </w:rPr>
              <w:t>et al</w:t>
            </w:r>
            <w:r w:rsidRPr="00965467">
              <w:rPr>
                <w:sz w:val="20"/>
                <w:szCs w:val="20"/>
                <w:lang w:val="de-DE"/>
              </w:rPr>
              <w:t xml:space="preserve">. </w:t>
            </w:r>
            <w:r w:rsidRPr="00965467">
              <w:rPr>
                <w:sz w:val="20"/>
                <w:szCs w:val="20"/>
                <w:lang w:val="fr-FR"/>
              </w:rPr>
              <w:t xml:space="preserve">(2015); Sinkovics </w:t>
            </w:r>
            <w:r w:rsidRPr="00965467">
              <w:rPr>
                <w:i/>
                <w:iCs/>
                <w:sz w:val="20"/>
                <w:szCs w:val="20"/>
                <w:lang w:val="fr-FR"/>
              </w:rPr>
              <w:t>et al</w:t>
            </w:r>
            <w:r w:rsidRPr="00965467">
              <w:rPr>
                <w:sz w:val="20"/>
                <w:szCs w:val="20"/>
                <w:lang w:val="fr-FR"/>
              </w:rPr>
              <w:t xml:space="preserve">. (2014); Yunus </w:t>
            </w:r>
            <w:r w:rsidRPr="00965467">
              <w:rPr>
                <w:i/>
                <w:iCs/>
                <w:sz w:val="20"/>
                <w:szCs w:val="20"/>
                <w:lang w:val="fr-FR"/>
              </w:rPr>
              <w:t>et al</w:t>
            </w:r>
            <w:r w:rsidRPr="00965467">
              <w:rPr>
                <w:sz w:val="20"/>
                <w:szCs w:val="20"/>
                <w:lang w:val="fr-FR"/>
              </w:rPr>
              <w:t xml:space="preserve">. </w:t>
            </w:r>
            <w:r w:rsidRPr="00965467">
              <w:rPr>
                <w:sz w:val="20"/>
                <w:szCs w:val="20"/>
              </w:rPr>
              <w:t>(2010); Seelos and Mair (2005).</w:t>
            </w:r>
          </w:p>
        </w:tc>
      </w:tr>
      <w:tr w:rsidR="003F48EA" w:rsidRPr="00AB7B59" w:rsidTr="00594131">
        <w:trPr>
          <w:trHeight w:val="175"/>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spacing w:line="276" w:lineRule="auto"/>
              <w:rPr>
                <w:i/>
                <w:iCs/>
                <w:sz w:val="20"/>
                <w:szCs w:val="20"/>
              </w:rPr>
            </w:pPr>
            <w:r w:rsidRPr="00AB7B59">
              <w:rPr>
                <w:i/>
                <w:iCs/>
                <w:sz w:val="20"/>
                <w:szCs w:val="20"/>
              </w:rPr>
              <w:t xml:space="preserve">Constraints </w:t>
            </w:r>
          </w:p>
        </w:tc>
        <w:tc>
          <w:tcPr>
            <w:tcW w:w="6150" w:type="dxa"/>
          </w:tcPr>
          <w:p w:rsidR="003F48EA" w:rsidRPr="00AB7B59"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b/>
                <w:bCs/>
                <w:i/>
                <w:iCs/>
                <w:sz w:val="20"/>
                <w:szCs w:val="20"/>
              </w:rPr>
            </w:pPr>
          </w:p>
        </w:tc>
      </w:tr>
      <w:tr w:rsidR="003F48EA" w:rsidRPr="00965467" w:rsidTr="00594131">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5"/>
              </w:numPr>
              <w:spacing w:line="276" w:lineRule="auto"/>
              <w:jc w:val="left"/>
              <w:rPr>
                <w:b w:val="0"/>
                <w:bCs w:val="0"/>
                <w:sz w:val="20"/>
                <w:szCs w:val="20"/>
              </w:rPr>
            </w:pPr>
            <w:r w:rsidRPr="00AB7B59">
              <w:rPr>
                <w:b w:val="0"/>
                <w:bCs w:val="0"/>
                <w:sz w:val="20"/>
                <w:szCs w:val="20"/>
              </w:rPr>
              <w:t xml:space="preserve">Market-related constraints </w:t>
            </w:r>
          </w:p>
        </w:tc>
        <w:tc>
          <w:tcPr>
            <w:tcW w:w="6150" w:type="dxa"/>
          </w:tcPr>
          <w:p w:rsidR="003F48EA" w:rsidRPr="00965467"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965467">
              <w:rPr>
                <w:sz w:val="20"/>
                <w:szCs w:val="20"/>
              </w:rPr>
              <w:t xml:space="preserve">Bendul </w:t>
            </w:r>
            <w:r w:rsidRPr="00965467">
              <w:rPr>
                <w:i/>
                <w:iCs/>
                <w:sz w:val="20"/>
                <w:szCs w:val="20"/>
              </w:rPr>
              <w:t>et al</w:t>
            </w:r>
            <w:r w:rsidRPr="00965467">
              <w:rPr>
                <w:sz w:val="20"/>
                <w:szCs w:val="20"/>
              </w:rPr>
              <w:t xml:space="preserve">. (2017); Beninger and Robso (2015); London </w:t>
            </w:r>
            <w:r w:rsidRPr="00965467">
              <w:rPr>
                <w:i/>
                <w:iCs/>
                <w:sz w:val="20"/>
                <w:szCs w:val="20"/>
              </w:rPr>
              <w:t>et al</w:t>
            </w:r>
            <w:r w:rsidRPr="00965467">
              <w:rPr>
                <w:sz w:val="20"/>
                <w:szCs w:val="20"/>
              </w:rPr>
              <w:t>. (2014); Vachani and Smith (2008).</w:t>
            </w:r>
          </w:p>
        </w:tc>
      </w:tr>
      <w:tr w:rsidR="003F48EA" w:rsidRPr="00785CDA" w:rsidTr="00594131">
        <w:trPr>
          <w:trHeight w:val="3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5"/>
              </w:numPr>
              <w:spacing w:line="276" w:lineRule="auto"/>
              <w:jc w:val="left"/>
              <w:rPr>
                <w:b w:val="0"/>
                <w:bCs w:val="0"/>
                <w:sz w:val="20"/>
                <w:szCs w:val="20"/>
              </w:rPr>
            </w:pPr>
            <w:r w:rsidRPr="00AB7B59">
              <w:rPr>
                <w:b w:val="0"/>
                <w:bCs w:val="0"/>
                <w:sz w:val="20"/>
                <w:szCs w:val="20"/>
              </w:rPr>
              <w:t xml:space="preserve">Regulatory constraints </w:t>
            </w:r>
          </w:p>
        </w:tc>
        <w:tc>
          <w:tcPr>
            <w:tcW w:w="6150" w:type="dxa"/>
          </w:tcPr>
          <w:p w:rsidR="003F48EA" w:rsidRPr="00965467"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sz w:val="20"/>
                <w:szCs w:val="20"/>
                <w:lang w:val="nl-NL"/>
              </w:rPr>
            </w:pPr>
            <w:r w:rsidRPr="00965467">
              <w:rPr>
                <w:sz w:val="20"/>
                <w:szCs w:val="20"/>
                <w:lang w:val="nl-NL"/>
              </w:rPr>
              <w:t xml:space="preserve">Kistruck </w:t>
            </w:r>
            <w:r w:rsidRPr="00965467">
              <w:rPr>
                <w:i/>
                <w:iCs/>
                <w:sz w:val="20"/>
                <w:szCs w:val="20"/>
                <w:lang w:val="nl-NL"/>
              </w:rPr>
              <w:t>et al</w:t>
            </w:r>
            <w:r w:rsidRPr="00965467">
              <w:rPr>
                <w:sz w:val="20"/>
                <w:szCs w:val="20"/>
                <w:lang w:val="nl-NL"/>
              </w:rPr>
              <w:t xml:space="preserve">. (2016); Mair </w:t>
            </w:r>
            <w:r w:rsidRPr="00965467">
              <w:rPr>
                <w:i/>
                <w:iCs/>
                <w:sz w:val="20"/>
                <w:szCs w:val="20"/>
                <w:lang w:val="nl-NL"/>
              </w:rPr>
              <w:t>et al</w:t>
            </w:r>
            <w:r w:rsidRPr="00965467">
              <w:rPr>
                <w:sz w:val="20"/>
                <w:szCs w:val="20"/>
                <w:lang w:val="nl-NL"/>
              </w:rPr>
              <w:t xml:space="preserve">. (2012); Reficco and </w:t>
            </w:r>
            <w:bookmarkStart w:id="3" w:name="_Hlk31976570"/>
            <w:r w:rsidRPr="00965467">
              <w:rPr>
                <w:sz w:val="20"/>
                <w:szCs w:val="20"/>
                <w:lang w:val="nl-NL"/>
              </w:rPr>
              <w:t xml:space="preserve">Márquez </w:t>
            </w:r>
            <w:bookmarkEnd w:id="3"/>
            <w:r w:rsidRPr="00965467">
              <w:rPr>
                <w:sz w:val="20"/>
                <w:szCs w:val="20"/>
                <w:lang w:val="nl-NL"/>
              </w:rPr>
              <w:t>(2012).</w:t>
            </w:r>
          </w:p>
        </w:tc>
      </w:tr>
      <w:tr w:rsidR="003F48EA" w:rsidRPr="00965467" w:rsidTr="00594131">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5"/>
              </w:numPr>
              <w:spacing w:line="276" w:lineRule="auto"/>
              <w:jc w:val="left"/>
              <w:rPr>
                <w:b w:val="0"/>
                <w:bCs w:val="0"/>
                <w:sz w:val="20"/>
                <w:szCs w:val="20"/>
              </w:rPr>
            </w:pPr>
            <w:r w:rsidRPr="00AB7B59">
              <w:rPr>
                <w:b w:val="0"/>
                <w:bCs w:val="0"/>
                <w:sz w:val="20"/>
                <w:szCs w:val="20"/>
              </w:rPr>
              <w:t xml:space="preserve">Socio-cultural constraints </w:t>
            </w:r>
          </w:p>
        </w:tc>
        <w:tc>
          <w:tcPr>
            <w:tcW w:w="6150" w:type="dxa"/>
          </w:tcPr>
          <w:p w:rsidR="003F48EA" w:rsidRPr="00965467"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965467">
              <w:rPr>
                <w:sz w:val="20"/>
                <w:szCs w:val="20"/>
                <w:lang w:val="fr-FR"/>
              </w:rPr>
              <w:t xml:space="preserve">Mair </w:t>
            </w:r>
            <w:r w:rsidRPr="00965467">
              <w:rPr>
                <w:i/>
                <w:iCs/>
                <w:sz w:val="20"/>
                <w:szCs w:val="20"/>
                <w:lang w:val="fr-FR"/>
              </w:rPr>
              <w:t>et al</w:t>
            </w:r>
            <w:r w:rsidRPr="00965467">
              <w:rPr>
                <w:sz w:val="20"/>
                <w:szCs w:val="20"/>
                <w:lang w:val="fr-FR"/>
              </w:rPr>
              <w:t xml:space="preserve">. (2012); </w:t>
            </w:r>
            <w:bookmarkStart w:id="4" w:name="_Hlk31976549"/>
            <w:r w:rsidRPr="00965467">
              <w:rPr>
                <w:sz w:val="20"/>
                <w:szCs w:val="20"/>
                <w:lang w:val="fr-FR"/>
              </w:rPr>
              <w:t>Rivera</w:t>
            </w:r>
            <w:bookmarkEnd w:id="4"/>
            <w:r w:rsidRPr="00965467">
              <w:rPr>
                <w:sz w:val="20"/>
                <w:szCs w:val="20"/>
                <w:lang w:val="fr-FR"/>
              </w:rPr>
              <w:t xml:space="preserve">-Santos and Rufín (2010); Kelly </w:t>
            </w:r>
            <w:r w:rsidRPr="00965467">
              <w:rPr>
                <w:i/>
                <w:iCs/>
                <w:sz w:val="20"/>
                <w:szCs w:val="20"/>
                <w:lang w:val="fr-FR"/>
              </w:rPr>
              <w:t>et al</w:t>
            </w:r>
            <w:r w:rsidRPr="00965467">
              <w:rPr>
                <w:sz w:val="20"/>
                <w:szCs w:val="20"/>
                <w:lang w:val="fr-FR"/>
              </w:rPr>
              <w:t xml:space="preserve">. </w:t>
            </w:r>
            <w:r w:rsidRPr="00965467">
              <w:rPr>
                <w:sz w:val="20"/>
                <w:szCs w:val="20"/>
              </w:rPr>
              <w:t>(2010).</w:t>
            </w:r>
          </w:p>
        </w:tc>
      </w:tr>
      <w:tr w:rsidR="003F48EA" w:rsidRPr="00AB7B59" w:rsidTr="00594131">
        <w:trPr>
          <w:trHeight w:val="175"/>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spacing w:line="276" w:lineRule="auto"/>
              <w:rPr>
                <w:i/>
                <w:iCs/>
                <w:sz w:val="20"/>
                <w:szCs w:val="20"/>
              </w:rPr>
            </w:pPr>
            <w:r w:rsidRPr="00AB7B59">
              <w:rPr>
                <w:i/>
                <w:iCs/>
                <w:sz w:val="20"/>
                <w:szCs w:val="20"/>
              </w:rPr>
              <w:t xml:space="preserve">Capabilities </w:t>
            </w:r>
          </w:p>
        </w:tc>
        <w:tc>
          <w:tcPr>
            <w:tcW w:w="6150" w:type="dxa"/>
          </w:tcPr>
          <w:p w:rsidR="003F48EA" w:rsidRPr="00AB7B59"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b/>
                <w:bCs/>
                <w:i/>
                <w:iCs/>
                <w:sz w:val="20"/>
                <w:szCs w:val="20"/>
              </w:rPr>
            </w:pPr>
          </w:p>
        </w:tc>
      </w:tr>
      <w:tr w:rsidR="003F48EA" w:rsidRPr="00965467" w:rsidTr="00594131">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Organizational ambidexterity </w:t>
            </w:r>
          </w:p>
        </w:tc>
        <w:tc>
          <w:tcPr>
            <w:tcW w:w="6150" w:type="dxa"/>
          </w:tcPr>
          <w:p w:rsidR="003F48EA" w:rsidRPr="00965467"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965467">
              <w:rPr>
                <w:sz w:val="20"/>
                <w:szCs w:val="20"/>
                <w:lang w:val="es-ES"/>
              </w:rPr>
              <w:t xml:space="preserve">Duke (2016); Reficco and Márquez (2012); Halme </w:t>
            </w:r>
            <w:r w:rsidRPr="00965467">
              <w:rPr>
                <w:i/>
                <w:iCs/>
                <w:sz w:val="20"/>
                <w:szCs w:val="20"/>
                <w:lang w:val="es-ES"/>
              </w:rPr>
              <w:t>et al</w:t>
            </w:r>
            <w:r w:rsidRPr="00965467">
              <w:rPr>
                <w:sz w:val="20"/>
                <w:szCs w:val="20"/>
                <w:lang w:val="es-ES"/>
              </w:rPr>
              <w:t xml:space="preserve">. </w:t>
            </w:r>
            <w:r w:rsidRPr="00965467">
              <w:rPr>
                <w:sz w:val="20"/>
                <w:szCs w:val="20"/>
              </w:rPr>
              <w:t xml:space="preserve">(2012); Tashman and Marano (2009). </w:t>
            </w:r>
          </w:p>
        </w:tc>
      </w:tr>
      <w:tr w:rsidR="003F48EA" w:rsidRPr="00965467" w:rsidTr="00594131">
        <w:trPr>
          <w:trHeight w:val="84"/>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Leveraging technology </w:t>
            </w:r>
          </w:p>
        </w:tc>
        <w:tc>
          <w:tcPr>
            <w:tcW w:w="6150" w:type="dxa"/>
          </w:tcPr>
          <w:p w:rsidR="003F48EA" w:rsidRPr="00965467"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965467">
              <w:rPr>
                <w:sz w:val="20"/>
                <w:szCs w:val="20"/>
              </w:rPr>
              <w:t xml:space="preserve">Lashitew </w:t>
            </w:r>
            <w:r w:rsidRPr="00965467">
              <w:rPr>
                <w:i/>
                <w:iCs/>
                <w:sz w:val="20"/>
                <w:szCs w:val="20"/>
              </w:rPr>
              <w:t>et al</w:t>
            </w:r>
            <w:r w:rsidRPr="00965467">
              <w:rPr>
                <w:sz w:val="20"/>
                <w:szCs w:val="20"/>
              </w:rPr>
              <w:t xml:space="preserve">. (2018); Barrie and Cruickshank (2017); Chesbrough </w:t>
            </w:r>
            <w:r w:rsidRPr="00965467">
              <w:rPr>
                <w:i/>
                <w:iCs/>
                <w:sz w:val="20"/>
                <w:szCs w:val="20"/>
              </w:rPr>
              <w:t>et al</w:t>
            </w:r>
            <w:r w:rsidRPr="00965467">
              <w:rPr>
                <w:sz w:val="20"/>
                <w:szCs w:val="20"/>
              </w:rPr>
              <w:t>. (2006); Prahalad (2005).</w:t>
            </w:r>
          </w:p>
        </w:tc>
      </w:tr>
      <w:tr w:rsidR="003F48EA" w:rsidRPr="00965467" w:rsidTr="00594131">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Partnerships and cocreation </w:t>
            </w:r>
          </w:p>
        </w:tc>
        <w:tc>
          <w:tcPr>
            <w:tcW w:w="6150" w:type="dxa"/>
          </w:tcPr>
          <w:p w:rsidR="003F48EA" w:rsidRPr="00965467"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965467">
              <w:rPr>
                <w:sz w:val="20"/>
                <w:szCs w:val="20"/>
                <w:lang w:val="de-DE"/>
              </w:rPr>
              <w:t xml:space="preserve">Tate and Bals (2018); Nahi (2016); Stephan </w:t>
            </w:r>
            <w:r w:rsidRPr="00965467">
              <w:rPr>
                <w:i/>
                <w:iCs/>
                <w:sz w:val="20"/>
                <w:szCs w:val="20"/>
                <w:lang w:val="de-DE"/>
              </w:rPr>
              <w:t>et al</w:t>
            </w:r>
            <w:r w:rsidRPr="00965467">
              <w:rPr>
                <w:sz w:val="20"/>
                <w:szCs w:val="20"/>
                <w:lang w:val="de-DE"/>
              </w:rPr>
              <w:t xml:space="preserve">. (2016); George </w:t>
            </w:r>
            <w:r w:rsidRPr="00965467">
              <w:rPr>
                <w:i/>
                <w:iCs/>
                <w:sz w:val="20"/>
                <w:szCs w:val="20"/>
                <w:lang w:val="de-DE"/>
              </w:rPr>
              <w:t>et al</w:t>
            </w:r>
            <w:r w:rsidRPr="00965467">
              <w:rPr>
                <w:sz w:val="20"/>
                <w:szCs w:val="20"/>
                <w:lang w:val="de-DE"/>
              </w:rPr>
              <w:t xml:space="preserve">. (2015); </w:t>
            </w:r>
            <w:r w:rsidRPr="00965467">
              <w:rPr>
                <w:sz w:val="20"/>
                <w:szCs w:val="20"/>
                <w:lang w:val="nl-NL"/>
              </w:rPr>
              <w:t xml:space="preserve">Rahman </w:t>
            </w:r>
            <w:r w:rsidRPr="00965467">
              <w:rPr>
                <w:i/>
                <w:iCs/>
                <w:sz w:val="20"/>
                <w:szCs w:val="20"/>
                <w:lang w:val="nl-NL"/>
              </w:rPr>
              <w:t>et al</w:t>
            </w:r>
            <w:r w:rsidRPr="00965467">
              <w:rPr>
                <w:sz w:val="20"/>
                <w:szCs w:val="20"/>
                <w:lang w:val="nl-NL"/>
              </w:rPr>
              <w:t xml:space="preserve">. (2014); Calton </w:t>
            </w:r>
            <w:r w:rsidRPr="00965467">
              <w:rPr>
                <w:i/>
                <w:iCs/>
                <w:sz w:val="20"/>
                <w:szCs w:val="20"/>
                <w:lang w:val="nl-NL"/>
              </w:rPr>
              <w:t>et al</w:t>
            </w:r>
            <w:r w:rsidRPr="00965467">
              <w:rPr>
                <w:sz w:val="20"/>
                <w:szCs w:val="20"/>
                <w:lang w:val="nl-NL"/>
              </w:rPr>
              <w:t xml:space="preserve">. (2013); </w:t>
            </w:r>
            <w:r w:rsidRPr="00965467">
              <w:rPr>
                <w:sz w:val="20"/>
                <w:szCs w:val="20"/>
                <w:lang w:val="de-DE"/>
              </w:rPr>
              <w:t xml:space="preserve">Kolk </w:t>
            </w:r>
            <w:r w:rsidRPr="00965467">
              <w:rPr>
                <w:i/>
                <w:iCs/>
                <w:sz w:val="20"/>
                <w:szCs w:val="20"/>
                <w:lang w:val="de-DE"/>
              </w:rPr>
              <w:t>et al</w:t>
            </w:r>
            <w:r w:rsidRPr="00965467">
              <w:rPr>
                <w:sz w:val="20"/>
                <w:szCs w:val="20"/>
                <w:lang w:val="de-DE"/>
              </w:rPr>
              <w:t xml:space="preserve">. </w:t>
            </w:r>
            <w:r w:rsidRPr="00965467">
              <w:rPr>
                <w:sz w:val="20"/>
                <w:szCs w:val="20"/>
                <w:lang w:val="nl-NL"/>
              </w:rPr>
              <w:t xml:space="preserve">(2014); </w:t>
            </w:r>
            <w:sdt>
              <w:sdtPr>
                <w:rPr>
                  <w:sz w:val="20"/>
                  <w:szCs w:val="20"/>
                </w:rPr>
                <w:tag w:val="goog_rdk_152"/>
                <w:id w:val="1509251741"/>
              </w:sdtPr>
              <w:sdtContent>
                <w:r w:rsidRPr="00965467">
                  <w:rPr>
                    <w:sz w:val="20"/>
                    <w:szCs w:val="20"/>
                    <w:lang w:val="nl-NL"/>
                  </w:rPr>
                  <w:t xml:space="preserve"> </w:t>
                </w:r>
              </w:sdtContent>
            </w:sdt>
            <w:r w:rsidRPr="00965467">
              <w:rPr>
                <w:sz w:val="20"/>
                <w:szCs w:val="20"/>
                <w:lang w:val="nl-NL"/>
              </w:rPr>
              <w:t xml:space="preserve">Sánchez and Ricart (2010); Gradl </w:t>
            </w:r>
            <w:r w:rsidRPr="00965467">
              <w:rPr>
                <w:i/>
                <w:iCs/>
                <w:sz w:val="20"/>
                <w:szCs w:val="20"/>
                <w:lang w:val="nl-NL"/>
              </w:rPr>
              <w:t>et al</w:t>
            </w:r>
            <w:r w:rsidRPr="00965467">
              <w:rPr>
                <w:sz w:val="20"/>
                <w:szCs w:val="20"/>
                <w:lang w:val="nl-NL"/>
              </w:rPr>
              <w:t xml:space="preserve">. </w:t>
            </w:r>
            <w:r w:rsidRPr="00965467">
              <w:rPr>
                <w:sz w:val="20"/>
                <w:szCs w:val="20"/>
              </w:rPr>
              <w:t xml:space="preserve">(2010); Yunus </w:t>
            </w:r>
            <w:r w:rsidRPr="00965467">
              <w:rPr>
                <w:i/>
                <w:iCs/>
                <w:sz w:val="20"/>
                <w:szCs w:val="20"/>
              </w:rPr>
              <w:t>et al</w:t>
            </w:r>
            <w:r w:rsidRPr="00965467">
              <w:rPr>
                <w:sz w:val="20"/>
                <w:szCs w:val="20"/>
              </w:rPr>
              <w:t xml:space="preserve">. (2010); Hart and London (2005); London and Hart (2004). </w:t>
            </w:r>
          </w:p>
        </w:tc>
      </w:tr>
      <w:tr w:rsidR="003F48EA" w:rsidRPr="00965467" w:rsidTr="00594131">
        <w:trPr>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Developing social capital </w:t>
            </w:r>
          </w:p>
        </w:tc>
        <w:tc>
          <w:tcPr>
            <w:tcW w:w="6150" w:type="dxa"/>
          </w:tcPr>
          <w:p w:rsidR="003F48EA" w:rsidRPr="00965467"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965467">
              <w:rPr>
                <w:sz w:val="20"/>
                <w:szCs w:val="20"/>
                <w:lang w:val="nl-NL"/>
              </w:rPr>
              <w:t xml:space="preserve">Sinkovics </w:t>
            </w:r>
            <w:r w:rsidRPr="00965467">
              <w:rPr>
                <w:i/>
                <w:iCs/>
                <w:sz w:val="20"/>
                <w:szCs w:val="20"/>
                <w:lang w:val="nl-NL"/>
              </w:rPr>
              <w:t>et al</w:t>
            </w:r>
            <w:r w:rsidRPr="00965467">
              <w:rPr>
                <w:sz w:val="20"/>
                <w:szCs w:val="20"/>
                <w:lang w:val="nl-NL"/>
              </w:rPr>
              <w:t xml:space="preserve">. (2014); Mair </w:t>
            </w:r>
            <w:r w:rsidRPr="00965467">
              <w:rPr>
                <w:i/>
                <w:iCs/>
                <w:sz w:val="20"/>
                <w:szCs w:val="20"/>
                <w:lang w:val="nl-NL"/>
              </w:rPr>
              <w:t>et al</w:t>
            </w:r>
            <w:r w:rsidRPr="00965467">
              <w:rPr>
                <w:sz w:val="20"/>
                <w:szCs w:val="20"/>
                <w:lang w:val="nl-NL"/>
              </w:rPr>
              <w:t xml:space="preserve">. </w:t>
            </w:r>
            <w:r w:rsidRPr="00965467">
              <w:rPr>
                <w:sz w:val="20"/>
                <w:szCs w:val="20"/>
              </w:rPr>
              <w:t xml:space="preserve">(2012); Mair and Marti (2009); Anderson and Billou (2007); Hart and London (2005); London and Hart (2004). </w:t>
            </w:r>
          </w:p>
        </w:tc>
      </w:tr>
      <w:tr w:rsidR="003F48EA" w:rsidRPr="00AB7B59" w:rsidTr="00594131">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Building ecosystems </w:t>
            </w:r>
          </w:p>
        </w:tc>
        <w:tc>
          <w:tcPr>
            <w:tcW w:w="6150" w:type="dxa"/>
          </w:tcPr>
          <w:p w:rsidR="003F48EA" w:rsidRPr="00AB7B59"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AB7B59">
              <w:rPr>
                <w:sz w:val="20"/>
                <w:szCs w:val="20"/>
              </w:rPr>
              <w:t xml:space="preserve">Prahalad (2012); Porter and Kramer (2011); Sanchez and Ricart (2010); Prahalad (2005). </w:t>
            </w:r>
          </w:p>
        </w:tc>
      </w:tr>
      <w:tr w:rsidR="003F48EA" w:rsidRPr="00AB7B59" w:rsidTr="00594131">
        <w:trPr>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spacing w:line="276" w:lineRule="auto"/>
              <w:rPr>
                <w:sz w:val="20"/>
                <w:szCs w:val="20"/>
              </w:rPr>
            </w:pPr>
            <w:r w:rsidRPr="00AB7B59">
              <w:rPr>
                <w:i/>
                <w:iCs/>
                <w:sz w:val="20"/>
                <w:szCs w:val="20"/>
              </w:rPr>
              <w:t xml:space="preserve">Contingencies </w:t>
            </w:r>
          </w:p>
        </w:tc>
        <w:tc>
          <w:tcPr>
            <w:tcW w:w="6150" w:type="dxa"/>
          </w:tcPr>
          <w:p w:rsidR="003F48EA" w:rsidRPr="00AB7B59"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p>
        </w:tc>
      </w:tr>
      <w:tr w:rsidR="003F48EA" w:rsidRPr="00FB4DD3" w:rsidTr="00594131">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Internal contingencies </w:t>
            </w:r>
          </w:p>
        </w:tc>
        <w:tc>
          <w:tcPr>
            <w:tcW w:w="6150" w:type="dxa"/>
          </w:tcPr>
          <w:p w:rsidR="003F48EA" w:rsidRPr="00FB4DD3"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de-DE"/>
              </w:rPr>
            </w:pPr>
            <w:r w:rsidRPr="00965467">
              <w:rPr>
                <w:sz w:val="20"/>
                <w:szCs w:val="20"/>
                <w:lang w:val="nl-NL"/>
              </w:rPr>
              <w:t xml:space="preserve">Duke (2016); Angeli and Jaiswal (2016); Halme </w:t>
            </w:r>
            <w:r w:rsidRPr="00965467">
              <w:rPr>
                <w:i/>
                <w:iCs/>
                <w:sz w:val="20"/>
                <w:szCs w:val="20"/>
                <w:lang w:val="nl-NL"/>
              </w:rPr>
              <w:t>et al</w:t>
            </w:r>
            <w:r w:rsidRPr="00965467">
              <w:rPr>
                <w:sz w:val="20"/>
                <w:szCs w:val="20"/>
                <w:lang w:val="nl-NL"/>
              </w:rPr>
              <w:t>. (2012);</w:t>
            </w:r>
            <w:r>
              <w:rPr>
                <w:sz w:val="20"/>
                <w:szCs w:val="20"/>
                <w:lang w:val="nl-NL"/>
              </w:rPr>
              <w:t xml:space="preserve"> </w:t>
            </w:r>
            <w:r w:rsidRPr="00965467">
              <w:rPr>
                <w:sz w:val="20"/>
                <w:szCs w:val="20"/>
                <w:lang w:val="nl-NL"/>
              </w:rPr>
              <w:t xml:space="preserve">Van den Waeyenberg and Hens (2012); Yunus </w:t>
            </w:r>
            <w:r w:rsidRPr="00965467">
              <w:rPr>
                <w:i/>
                <w:iCs/>
                <w:sz w:val="20"/>
                <w:szCs w:val="20"/>
                <w:lang w:val="nl-NL"/>
              </w:rPr>
              <w:t>et al</w:t>
            </w:r>
            <w:r w:rsidRPr="00965467">
              <w:rPr>
                <w:sz w:val="20"/>
                <w:szCs w:val="20"/>
                <w:lang w:val="nl-NL"/>
              </w:rPr>
              <w:t xml:space="preserve">. </w:t>
            </w:r>
            <w:r w:rsidRPr="00FB4DD3">
              <w:rPr>
                <w:sz w:val="20"/>
                <w:szCs w:val="20"/>
                <w:lang w:val="de-DE"/>
              </w:rPr>
              <w:t>(2010); Karnani (2007).</w:t>
            </w:r>
          </w:p>
        </w:tc>
      </w:tr>
      <w:tr w:rsidR="003F48EA" w:rsidRPr="00965467" w:rsidTr="00594131">
        <w:trPr>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External contingencies </w:t>
            </w:r>
          </w:p>
        </w:tc>
        <w:tc>
          <w:tcPr>
            <w:tcW w:w="6150" w:type="dxa"/>
          </w:tcPr>
          <w:p w:rsidR="003F48EA" w:rsidRPr="00965467"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965467">
              <w:rPr>
                <w:sz w:val="20"/>
                <w:szCs w:val="20"/>
                <w:lang w:val="es-ES"/>
              </w:rPr>
              <w:t xml:space="preserve">Lashitew </w:t>
            </w:r>
            <w:r w:rsidRPr="00965467">
              <w:rPr>
                <w:i/>
                <w:iCs/>
                <w:sz w:val="20"/>
                <w:szCs w:val="20"/>
                <w:lang w:val="es-ES"/>
              </w:rPr>
              <w:t>et al</w:t>
            </w:r>
            <w:r w:rsidRPr="00965467">
              <w:rPr>
                <w:sz w:val="20"/>
                <w:szCs w:val="20"/>
                <w:lang w:val="es-ES"/>
              </w:rPr>
              <w:t xml:space="preserve">. (2018); Prado </w:t>
            </w:r>
            <w:r w:rsidRPr="00965467">
              <w:rPr>
                <w:i/>
                <w:iCs/>
                <w:sz w:val="20"/>
                <w:szCs w:val="20"/>
                <w:lang w:val="es-ES"/>
              </w:rPr>
              <w:t>et al</w:t>
            </w:r>
            <w:r w:rsidRPr="00965467">
              <w:rPr>
                <w:sz w:val="20"/>
                <w:szCs w:val="20"/>
                <w:lang w:val="es-ES"/>
              </w:rPr>
              <w:t xml:space="preserve">. </w:t>
            </w:r>
            <w:r w:rsidRPr="00965467">
              <w:rPr>
                <w:sz w:val="20"/>
                <w:szCs w:val="20"/>
                <w:lang w:val="nl-NL"/>
              </w:rPr>
              <w:t xml:space="preserve">(2016); Goyal </w:t>
            </w:r>
            <w:r w:rsidRPr="00965467">
              <w:rPr>
                <w:i/>
                <w:iCs/>
                <w:sz w:val="20"/>
                <w:szCs w:val="20"/>
                <w:lang w:val="nl-NL"/>
              </w:rPr>
              <w:t>et al</w:t>
            </w:r>
            <w:r w:rsidRPr="00965467">
              <w:rPr>
                <w:sz w:val="20"/>
                <w:szCs w:val="20"/>
                <w:lang w:val="nl-NL"/>
              </w:rPr>
              <w:t xml:space="preserve">. </w:t>
            </w:r>
            <w:r w:rsidRPr="00965467">
              <w:rPr>
                <w:sz w:val="20"/>
                <w:szCs w:val="20"/>
                <w:lang w:val="fr-FR"/>
              </w:rPr>
              <w:t xml:space="preserve">(2015); Rahman </w:t>
            </w:r>
            <w:r w:rsidRPr="00965467">
              <w:rPr>
                <w:i/>
                <w:iCs/>
                <w:sz w:val="20"/>
                <w:szCs w:val="20"/>
                <w:lang w:val="fr-FR"/>
              </w:rPr>
              <w:t>et al</w:t>
            </w:r>
            <w:r w:rsidRPr="00965467">
              <w:rPr>
                <w:sz w:val="20"/>
                <w:szCs w:val="20"/>
                <w:lang w:val="fr-FR"/>
              </w:rPr>
              <w:t xml:space="preserve">. </w:t>
            </w:r>
            <w:r w:rsidRPr="00965467">
              <w:rPr>
                <w:sz w:val="20"/>
                <w:szCs w:val="20"/>
              </w:rPr>
              <w:t xml:space="preserve">(2014); London </w:t>
            </w:r>
            <w:r w:rsidRPr="00965467">
              <w:rPr>
                <w:i/>
                <w:iCs/>
                <w:sz w:val="20"/>
                <w:szCs w:val="20"/>
              </w:rPr>
              <w:t>et al</w:t>
            </w:r>
            <w:r w:rsidRPr="00965467">
              <w:rPr>
                <w:sz w:val="20"/>
                <w:szCs w:val="20"/>
              </w:rPr>
              <w:t xml:space="preserve">. (2010). </w:t>
            </w:r>
          </w:p>
        </w:tc>
      </w:tr>
      <w:tr w:rsidR="003F48EA" w:rsidRPr="00AB7B59" w:rsidTr="00594131">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spacing w:line="276" w:lineRule="auto"/>
              <w:rPr>
                <w:i/>
                <w:iCs/>
                <w:sz w:val="20"/>
                <w:szCs w:val="20"/>
              </w:rPr>
            </w:pPr>
            <w:r w:rsidRPr="00AB7B59">
              <w:rPr>
                <w:i/>
                <w:iCs/>
                <w:sz w:val="20"/>
                <w:szCs w:val="20"/>
              </w:rPr>
              <w:t xml:space="preserve">Social value creation outcomes </w:t>
            </w:r>
          </w:p>
        </w:tc>
        <w:tc>
          <w:tcPr>
            <w:tcW w:w="6150" w:type="dxa"/>
          </w:tcPr>
          <w:p w:rsidR="003F48EA" w:rsidRPr="00AB7B59"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p>
        </w:tc>
      </w:tr>
      <w:tr w:rsidR="003F48EA" w:rsidRPr="00965467" w:rsidTr="00594131">
        <w:trPr>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Net social value </w:t>
            </w:r>
          </w:p>
        </w:tc>
        <w:tc>
          <w:tcPr>
            <w:tcW w:w="6150" w:type="dxa"/>
          </w:tcPr>
          <w:p w:rsidR="003F48EA" w:rsidRPr="00965467" w:rsidRDefault="003F48EA" w:rsidP="00594131">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965467">
              <w:rPr>
                <w:sz w:val="20"/>
                <w:szCs w:val="20"/>
                <w:lang w:val="nl-NL"/>
              </w:rPr>
              <w:t xml:space="preserve">Stephan </w:t>
            </w:r>
            <w:r w:rsidRPr="00965467">
              <w:rPr>
                <w:i/>
                <w:iCs/>
                <w:sz w:val="20"/>
                <w:szCs w:val="20"/>
                <w:lang w:val="nl-NL"/>
              </w:rPr>
              <w:t>et al</w:t>
            </w:r>
            <w:r w:rsidRPr="00965467">
              <w:rPr>
                <w:sz w:val="20"/>
                <w:szCs w:val="20"/>
                <w:lang w:val="nl-NL"/>
              </w:rPr>
              <w:t xml:space="preserve">. (2016); Dembek </w:t>
            </w:r>
            <w:r w:rsidRPr="00965467">
              <w:rPr>
                <w:i/>
                <w:iCs/>
                <w:sz w:val="20"/>
                <w:szCs w:val="20"/>
                <w:lang w:val="nl-NL"/>
              </w:rPr>
              <w:t>et al</w:t>
            </w:r>
            <w:r w:rsidRPr="00965467">
              <w:rPr>
                <w:sz w:val="20"/>
                <w:szCs w:val="20"/>
                <w:lang w:val="nl-NL"/>
              </w:rPr>
              <w:t xml:space="preserve">. </w:t>
            </w:r>
            <w:r w:rsidRPr="00965467">
              <w:rPr>
                <w:sz w:val="20"/>
                <w:szCs w:val="20"/>
              </w:rPr>
              <w:t xml:space="preserve">(2016); London </w:t>
            </w:r>
            <w:r w:rsidRPr="00965467">
              <w:rPr>
                <w:i/>
                <w:iCs/>
                <w:sz w:val="20"/>
                <w:szCs w:val="20"/>
              </w:rPr>
              <w:t>et al</w:t>
            </w:r>
            <w:r w:rsidRPr="00965467">
              <w:rPr>
                <w:sz w:val="20"/>
                <w:szCs w:val="20"/>
              </w:rPr>
              <w:t>. (2014); Anderson and Billou (2007).</w:t>
            </w:r>
          </w:p>
        </w:tc>
      </w:tr>
      <w:tr w:rsidR="003F48EA" w:rsidRPr="003B6FB1" w:rsidTr="00594131">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746" w:type="dxa"/>
          </w:tcPr>
          <w:p w:rsidR="003F48EA" w:rsidRPr="00AB7B59" w:rsidRDefault="003F48EA" w:rsidP="00594131">
            <w:pPr>
              <w:pStyle w:val="ListParagraph"/>
              <w:numPr>
                <w:ilvl w:val="0"/>
                <w:numId w:val="6"/>
              </w:numPr>
              <w:spacing w:line="276" w:lineRule="auto"/>
              <w:jc w:val="left"/>
              <w:rPr>
                <w:b w:val="0"/>
                <w:bCs w:val="0"/>
                <w:sz w:val="20"/>
                <w:szCs w:val="20"/>
              </w:rPr>
            </w:pPr>
            <w:r w:rsidRPr="00AB7B59">
              <w:rPr>
                <w:b w:val="0"/>
                <w:bCs w:val="0"/>
                <w:sz w:val="20"/>
                <w:szCs w:val="20"/>
              </w:rPr>
              <w:t xml:space="preserve">Unethical outcomes </w:t>
            </w:r>
          </w:p>
        </w:tc>
        <w:tc>
          <w:tcPr>
            <w:tcW w:w="6150" w:type="dxa"/>
          </w:tcPr>
          <w:p w:rsidR="003F48EA" w:rsidRPr="00965467" w:rsidRDefault="003F48EA" w:rsidP="00594131">
            <w:pPr>
              <w:spacing w:line="276" w:lineRule="auto"/>
              <w:cnfStyle w:val="000000100000" w:firstRow="0" w:lastRow="0" w:firstColumn="0" w:lastColumn="0" w:oddVBand="0" w:evenVBand="0" w:oddHBand="1" w:evenHBand="0" w:firstRowFirstColumn="0" w:firstRowLastColumn="0" w:lastRowFirstColumn="0" w:lastRowLastColumn="0"/>
              <w:rPr>
                <w:sz w:val="20"/>
                <w:szCs w:val="20"/>
                <w:lang w:val="nl-NL"/>
              </w:rPr>
            </w:pPr>
            <w:r w:rsidRPr="00965467">
              <w:rPr>
                <w:sz w:val="20"/>
                <w:szCs w:val="20"/>
                <w:lang w:val="nl-NL"/>
              </w:rPr>
              <w:t xml:space="preserve">Dembek </w:t>
            </w:r>
            <w:r w:rsidRPr="00965467">
              <w:rPr>
                <w:i/>
                <w:iCs/>
                <w:sz w:val="20"/>
                <w:szCs w:val="20"/>
                <w:lang w:val="nl-NL"/>
              </w:rPr>
              <w:t>et al</w:t>
            </w:r>
            <w:r w:rsidRPr="00965467">
              <w:rPr>
                <w:sz w:val="20"/>
                <w:szCs w:val="20"/>
                <w:lang w:val="nl-NL"/>
              </w:rPr>
              <w:t xml:space="preserve">. (2016); Sinkovics </w:t>
            </w:r>
            <w:r w:rsidRPr="00965467">
              <w:rPr>
                <w:i/>
                <w:iCs/>
                <w:sz w:val="20"/>
                <w:szCs w:val="20"/>
                <w:lang w:val="nl-NL"/>
              </w:rPr>
              <w:t>et al</w:t>
            </w:r>
            <w:r w:rsidRPr="00965467">
              <w:rPr>
                <w:sz w:val="20"/>
                <w:szCs w:val="20"/>
                <w:lang w:val="nl-NL"/>
              </w:rPr>
              <w:t xml:space="preserve">. (2014); Chatterjee (2014); Arnold and Valentin (2012); Gollakota </w:t>
            </w:r>
            <w:r w:rsidRPr="00965467">
              <w:rPr>
                <w:i/>
                <w:iCs/>
                <w:sz w:val="20"/>
                <w:szCs w:val="20"/>
                <w:lang w:val="nl-NL"/>
              </w:rPr>
              <w:t>et al</w:t>
            </w:r>
            <w:r w:rsidRPr="00965467">
              <w:rPr>
                <w:sz w:val="20"/>
                <w:szCs w:val="20"/>
                <w:lang w:val="nl-NL"/>
              </w:rPr>
              <w:t>. (2010); Karnani (2007).</w:t>
            </w:r>
          </w:p>
        </w:tc>
      </w:tr>
    </w:tbl>
    <w:p w:rsidR="003F48EA" w:rsidRPr="00965467" w:rsidRDefault="003F48EA" w:rsidP="003F48EA">
      <w:pPr>
        <w:tabs>
          <w:tab w:val="left" w:pos="3784"/>
        </w:tabs>
        <w:rPr>
          <w:lang w:val="nl-NL"/>
        </w:rPr>
      </w:pPr>
    </w:p>
    <w:p w:rsidR="003F48EA" w:rsidRPr="00965467" w:rsidRDefault="003F48EA" w:rsidP="003F48EA">
      <w:pPr>
        <w:tabs>
          <w:tab w:val="left" w:pos="3784"/>
        </w:tabs>
        <w:rPr>
          <w:lang w:val="nl-NL"/>
        </w:rPr>
        <w:sectPr w:rsidR="003F48EA" w:rsidRPr="00965467">
          <w:pgSz w:w="12240" w:h="15840"/>
          <w:pgMar w:top="1440" w:right="1440" w:bottom="1440" w:left="1440" w:header="720" w:footer="720" w:gutter="0"/>
          <w:cols w:space="720"/>
          <w:docGrid w:linePitch="360"/>
        </w:sectPr>
      </w:pPr>
    </w:p>
    <w:p w:rsidR="003F48EA" w:rsidRPr="00965467" w:rsidRDefault="003F48EA" w:rsidP="003F48EA">
      <w:r w:rsidRPr="00965467">
        <w:t>Table A10: Complete list of coded articles</w:t>
      </w:r>
    </w:p>
    <w:tbl>
      <w:tblPr>
        <w:tblStyle w:val="PlainTable2"/>
        <w:tblW w:w="9356" w:type="dxa"/>
        <w:tblLook w:val="0660" w:firstRow="1" w:lastRow="1" w:firstColumn="0" w:lastColumn="0" w:noHBand="1" w:noVBand="1"/>
      </w:tblPr>
      <w:tblGrid>
        <w:gridCol w:w="3969"/>
        <w:gridCol w:w="681"/>
        <w:gridCol w:w="3572"/>
        <w:gridCol w:w="1134"/>
      </w:tblGrid>
      <w:tr w:rsidR="003F48EA" w:rsidRPr="00965467" w:rsidTr="00594131">
        <w:trPr>
          <w:cnfStyle w:val="100000000000" w:firstRow="1" w:lastRow="0" w:firstColumn="0" w:lastColumn="0" w:oddVBand="0" w:evenVBand="0" w:oddHBand="0" w:evenHBand="0" w:firstRowFirstColumn="0" w:firstRowLastColumn="0" w:lastRowFirstColumn="0" w:lastRowLastColumn="0"/>
          <w:trHeight w:val="206"/>
        </w:trPr>
        <w:tc>
          <w:tcPr>
            <w:tcW w:w="3969" w:type="dxa"/>
            <w:tcBorders>
              <w:top w:val="double" w:sz="4" w:space="0" w:color="auto"/>
            </w:tcBorders>
            <w:noWrap/>
            <w:hideMark/>
          </w:tcPr>
          <w:p w:rsidR="003F48EA" w:rsidRPr="00965467" w:rsidRDefault="003F48EA" w:rsidP="00594131">
            <w:pPr>
              <w:jc w:val="left"/>
              <w:rPr>
                <w:sz w:val="21"/>
                <w:szCs w:val="22"/>
              </w:rPr>
            </w:pPr>
            <w:r w:rsidRPr="00965467">
              <w:rPr>
                <w:sz w:val="21"/>
                <w:szCs w:val="22"/>
              </w:rPr>
              <w:t>Author(s)</w:t>
            </w:r>
          </w:p>
        </w:tc>
        <w:tc>
          <w:tcPr>
            <w:tcW w:w="681" w:type="dxa"/>
            <w:tcBorders>
              <w:top w:val="double" w:sz="4" w:space="0" w:color="auto"/>
            </w:tcBorders>
            <w:noWrap/>
            <w:hideMark/>
          </w:tcPr>
          <w:p w:rsidR="003F48EA" w:rsidRPr="00965467" w:rsidRDefault="003F48EA" w:rsidP="00594131">
            <w:pPr>
              <w:jc w:val="center"/>
              <w:rPr>
                <w:sz w:val="21"/>
                <w:szCs w:val="22"/>
              </w:rPr>
            </w:pPr>
            <w:r w:rsidRPr="00965467">
              <w:rPr>
                <w:sz w:val="21"/>
                <w:szCs w:val="22"/>
              </w:rPr>
              <w:t>Year</w:t>
            </w:r>
          </w:p>
        </w:tc>
        <w:tc>
          <w:tcPr>
            <w:tcW w:w="3572" w:type="dxa"/>
            <w:tcBorders>
              <w:top w:val="double" w:sz="4" w:space="0" w:color="auto"/>
            </w:tcBorders>
            <w:noWrap/>
            <w:hideMark/>
          </w:tcPr>
          <w:p w:rsidR="003F48EA" w:rsidRPr="00965467" w:rsidRDefault="003F48EA" w:rsidP="00594131">
            <w:pPr>
              <w:jc w:val="left"/>
              <w:rPr>
                <w:sz w:val="21"/>
                <w:szCs w:val="22"/>
              </w:rPr>
            </w:pPr>
            <w:r w:rsidRPr="00965467">
              <w:rPr>
                <w:sz w:val="21"/>
                <w:szCs w:val="22"/>
              </w:rPr>
              <w:t>Publi</w:t>
            </w:r>
            <w:r>
              <w:rPr>
                <w:sz w:val="21"/>
                <w:szCs w:val="22"/>
              </w:rPr>
              <w:t>shed in</w:t>
            </w:r>
          </w:p>
        </w:tc>
        <w:tc>
          <w:tcPr>
            <w:tcW w:w="1134" w:type="dxa"/>
            <w:tcBorders>
              <w:top w:val="double" w:sz="4" w:space="0" w:color="auto"/>
            </w:tcBorders>
          </w:tcPr>
          <w:p w:rsidR="003F48EA" w:rsidRPr="00965467" w:rsidRDefault="003F48EA" w:rsidP="00594131">
            <w:pPr>
              <w:jc w:val="center"/>
              <w:rPr>
                <w:sz w:val="21"/>
                <w:szCs w:val="22"/>
              </w:rPr>
            </w:pPr>
            <w:r w:rsidRPr="00965467">
              <w:rPr>
                <w:sz w:val="21"/>
                <w:szCs w:val="22"/>
              </w:rPr>
              <w:t>Listed in ISI-WOS</w:t>
            </w:r>
          </w:p>
        </w:tc>
      </w:tr>
      <w:tr w:rsidR="003F48EA" w:rsidRPr="00965467" w:rsidTr="00594131">
        <w:trPr>
          <w:trHeight w:val="206"/>
        </w:trPr>
        <w:tc>
          <w:tcPr>
            <w:tcW w:w="3969" w:type="dxa"/>
            <w:noWrap/>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Agnihotri</w:t>
            </w:r>
          </w:p>
        </w:tc>
        <w:tc>
          <w:tcPr>
            <w:tcW w:w="681" w:type="dxa"/>
            <w:noWrap/>
          </w:tcPr>
          <w:p w:rsidR="003F48EA" w:rsidRPr="00965467" w:rsidRDefault="003F48EA" w:rsidP="00594131">
            <w:pPr>
              <w:jc w:val="center"/>
              <w:rPr>
                <w:sz w:val="21"/>
                <w:szCs w:val="22"/>
              </w:rPr>
            </w:pPr>
            <w:r w:rsidRPr="00965467">
              <w:rPr>
                <w:sz w:val="21"/>
                <w:szCs w:val="22"/>
              </w:rPr>
              <w:t>2017</w:t>
            </w:r>
          </w:p>
        </w:tc>
        <w:tc>
          <w:tcPr>
            <w:tcW w:w="3572" w:type="dxa"/>
            <w:noWrap/>
          </w:tcPr>
          <w:p w:rsidR="003F48EA" w:rsidRPr="00965467" w:rsidRDefault="003F48EA" w:rsidP="00594131">
            <w:pPr>
              <w:jc w:val="left"/>
              <w:rPr>
                <w:sz w:val="21"/>
                <w:szCs w:val="22"/>
              </w:rPr>
            </w:pPr>
            <w:r w:rsidRPr="00965467">
              <w:rPr>
                <w:sz w:val="21"/>
                <w:szCs w:val="22"/>
              </w:rPr>
              <w:t>Journal of Business Strategy</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Anderson &amp; Billou</w:t>
            </w:r>
          </w:p>
        </w:tc>
        <w:tc>
          <w:tcPr>
            <w:tcW w:w="681" w:type="dxa"/>
            <w:noWrap/>
            <w:hideMark/>
          </w:tcPr>
          <w:p w:rsidR="003F48EA" w:rsidRPr="00965467" w:rsidRDefault="003F48EA" w:rsidP="00594131">
            <w:pPr>
              <w:jc w:val="center"/>
              <w:rPr>
                <w:sz w:val="21"/>
                <w:szCs w:val="22"/>
              </w:rPr>
            </w:pPr>
            <w:r w:rsidRPr="00965467">
              <w:rPr>
                <w:sz w:val="21"/>
                <w:szCs w:val="22"/>
              </w:rPr>
              <w:t>2007</w:t>
            </w:r>
          </w:p>
        </w:tc>
        <w:tc>
          <w:tcPr>
            <w:tcW w:w="3572" w:type="dxa"/>
            <w:noWrap/>
            <w:hideMark/>
          </w:tcPr>
          <w:p w:rsidR="003F48EA" w:rsidRPr="00965467" w:rsidRDefault="003F48EA" w:rsidP="00594131">
            <w:pPr>
              <w:jc w:val="left"/>
              <w:rPr>
                <w:sz w:val="21"/>
                <w:szCs w:val="22"/>
              </w:rPr>
            </w:pPr>
            <w:r w:rsidRPr="00965467">
              <w:rPr>
                <w:sz w:val="21"/>
                <w:szCs w:val="22"/>
              </w:rPr>
              <w:t>Journal of Business Strategy</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Anderson &amp; Markides </w:t>
            </w:r>
          </w:p>
        </w:tc>
        <w:tc>
          <w:tcPr>
            <w:tcW w:w="681" w:type="dxa"/>
            <w:noWrap/>
            <w:hideMark/>
          </w:tcPr>
          <w:p w:rsidR="003F48EA" w:rsidRPr="00965467" w:rsidRDefault="003F48EA" w:rsidP="00594131">
            <w:pPr>
              <w:jc w:val="center"/>
              <w:rPr>
                <w:sz w:val="21"/>
                <w:szCs w:val="22"/>
              </w:rPr>
            </w:pPr>
            <w:r w:rsidRPr="00965467">
              <w:rPr>
                <w:sz w:val="21"/>
                <w:szCs w:val="22"/>
              </w:rPr>
              <w:t>2007</w:t>
            </w:r>
          </w:p>
        </w:tc>
        <w:tc>
          <w:tcPr>
            <w:tcW w:w="3572" w:type="dxa"/>
            <w:noWrap/>
            <w:hideMark/>
          </w:tcPr>
          <w:p w:rsidR="003F48EA" w:rsidRPr="00965467" w:rsidRDefault="003F48EA" w:rsidP="00594131">
            <w:pPr>
              <w:jc w:val="left"/>
              <w:rPr>
                <w:sz w:val="21"/>
                <w:szCs w:val="22"/>
              </w:rPr>
            </w:pPr>
            <w:r w:rsidRPr="00965467">
              <w:rPr>
                <w:sz w:val="21"/>
                <w:szCs w:val="22"/>
              </w:rPr>
              <w:t>MIT Sloan Management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Angeli &amp; Jaiswal</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Organization &amp; Environment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Arnold &amp; Williams</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International Journal of Technology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Arnould &amp; Mohr </w:t>
            </w:r>
          </w:p>
        </w:tc>
        <w:tc>
          <w:tcPr>
            <w:tcW w:w="681" w:type="dxa"/>
            <w:noWrap/>
            <w:hideMark/>
          </w:tcPr>
          <w:p w:rsidR="003F48EA" w:rsidRPr="00965467" w:rsidRDefault="003F48EA" w:rsidP="00594131">
            <w:pPr>
              <w:jc w:val="center"/>
              <w:rPr>
                <w:sz w:val="21"/>
                <w:szCs w:val="22"/>
              </w:rPr>
            </w:pPr>
            <w:r w:rsidRPr="00965467">
              <w:rPr>
                <w:sz w:val="21"/>
                <w:szCs w:val="22"/>
              </w:rPr>
              <w:t>2005</w:t>
            </w:r>
          </w:p>
        </w:tc>
        <w:tc>
          <w:tcPr>
            <w:tcW w:w="3572" w:type="dxa"/>
            <w:noWrap/>
            <w:hideMark/>
          </w:tcPr>
          <w:p w:rsidR="003F48EA" w:rsidRPr="00965467" w:rsidRDefault="003F48EA" w:rsidP="00594131">
            <w:pPr>
              <w:jc w:val="left"/>
              <w:rPr>
                <w:sz w:val="21"/>
                <w:szCs w:val="22"/>
              </w:rPr>
            </w:pPr>
            <w:r w:rsidRPr="00965467">
              <w:rPr>
                <w:sz w:val="21"/>
                <w:szCs w:val="22"/>
              </w:rPr>
              <w:t>Journal of the Academy of Marketing Science</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Arora &amp; Kazmi.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Business and Society</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Ausrød, Sinha &amp; Widding </w:t>
            </w:r>
          </w:p>
        </w:tc>
        <w:tc>
          <w:tcPr>
            <w:tcW w:w="681" w:type="dxa"/>
            <w:noWrap/>
            <w:hideMark/>
          </w:tcPr>
          <w:p w:rsidR="003F48EA" w:rsidRPr="00965467" w:rsidRDefault="003F48EA" w:rsidP="00594131">
            <w:pPr>
              <w:jc w:val="center"/>
              <w:rPr>
                <w:sz w:val="21"/>
                <w:szCs w:val="22"/>
              </w:rPr>
            </w:pPr>
            <w:r w:rsidRPr="00965467">
              <w:rPr>
                <w:sz w:val="21"/>
                <w:szCs w:val="22"/>
              </w:rPr>
              <w:t>2017</w:t>
            </w:r>
          </w:p>
        </w:tc>
        <w:tc>
          <w:tcPr>
            <w:tcW w:w="3572" w:type="dxa"/>
            <w:noWrap/>
            <w:hideMark/>
          </w:tcPr>
          <w:p w:rsidR="003F48EA" w:rsidRPr="00965467" w:rsidRDefault="003F48EA" w:rsidP="00594131">
            <w:pPr>
              <w:jc w:val="left"/>
              <w:rPr>
                <w:sz w:val="21"/>
                <w:szCs w:val="22"/>
              </w:rPr>
            </w:pPr>
            <w:r w:rsidRPr="00965467">
              <w:rPr>
                <w:sz w:val="21"/>
                <w:szCs w:val="22"/>
              </w:rPr>
              <w:t>Journal of Cleaner Production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Barrie &amp; Cruickshank </w:t>
            </w:r>
          </w:p>
        </w:tc>
        <w:tc>
          <w:tcPr>
            <w:tcW w:w="681" w:type="dxa"/>
            <w:noWrap/>
            <w:hideMark/>
          </w:tcPr>
          <w:p w:rsidR="003F48EA" w:rsidRPr="00965467" w:rsidRDefault="003F48EA" w:rsidP="00594131">
            <w:pPr>
              <w:jc w:val="center"/>
              <w:rPr>
                <w:sz w:val="21"/>
                <w:szCs w:val="22"/>
              </w:rPr>
            </w:pPr>
            <w:r w:rsidRPr="00965467">
              <w:rPr>
                <w:sz w:val="21"/>
                <w:szCs w:val="22"/>
              </w:rPr>
              <w:t>2017</w:t>
            </w:r>
          </w:p>
        </w:tc>
        <w:tc>
          <w:tcPr>
            <w:tcW w:w="3572" w:type="dxa"/>
            <w:noWrap/>
            <w:hideMark/>
          </w:tcPr>
          <w:p w:rsidR="003F48EA" w:rsidRPr="00965467" w:rsidRDefault="003F48EA" w:rsidP="00594131">
            <w:pPr>
              <w:jc w:val="left"/>
              <w:rPr>
                <w:sz w:val="21"/>
                <w:szCs w:val="22"/>
              </w:rPr>
            </w:pPr>
            <w:r w:rsidRPr="00965467">
              <w:rPr>
                <w:sz w:val="21"/>
                <w:szCs w:val="22"/>
              </w:rPr>
              <w:t>Energy Policy</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Bendul, Rosca &amp; Pivovarova </w:t>
            </w:r>
          </w:p>
        </w:tc>
        <w:tc>
          <w:tcPr>
            <w:tcW w:w="681" w:type="dxa"/>
            <w:noWrap/>
            <w:hideMark/>
          </w:tcPr>
          <w:p w:rsidR="003F48EA" w:rsidRPr="00965467" w:rsidRDefault="003F48EA" w:rsidP="00594131">
            <w:pPr>
              <w:jc w:val="center"/>
              <w:rPr>
                <w:sz w:val="21"/>
                <w:szCs w:val="22"/>
              </w:rPr>
            </w:pPr>
            <w:r w:rsidRPr="00965467">
              <w:rPr>
                <w:sz w:val="21"/>
                <w:szCs w:val="22"/>
              </w:rPr>
              <w:t>2017</w:t>
            </w:r>
          </w:p>
        </w:tc>
        <w:tc>
          <w:tcPr>
            <w:tcW w:w="3572" w:type="dxa"/>
            <w:noWrap/>
            <w:hideMark/>
          </w:tcPr>
          <w:p w:rsidR="003F48EA" w:rsidRPr="00965467" w:rsidRDefault="003F48EA" w:rsidP="00594131">
            <w:pPr>
              <w:jc w:val="left"/>
              <w:rPr>
                <w:sz w:val="21"/>
                <w:szCs w:val="22"/>
              </w:rPr>
            </w:pPr>
            <w:r w:rsidRPr="00965467">
              <w:rPr>
                <w:sz w:val="21"/>
                <w:szCs w:val="22"/>
              </w:rPr>
              <w:t>Journal of Cleaner Production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Beninger &amp; Robson</w:t>
            </w:r>
          </w:p>
        </w:tc>
        <w:tc>
          <w:tcPr>
            <w:tcW w:w="681" w:type="dxa"/>
            <w:noWrap/>
            <w:hideMark/>
          </w:tcPr>
          <w:p w:rsidR="003F48EA" w:rsidRPr="00965467" w:rsidRDefault="003F48EA" w:rsidP="00594131">
            <w:pPr>
              <w:jc w:val="center"/>
              <w:rPr>
                <w:sz w:val="21"/>
                <w:szCs w:val="22"/>
              </w:rPr>
            </w:pPr>
            <w:r w:rsidRPr="00965467">
              <w:rPr>
                <w:sz w:val="21"/>
                <w:szCs w:val="22"/>
              </w:rPr>
              <w:t>2015</w:t>
            </w:r>
          </w:p>
        </w:tc>
        <w:tc>
          <w:tcPr>
            <w:tcW w:w="3572" w:type="dxa"/>
            <w:noWrap/>
            <w:hideMark/>
          </w:tcPr>
          <w:p w:rsidR="003F48EA" w:rsidRPr="00965467" w:rsidRDefault="003F48EA" w:rsidP="00594131">
            <w:pPr>
              <w:jc w:val="left"/>
              <w:rPr>
                <w:sz w:val="21"/>
                <w:szCs w:val="22"/>
              </w:rPr>
            </w:pPr>
            <w:r w:rsidRPr="00965467">
              <w:rPr>
                <w:sz w:val="21"/>
                <w:szCs w:val="22"/>
              </w:rPr>
              <w:t>Business Horizons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Biswas, Diesendorf &amp; Bryce </w:t>
            </w:r>
          </w:p>
        </w:tc>
        <w:tc>
          <w:tcPr>
            <w:tcW w:w="681" w:type="dxa"/>
            <w:noWrap/>
            <w:hideMark/>
          </w:tcPr>
          <w:p w:rsidR="003F48EA" w:rsidRPr="00965467" w:rsidRDefault="003F48EA" w:rsidP="00594131">
            <w:pPr>
              <w:jc w:val="center"/>
              <w:rPr>
                <w:sz w:val="21"/>
                <w:szCs w:val="22"/>
              </w:rPr>
            </w:pPr>
            <w:r w:rsidRPr="00965467">
              <w:rPr>
                <w:sz w:val="21"/>
                <w:szCs w:val="22"/>
              </w:rPr>
              <w:t>2004</w:t>
            </w:r>
          </w:p>
        </w:tc>
        <w:tc>
          <w:tcPr>
            <w:tcW w:w="3572" w:type="dxa"/>
            <w:noWrap/>
            <w:hideMark/>
          </w:tcPr>
          <w:p w:rsidR="003F48EA" w:rsidRPr="00965467" w:rsidRDefault="003F48EA" w:rsidP="00594131">
            <w:pPr>
              <w:jc w:val="left"/>
              <w:rPr>
                <w:sz w:val="21"/>
                <w:szCs w:val="22"/>
              </w:rPr>
            </w:pPr>
            <w:r w:rsidRPr="00965467">
              <w:rPr>
                <w:sz w:val="21"/>
                <w:szCs w:val="22"/>
              </w:rPr>
              <w:t>Energy Policy</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Bittencourt Marconatto, Barin-Cruz, Pozzebon &amp; Poitras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Journal of Cleaner Production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Bocken, Fil &amp; Prabhu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Journal of Cleaner Production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Brugmann &amp; Prahalad </w:t>
            </w:r>
          </w:p>
        </w:tc>
        <w:tc>
          <w:tcPr>
            <w:tcW w:w="681" w:type="dxa"/>
            <w:noWrap/>
            <w:hideMark/>
          </w:tcPr>
          <w:p w:rsidR="003F48EA" w:rsidRPr="00965467" w:rsidRDefault="003F48EA" w:rsidP="00594131">
            <w:pPr>
              <w:jc w:val="center"/>
              <w:rPr>
                <w:sz w:val="21"/>
                <w:szCs w:val="22"/>
              </w:rPr>
            </w:pPr>
            <w:r w:rsidRPr="00965467">
              <w:rPr>
                <w:sz w:val="21"/>
                <w:szCs w:val="22"/>
              </w:rPr>
              <w:t>2007</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Calton, Werhane, Hartman &amp; Bevan </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Journal of Business Ethics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Chatterjee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Organization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Chesbrourgh, Ahern, Finn &amp; Guerraz </w:t>
            </w:r>
          </w:p>
        </w:tc>
        <w:tc>
          <w:tcPr>
            <w:tcW w:w="681" w:type="dxa"/>
            <w:noWrap/>
            <w:hideMark/>
          </w:tcPr>
          <w:p w:rsidR="003F48EA" w:rsidRPr="00965467" w:rsidRDefault="003F48EA" w:rsidP="00594131">
            <w:pPr>
              <w:jc w:val="center"/>
              <w:rPr>
                <w:sz w:val="21"/>
                <w:szCs w:val="22"/>
              </w:rPr>
            </w:pPr>
            <w:r w:rsidRPr="00965467">
              <w:rPr>
                <w:sz w:val="21"/>
                <w:szCs w:val="22"/>
              </w:rPr>
              <w:t>2006</w:t>
            </w:r>
          </w:p>
        </w:tc>
        <w:tc>
          <w:tcPr>
            <w:tcW w:w="3572" w:type="dxa"/>
            <w:noWrap/>
            <w:hideMark/>
          </w:tcPr>
          <w:p w:rsidR="003F48EA" w:rsidRPr="00965467" w:rsidRDefault="003F48EA" w:rsidP="00594131">
            <w:pPr>
              <w:jc w:val="left"/>
              <w:rPr>
                <w:sz w:val="21"/>
                <w:szCs w:val="22"/>
              </w:rPr>
            </w:pPr>
            <w:r w:rsidRPr="00965467">
              <w:rPr>
                <w:sz w:val="21"/>
                <w:szCs w:val="22"/>
              </w:rPr>
              <w:t>California Management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Christensen &amp; Baumann </w:t>
            </w:r>
          </w:p>
        </w:tc>
        <w:tc>
          <w:tcPr>
            <w:tcW w:w="681" w:type="dxa"/>
            <w:noWrap/>
            <w:hideMark/>
          </w:tcPr>
          <w:p w:rsidR="003F48EA" w:rsidRPr="00965467" w:rsidRDefault="003F48EA" w:rsidP="00594131">
            <w:pPr>
              <w:jc w:val="center"/>
              <w:rPr>
                <w:sz w:val="21"/>
                <w:szCs w:val="22"/>
              </w:rPr>
            </w:pPr>
            <w:r w:rsidRPr="00965467">
              <w:rPr>
                <w:sz w:val="21"/>
                <w:szCs w:val="22"/>
              </w:rPr>
              <w:t>2006</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Christensen, Parsons &amp; Fairbourne </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Journal of Business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Christensen, Siemsen &amp; Balasubramanian</w:t>
            </w:r>
          </w:p>
        </w:tc>
        <w:tc>
          <w:tcPr>
            <w:tcW w:w="681" w:type="dxa"/>
            <w:noWrap/>
            <w:hideMark/>
          </w:tcPr>
          <w:p w:rsidR="003F48EA" w:rsidRPr="00965467" w:rsidRDefault="003F48EA" w:rsidP="00594131">
            <w:pPr>
              <w:jc w:val="center"/>
              <w:rPr>
                <w:sz w:val="21"/>
                <w:szCs w:val="22"/>
              </w:rPr>
            </w:pPr>
            <w:r w:rsidRPr="00965467">
              <w:rPr>
                <w:sz w:val="21"/>
                <w:szCs w:val="22"/>
              </w:rPr>
              <w:t>2015</w:t>
            </w:r>
          </w:p>
        </w:tc>
        <w:tc>
          <w:tcPr>
            <w:tcW w:w="3572" w:type="dxa"/>
            <w:noWrap/>
            <w:hideMark/>
          </w:tcPr>
          <w:p w:rsidR="003F48EA" w:rsidRPr="00965467" w:rsidRDefault="003F48EA" w:rsidP="00594131">
            <w:pPr>
              <w:jc w:val="left"/>
              <w:rPr>
                <w:sz w:val="21"/>
                <w:szCs w:val="22"/>
              </w:rPr>
            </w:pPr>
            <w:r w:rsidRPr="00965467">
              <w:rPr>
                <w:sz w:val="21"/>
                <w:szCs w:val="22"/>
              </w:rPr>
              <w:t>Strategic Management Journal</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Dembek, Singh &amp; Bhakoo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Journal of Business Ethics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Dey, Binsardi, Prendergast &amp; Saren </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International Marketing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Duke</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Organization &amp; Environment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Esposito, Kapoor, &amp; Goyal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Corporate Governance</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Foster &amp; Heeks</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Journal of Information Technology</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Garrette &amp; Karnani </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California Management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Gebauer &amp; Reynoso</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Journal of Service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Gebauer, Saul &amp; Haldimann</w:t>
            </w:r>
          </w:p>
        </w:tc>
        <w:tc>
          <w:tcPr>
            <w:tcW w:w="681" w:type="dxa"/>
            <w:noWrap/>
            <w:hideMark/>
          </w:tcPr>
          <w:p w:rsidR="003F48EA" w:rsidRPr="00965467" w:rsidRDefault="003F48EA" w:rsidP="00594131">
            <w:pPr>
              <w:jc w:val="center"/>
              <w:rPr>
                <w:sz w:val="21"/>
                <w:szCs w:val="22"/>
              </w:rPr>
            </w:pPr>
            <w:r w:rsidRPr="00965467">
              <w:rPr>
                <w:sz w:val="21"/>
                <w:szCs w:val="22"/>
              </w:rPr>
              <w:t>2017</w:t>
            </w:r>
          </w:p>
        </w:tc>
        <w:tc>
          <w:tcPr>
            <w:tcW w:w="3572" w:type="dxa"/>
            <w:noWrap/>
            <w:hideMark/>
          </w:tcPr>
          <w:p w:rsidR="003F48EA" w:rsidRPr="00965467" w:rsidRDefault="003F48EA" w:rsidP="00594131">
            <w:pPr>
              <w:jc w:val="left"/>
              <w:rPr>
                <w:sz w:val="21"/>
                <w:szCs w:val="22"/>
              </w:rPr>
            </w:pPr>
            <w:r w:rsidRPr="00965467">
              <w:rPr>
                <w:sz w:val="21"/>
                <w:szCs w:val="22"/>
              </w:rPr>
              <w:t>Journal of Business Strategy</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George, McGahan &amp; Prabhu </w:t>
            </w:r>
          </w:p>
        </w:tc>
        <w:tc>
          <w:tcPr>
            <w:tcW w:w="681" w:type="dxa"/>
            <w:noWrap/>
            <w:hideMark/>
          </w:tcPr>
          <w:p w:rsidR="003F48EA" w:rsidRPr="00965467" w:rsidRDefault="003F48EA" w:rsidP="00594131">
            <w:pPr>
              <w:jc w:val="center"/>
              <w:rPr>
                <w:sz w:val="21"/>
                <w:szCs w:val="22"/>
              </w:rPr>
            </w:pPr>
            <w:r w:rsidRPr="00965467">
              <w:rPr>
                <w:sz w:val="21"/>
                <w:szCs w:val="22"/>
              </w:rPr>
              <w:t>2015</w:t>
            </w:r>
          </w:p>
        </w:tc>
        <w:tc>
          <w:tcPr>
            <w:tcW w:w="3572" w:type="dxa"/>
            <w:noWrap/>
            <w:hideMark/>
          </w:tcPr>
          <w:p w:rsidR="003F48EA" w:rsidRPr="00965467" w:rsidRDefault="003F48EA" w:rsidP="00594131">
            <w:pPr>
              <w:jc w:val="left"/>
              <w:rPr>
                <w:sz w:val="21"/>
                <w:szCs w:val="22"/>
              </w:rPr>
            </w:pPr>
            <w:r w:rsidRPr="00965467">
              <w:rPr>
                <w:sz w:val="21"/>
                <w:szCs w:val="22"/>
              </w:rPr>
              <w:t>Asia Pacific Journal of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George, Rao-Nicholson, Corbishley &amp; Bansal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Journal of Management Studies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Gollakota, Gupta &amp; Bork</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Thunderbird International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Govindarajan &amp; Ramamurti</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Goyal, Esposito, Kapoor, Jaiswal &amp; Sergi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International Journal of Business and Globalisation</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Goyal, Sergi &amp; Jaiswal</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Management Decision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Goyal, Sergi &amp; Jaiswal </w:t>
            </w:r>
          </w:p>
        </w:tc>
        <w:tc>
          <w:tcPr>
            <w:tcW w:w="681" w:type="dxa"/>
            <w:noWrap/>
            <w:hideMark/>
          </w:tcPr>
          <w:p w:rsidR="003F48EA" w:rsidRPr="00965467" w:rsidRDefault="003F48EA" w:rsidP="00594131">
            <w:pPr>
              <w:jc w:val="center"/>
              <w:rPr>
                <w:sz w:val="21"/>
                <w:szCs w:val="22"/>
              </w:rPr>
            </w:pPr>
            <w:r w:rsidRPr="00965467">
              <w:rPr>
                <w:sz w:val="21"/>
                <w:szCs w:val="22"/>
              </w:rPr>
              <w:t>2015</w:t>
            </w:r>
          </w:p>
        </w:tc>
        <w:tc>
          <w:tcPr>
            <w:tcW w:w="3572" w:type="dxa"/>
            <w:noWrap/>
            <w:hideMark/>
          </w:tcPr>
          <w:p w:rsidR="003F48EA" w:rsidRPr="00965467" w:rsidRDefault="003F48EA" w:rsidP="00594131">
            <w:pPr>
              <w:jc w:val="left"/>
              <w:rPr>
                <w:sz w:val="21"/>
                <w:szCs w:val="22"/>
              </w:rPr>
            </w:pPr>
            <w:r w:rsidRPr="00965467">
              <w:rPr>
                <w:sz w:val="21"/>
                <w:szCs w:val="22"/>
              </w:rPr>
              <w:t>European Journal of Development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Gradl, Krämer &amp; Amadigi</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Greener Management International</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Haanaes, Michael &amp; Jurgens </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Hahn</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Business Ethics: A European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Halme, Lindeman &amp; Linna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Journal of Management Studies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Hart &amp; London</w:t>
            </w:r>
          </w:p>
        </w:tc>
        <w:tc>
          <w:tcPr>
            <w:tcW w:w="681" w:type="dxa"/>
            <w:noWrap/>
            <w:hideMark/>
          </w:tcPr>
          <w:p w:rsidR="003F48EA" w:rsidRPr="00965467" w:rsidRDefault="003F48EA" w:rsidP="00594131">
            <w:pPr>
              <w:jc w:val="center"/>
              <w:rPr>
                <w:sz w:val="21"/>
                <w:szCs w:val="22"/>
              </w:rPr>
            </w:pPr>
            <w:r w:rsidRPr="00965467">
              <w:rPr>
                <w:sz w:val="21"/>
                <w:szCs w:val="22"/>
              </w:rPr>
              <w:t>2005</w:t>
            </w:r>
          </w:p>
        </w:tc>
        <w:tc>
          <w:tcPr>
            <w:tcW w:w="3572" w:type="dxa"/>
            <w:noWrap/>
            <w:hideMark/>
          </w:tcPr>
          <w:p w:rsidR="003F48EA" w:rsidRPr="00965467" w:rsidRDefault="003F48EA" w:rsidP="00594131">
            <w:pPr>
              <w:jc w:val="left"/>
              <w:rPr>
                <w:sz w:val="21"/>
                <w:szCs w:val="22"/>
              </w:rPr>
            </w:pPr>
            <w:r w:rsidRPr="00965467">
              <w:rPr>
                <w:sz w:val="21"/>
                <w:szCs w:val="22"/>
              </w:rPr>
              <w:t>Stanford Social Innovation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Hart, Sharma &amp; Halme</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 xml:space="preserve">Organization &amp; Environment </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Ireland</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Journal of Consumer Marketing</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Jackson &amp; Young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Industrial Marketing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Johnson</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Global Business and Organizational Excellence</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Karamchandani &amp; Kubzansky</w:t>
            </w:r>
          </w:p>
        </w:tc>
        <w:tc>
          <w:tcPr>
            <w:tcW w:w="681" w:type="dxa"/>
            <w:noWrap/>
            <w:hideMark/>
          </w:tcPr>
          <w:p w:rsidR="003F48EA" w:rsidRPr="00965467" w:rsidRDefault="003F48EA" w:rsidP="00594131">
            <w:pPr>
              <w:jc w:val="center"/>
              <w:rPr>
                <w:sz w:val="21"/>
                <w:szCs w:val="22"/>
              </w:rPr>
            </w:pPr>
            <w:r w:rsidRPr="00965467">
              <w:rPr>
                <w:sz w:val="21"/>
                <w:szCs w:val="22"/>
              </w:rPr>
              <w:t>2011</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Karnani</w:t>
            </w:r>
          </w:p>
        </w:tc>
        <w:tc>
          <w:tcPr>
            <w:tcW w:w="681" w:type="dxa"/>
            <w:noWrap/>
            <w:hideMark/>
          </w:tcPr>
          <w:p w:rsidR="003F48EA" w:rsidRPr="00965467" w:rsidRDefault="003F48EA" w:rsidP="00594131">
            <w:pPr>
              <w:jc w:val="center"/>
              <w:rPr>
                <w:sz w:val="21"/>
                <w:szCs w:val="22"/>
              </w:rPr>
            </w:pPr>
            <w:r w:rsidRPr="00965467">
              <w:rPr>
                <w:sz w:val="21"/>
                <w:szCs w:val="22"/>
              </w:rPr>
              <w:t>2007</w:t>
            </w:r>
          </w:p>
        </w:tc>
        <w:tc>
          <w:tcPr>
            <w:tcW w:w="3572" w:type="dxa"/>
            <w:noWrap/>
            <w:hideMark/>
          </w:tcPr>
          <w:p w:rsidR="003F48EA" w:rsidRPr="00965467" w:rsidRDefault="003F48EA" w:rsidP="00594131">
            <w:pPr>
              <w:jc w:val="left"/>
              <w:rPr>
                <w:sz w:val="21"/>
                <w:szCs w:val="22"/>
              </w:rPr>
            </w:pPr>
            <w:r w:rsidRPr="00965467">
              <w:rPr>
                <w:sz w:val="21"/>
                <w:szCs w:val="22"/>
              </w:rPr>
              <w:t>California Management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Kistruck, Sutter, Lount &amp; Smith</w:t>
            </w:r>
          </w:p>
        </w:tc>
        <w:tc>
          <w:tcPr>
            <w:tcW w:w="681" w:type="dxa"/>
            <w:noWrap/>
            <w:hideMark/>
          </w:tcPr>
          <w:p w:rsidR="003F48EA" w:rsidRPr="00965467" w:rsidRDefault="003F48EA" w:rsidP="00594131">
            <w:pPr>
              <w:jc w:val="center"/>
              <w:rPr>
                <w:sz w:val="21"/>
                <w:szCs w:val="22"/>
              </w:rPr>
            </w:pPr>
            <w:r w:rsidRPr="00965467">
              <w:rPr>
                <w:sz w:val="21"/>
                <w:szCs w:val="22"/>
              </w:rPr>
              <w:t>2011</w:t>
            </w:r>
          </w:p>
        </w:tc>
        <w:tc>
          <w:tcPr>
            <w:tcW w:w="3572" w:type="dxa"/>
            <w:noWrap/>
            <w:hideMark/>
          </w:tcPr>
          <w:p w:rsidR="003F48EA" w:rsidRPr="00965467" w:rsidRDefault="003F48EA" w:rsidP="00594131">
            <w:pPr>
              <w:jc w:val="left"/>
              <w:rPr>
                <w:sz w:val="21"/>
                <w:szCs w:val="22"/>
              </w:rPr>
            </w:pPr>
            <w:r w:rsidRPr="00965467">
              <w:rPr>
                <w:sz w:val="21"/>
                <w:szCs w:val="22"/>
              </w:rPr>
              <w:t>Entrepreneurship Theory and Practice</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Kistruck, Webb, Sutter &amp; Ireland</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Academy of Management Journal</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lang w:val="nl-NL"/>
              </w:rPr>
            </w:pPr>
            <w:r w:rsidRPr="00965467">
              <w:rPr>
                <w:sz w:val="21"/>
                <w:szCs w:val="22"/>
                <w:lang w:val="nl-NL"/>
              </w:rPr>
              <w:t xml:space="preserve">Knorringa, Peša, Leliveld, &amp; van Beers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European Journal of Development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Kolk &amp; van den Buuse</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The International Journal of Business in Society</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Kolk, Rivera-Santos, &amp; Rufin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Business &amp; Society</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Ladd</w:t>
            </w:r>
          </w:p>
        </w:tc>
        <w:tc>
          <w:tcPr>
            <w:tcW w:w="681" w:type="dxa"/>
            <w:noWrap/>
            <w:hideMark/>
          </w:tcPr>
          <w:p w:rsidR="003F48EA" w:rsidRPr="00965467" w:rsidRDefault="003F48EA" w:rsidP="00594131">
            <w:pPr>
              <w:jc w:val="center"/>
              <w:rPr>
                <w:sz w:val="21"/>
                <w:szCs w:val="22"/>
              </w:rPr>
            </w:pPr>
            <w:r w:rsidRPr="00965467">
              <w:rPr>
                <w:sz w:val="21"/>
                <w:szCs w:val="22"/>
              </w:rPr>
              <w:t>2017</w:t>
            </w:r>
          </w:p>
        </w:tc>
        <w:tc>
          <w:tcPr>
            <w:tcW w:w="3572" w:type="dxa"/>
            <w:noWrap/>
            <w:hideMark/>
          </w:tcPr>
          <w:p w:rsidR="003F48EA" w:rsidRPr="00965467" w:rsidRDefault="003F48EA" w:rsidP="00594131">
            <w:pPr>
              <w:jc w:val="left"/>
              <w:rPr>
                <w:sz w:val="21"/>
                <w:szCs w:val="22"/>
              </w:rPr>
            </w:pPr>
            <w:r w:rsidRPr="00965467">
              <w:rPr>
                <w:sz w:val="21"/>
                <w:szCs w:val="22"/>
              </w:rPr>
              <w:t>The International Journal of Entrepreneurship and Innovation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Lashitew, Bals, &amp; van Tulder </w:t>
            </w:r>
          </w:p>
        </w:tc>
        <w:tc>
          <w:tcPr>
            <w:tcW w:w="681" w:type="dxa"/>
            <w:noWrap/>
            <w:hideMark/>
          </w:tcPr>
          <w:p w:rsidR="003F48EA" w:rsidRPr="00965467" w:rsidRDefault="003F48EA" w:rsidP="00594131">
            <w:pPr>
              <w:jc w:val="center"/>
              <w:rPr>
                <w:sz w:val="21"/>
                <w:szCs w:val="22"/>
              </w:rPr>
            </w:pPr>
            <w:r w:rsidRPr="00965467">
              <w:rPr>
                <w:sz w:val="21"/>
                <w:szCs w:val="22"/>
              </w:rPr>
              <w:t>2018</w:t>
            </w:r>
          </w:p>
        </w:tc>
        <w:tc>
          <w:tcPr>
            <w:tcW w:w="3572" w:type="dxa"/>
            <w:noWrap/>
            <w:hideMark/>
          </w:tcPr>
          <w:p w:rsidR="003F48EA" w:rsidRPr="00965467" w:rsidRDefault="003F48EA" w:rsidP="00594131">
            <w:pPr>
              <w:jc w:val="left"/>
              <w:rPr>
                <w:sz w:val="21"/>
                <w:szCs w:val="22"/>
              </w:rPr>
            </w:pPr>
            <w:r w:rsidRPr="00965467">
              <w:rPr>
                <w:sz w:val="21"/>
                <w:szCs w:val="22"/>
              </w:rPr>
              <w:t>Journal of Business Ethics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Lim, Han &amp; Ito</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Technovation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London &amp; Hart</w:t>
            </w:r>
          </w:p>
        </w:tc>
        <w:tc>
          <w:tcPr>
            <w:tcW w:w="681" w:type="dxa"/>
            <w:noWrap/>
            <w:hideMark/>
          </w:tcPr>
          <w:p w:rsidR="003F48EA" w:rsidRPr="00965467" w:rsidRDefault="003F48EA" w:rsidP="00594131">
            <w:pPr>
              <w:jc w:val="center"/>
              <w:rPr>
                <w:sz w:val="21"/>
                <w:szCs w:val="22"/>
              </w:rPr>
            </w:pPr>
            <w:r w:rsidRPr="00965467">
              <w:rPr>
                <w:sz w:val="21"/>
                <w:szCs w:val="22"/>
              </w:rPr>
              <w:t>2004</w:t>
            </w:r>
          </w:p>
        </w:tc>
        <w:tc>
          <w:tcPr>
            <w:tcW w:w="3572" w:type="dxa"/>
            <w:noWrap/>
            <w:hideMark/>
          </w:tcPr>
          <w:p w:rsidR="003F48EA" w:rsidRPr="00965467" w:rsidRDefault="003F48EA" w:rsidP="00594131">
            <w:pPr>
              <w:jc w:val="left"/>
              <w:rPr>
                <w:sz w:val="21"/>
                <w:szCs w:val="22"/>
              </w:rPr>
            </w:pPr>
            <w:r w:rsidRPr="00965467">
              <w:rPr>
                <w:sz w:val="21"/>
                <w:szCs w:val="22"/>
              </w:rPr>
              <w:t>Journal of international business studies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London, Anupindi &amp; Sheth</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Journal of Business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London, Esper, Grogan-Kaylor &amp; Kistruck</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Strategic Entrepreneurship Journal</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Mair &amp; Marti </w:t>
            </w:r>
          </w:p>
        </w:tc>
        <w:tc>
          <w:tcPr>
            <w:tcW w:w="681" w:type="dxa"/>
            <w:noWrap/>
            <w:hideMark/>
          </w:tcPr>
          <w:p w:rsidR="003F48EA" w:rsidRPr="00965467" w:rsidRDefault="003F48EA" w:rsidP="00594131">
            <w:pPr>
              <w:jc w:val="center"/>
              <w:rPr>
                <w:sz w:val="21"/>
                <w:szCs w:val="22"/>
              </w:rPr>
            </w:pPr>
            <w:r w:rsidRPr="00965467">
              <w:rPr>
                <w:sz w:val="21"/>
                <w:szCs w:val="22"/>
              </w:rPr>
              <w:t>2009</w:t>
            </w:r>
          </w:p>
        </w:tc>
        <w:tc>
          <w:tcPr>
            <w:tcW w:w="3572" w:type="dxa"/>
            <w:noWrap/>
            <w:hideMark/>
          </w:tcPr>
          <w:p w:rsidR="003F48EA" w:rsidRPr="00965467" w:rsidRDefault="003F48EA" w:rsidP="00594131">
            <w:pPr>
              <w:jc w:val="left"/>
              <w:rPr>
                <w:sz w:val="21"/>
                <w:szCs w:val="22"/>
              </w:rPr>
            </w:pPr>
            <w:r w:rsidRPr="00965467">
              <w:rPr>
                <w:sz w:val="21"/>
                <w:szCs w:val="22"/>
              </w:rPr>
              <w:t>Journal of business venturing</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Mair, Martí &amp; Ventresca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Academy of Management Journal</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Mason &amp; Chakrabarti </w:t>
            </w:r>
          </w:p>
        </w:tc>
        <w:tc>
          <w:tcPr>
            <w:tcW w:w="681" w:type="dxa"/>
            <w:noWrap/>
            <w:hideMark/>
          </w:tcPr>
          <w:p w:rsidR="003F48EA" w:rsidRPr="00965467" w:rsidRDefault="003F48EA" w:rsidP="00594131">
            <w:pPr>
              <w:jc w:val="center"/>
              <w:rPr>
                <w:sz w:val="21"/>
                <w:szCs w:val="22"/>
              </w:rPr>
            </w:pPr>
            <w:r w:rsidRPr="00965467">
              <w:rPr>
                <w:sz w:val="21"/>
                <w:szCs w:val="22"/>
              </w:rPr>
              <w:t>2017</w:t>
            </w:r>
          </w:p>
        </w:tc>
        <w:tc>
          <w:tcPr>
            <w:tcW w:w="3572" w:type="dxa"/>
            <w:noWrap/>
            <w:hideMark/>
          </w:tcPr>
          <w:p w:rsidR="003F48EA" w:rsidRPr="00965467" w:rsidRDefault="003F48EA" w:rsidP="00594131">
            <w:pPr>
              <w:jc w:val="left"/>
              <w:rPr>
                <w:sz w:val="21"/>
                <w:szCs w:val="22"/>
              </w:rPr>
            </w:pPr>
            <w:r w:rsidRPr="00965467">
              <w:rPr>
                <w:sz w:val="21"/>
                <w:szCs w:val="22"/>
              </w:rPr>
              <w:t>Industrial Marketing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Matos &amp; Silvestre </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Journal of Cleaner Production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Nahi</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Organization &amp; Environment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Nakata, &amp; Viswanathan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Journal of Business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Nielsen &amp; Samia </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Journal of Consumer Marketing</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Olsen &amp; Boxenbaum </w:t>
            </w:r>
          </w:p>
        </w:tc>
        <w:tc>
          <w:tcPr>
            <w:tcW w:w="681" w:type="dxa"/>
            <w:noWrap/>
            <w:hideMark/>
          </w:tcPr>
          <w:p w:rsidR="003F48EA" w:rsidRPr="00965467" w:rsidRDefault="003F48EA" w:rsidP="00594131">
            <w:pPr>
              <w:jc w:val="center"/>
              <w:rPr>
                <w:sz w:val="21"/>
                <w:szCs w:val="22"/>
              </w:rPr>
            </w:pPr>
            <w:r w:rsidRPr="00965467">
              <w:rPr>
                <w:sz w:val="21"/>
                <w:szCs w:val="22"/>
              </w:rPr>
              <w:t>2009</w:t>
            </w:r>
          </w:p>
        </w:tc>
        <w:tc>
          <w:tcPr>
            <w:tcW w:w="3572" w:type="dxa"/>
            <w:noWrap/>
            <w:hideMark/>
          </w:tcPr>
          <w:p w:rsidR="003F48EA" w:rsidRPr="00965467" w:rsidRDefault="003F48EA" w:rsidP="00594131">
            <w:pPr>
              <w:jc w:val="left"/>
              <w:rPr>
                <w:sz w:val="21"/>
                <w:szCs w:val="22"/>
              </w:rPr>
            </w:pPr>
            <w:r w:rsidRPr="00965467">
              <w:rPr>
                <w:sz w:val="21"/>
                <w:szCs w:val="22"/>
              </w:rPr>
              <w:t>California Management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lang w:val="de-DE"/>
              </w:rPr>
            </w:pPr>
            <w:r w:rsidRPr="00965467">
              <w:rPr>
                <w:sz w:val="21"/>
                <w:szCs w:val="22"/>
                <w:lang w:val="de-DE"/>
              </w:rPr>
              <w:t xml:space="preserve">Panapanaan, Bruce, Virkki-Hatakka &amp; Linnanen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Business Strategy and the Environment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Payaud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Global Business &amp; Organizational Excellence</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Perez-Aleman &amp; Sandilands </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California Management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Pfitzer, Bockstette &amp; Stamp </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Pitta, Guesalaga &amp; Marshall </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The Journal of Consumer Marketing</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Porter &amp; Kramer </w:t>
            </w:r>
          </w:p>
        </w:tc>
        <w:tc>
          <w:tcPr>
            <w:tcW w:w="681" w:type="dxa"/>
            <w:noWrap/>
            <w:hideMark/>
          </w:tcPr>
          <w:p w:rsidR="003F48EA" w:rsidRPr="00965467" w:rsidRDefault="003F48EA" w:rsidP="00594131">
            <w:pPr>
              <w:jc w:val="center"/>
              <w:rPr>
                <w:sz w:val="21"/>
                <w:szCs w:val="22"/>
              </w:rPr>
            </w:pPr>
            <w:r w:rsidRPr="00965467">
              <w:rPr>
                <w:sz w:val="21"/>
                <w:szCs w:val="22"/>
              </w:rPr>
              <w:t>2011</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Prado, Calderon &amp; Zúñiga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Journal of Business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Prahalad </w:t>
            </w:r>
          </w:p>
        </w:tc>
        <w:tc>
          <w:tcPr>
            <w:tcW w:w="681" w:type="dxa"/>
            <w:noWrap/>
            <w:hideMark/>
          </w:tcPr>
          <w:p w:rsidR="003F48EA" w:rsidRPr="00965467" w:rsidRDefault="003F48EA" w:rsidP="00594131">
            <w:pPr>
              <w:jc w:val="center"/>
              <w:rPr>
                <w:sz w:val="21"/>
                <w:szCs w:val="22"/>
              </w:rPr>
            </w:pPr>
            <w:r w:rsidRPr="00965467">
              <w:rPr>
                <w:sz w:val="21"/>
                <w:szCs w:val="22"/>
              </w:rPr>
              <w:t>2004</w:t>
            </w:r>
          </w:p>
        </w:tc>
        <w:tc>
          <w:tcPr>
            <w:tcW w:w="3572" w:type="dxa"/>
            <w:noWrap/>
            <w:hideMark/>
          </w:tcPr>
          <w:p w:rsidR="003F48EA" w:rsidRPr="00965467" w:rsidRDefault="003F48EA" w:rsidP="00594131">
            <w:pPr>
              <w:jc w:val="left"/>
              <w:rPr>
                <w:sz w:val="21"/>
                <w:szCs w:val="22"/>
              </w:rPr>
            </w:pPr>
            <w:r w:rsidRPr="00965467">
              <w:rPr>
                <w:sz w:val="21"/>
                <w:szCs w:val="22"/>
              </w:rPr>
              <w:t>Book (Wharton School Publishing)</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Prahalad &amp; Hammond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Journal of Product Innovation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Prahlad </w:t>
            </w:r>
          </w:p>
        </w:tc>
        <w:tc>
          <w:tcPr>
            <w:tcW w:w="681" w:type="dxa"/>
            <w:noWrap/>
            <w:hideMark/>
          </w:tcPr>
          <w:p w:rsidR="003F48EA" w:rsidRPr="00965467" w:rsidRDefault="003F48EA" w:rsidP="00594131">
            <w:pPr>
              <w:jc w:val="center"/>
              <w:rPr>
                <w:sz w:val="21"/>
                <w:szCs w:val="22"/>
              </w:rPr>
            </w:pPr>
            <w:r w:rsidRPr="00965467">
              <w:rPr>
                <w:sz w:val="21"/>
                <w:szCs w:val="22"/>
              </w:rPr>
              <w:t>2002</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Rahman, Amran, Ahmad &amp; Taghizadeh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Global Business &amp; Organizational Excellence</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Rahman, Amran, Ahmad &amp; Taghizadeh </w:t>
            </w:r>
          </w:p>
        </w:tc>
        <w:tc>
          <w:tcPr>
            <w:tcW w:w="681" w:type="dxa"/>
            <w:noWrap/>
            <w:hideMark/>
          </w:tcPr>
          <w:p w:rsidR="003F48EA" w:rsidRPr="00965467" w:rsidRDefault="003F48EA" w:rsidP="00594131">
            <w:pPr>
              <w:jc w:val="center"/>
              <w:rPr>
                <w:sz w:val="21"/>
                <w:szCs w:val="22"/>
              </w:rPr>
            </w:pPr>
            <w:r w:rsidRPr="00965467">
              <w:rPr>
                <w:sz w:val="21"/>
                <w:szCs w:val="22"/>
              </w:rPr>
              <w:t>2015</w:t>
            </w:r>
          </w:p>
        </w:tc>
        <w:tc>
          <w:tcPr>
            <w:tcW w:w="3572" w:type="dxa"/>
            <w:noWrap/>
            <w:hideMark/>
          </w:tcPr>
          <w:p w:rsidR="003F48EA" w:rsidRPr="00965467" w:rsidRDefault="003F48EA" w:rsidP="00594131">
            <w:pPr>
              <w:jc w:val="left"/>
              <w:rPr>
                <w:sz w:val="21"/>
                <w:szCs w:val="22"/>
              </w:rPr>
            </w:pPr>
            <w:r w:rsidRPr="00965467">
              <w:rPr>
                <w:sz w:val="21"/>
                <w:szCs w:val="22"/>
              </w:rPr>
              <w:t>Management Decision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Rahman, Hasan &amp; Floyd </w:t>
            </w:r>
          </w:p>
        </w:tc>
        <w:tc>
          <w:tcPr>
            <w:tcW w:w="681" w:type="dxa"/>
            <w:noWrap/>
            <w:hideMark/>
          </w:tcPr>
          <w:p w:rsidR="003F48EA" w:rsidRPr="00965467" w:rsidRDefault="003F48EA" w:rsidP="00594131">
            <w:pPr>
              <w:jc w:val="center"/>
              <w:rPr>
                <w:sz w:val="21"/>
                <w:szCs w:val="22"/>
              </w:rPr>
            </w:pPr>
            <w:r w:rsidRPr="00965467">
              <w:rPr>
                <w:sz w:val="21"/>
                <w:szCs w:val="22"/>
              </w:rPr>
              <w:t>2013</w:t>
            </w:r>
          </w:p>
        </w:tc>
        <w:tc>
          <w:tcPr>
            <w:tcW w:w="3572" w:type="dxa"/>
            <w:noWrap/>
            <w:hideMark/>
          </w:tcPr>
          <w:p w:rsidR="003F48EA" w:rsidRPr="00965467" w:rsidRDefault="003F48EA" w:rsidP="00594131">
            <w:pPr>
              <w:jc w:val="left"/>
              <w:rPr>
                <w:sz w:val="21"/>
                <w:szCs w:val="22"/>
              </w:rPr>
            </w:pPr>
            <w:r w:rsidRPr="00965467">
              <w:rPr>
                <w:sz w:val="21"/>
                <w:szCs w:val="22"/>
              </w:rPr>
              <w:t>Strategic Change</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Ramani &amp; Mukherjee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Technovation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Rashid &amp; Rahman </w:t>
            </w:r>
          </w:p>
        </w:tc>
        <w:tc>
          <w:tcPr>
            <w:tcW w:w="681" w:type="dxa"/>
            <w:noWrap/>
            <w:hideMark/>
          </w:tcPr>
          <w:p w:rsidR="003F48EA" w:rsidRPr="00965467" w:rsidRDefault="003F48EA" w:rsidP="00594131">
            <w:pPr>
              <w:jc w:val="center"/>
              <w:rPr>
                <w:sz w:val="21"/>
                <w:szCs w:val="22"/>
              </w:rPr>
            </w:pPr>
            <w:r w:rsidRPr="00965467">
              <w:rPr>
                <w:sz w:val="21"/>
                <w:szCs w:val="22"/>
              </w:rPr>
              <w:t>2009</w:t>
            </w:r>
          </w:p>
        </w:tc>
        <w:tc>
          <w:tcPr>
            <w:tcW w:w="3572" w:type="dxa"/>
            <w:noWrap/>
            <w:hideMark/>
          </w:tcPr>
          <w:p w:rsidR="003F48EA" w:rsidRPr="00965467" w:rsidRDefault="003F48EA" w:rsidP="00594131">
            <w:pPr>
              <w:jc w:val="left"/>
              <w:rPr>
                <w:sz w:val="21"/>
                <w:szCs w:val="22"/>
              </w:rPr>
            </w:pPr>
            <w:r w:rsidRPr="00965467">
              <w:rPr>
                <w:sz w:val="21"/>
                <w:szCs w:val="22"/>
              </w:rPr>
              <w:t>Journal of Marketing Management</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Reficco &amp; Gutiérrez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Organization &amp; Environment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Reficco &amp; Marquez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Business &amp; Society</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Reynoso, Kandampully, Fan &amp; Paulose</w:t>
            </w:r>
          </w:p>
        </w:tc>
        <w:tc>
          <w:tcPr>
            <w:tcW w:w="681" w:type="dxa"/>
            <w:noWrap/>
            <w:hideMark/>
          </w:tcPr>
          <w:p w:rsidR="003F48EA" w:rsidRPr="00965467" w:rsidRDefault="003F48EA" w:rsidP="00594131">
            <w:pPr>
              <w:jc w:val="center"/>
              <w:rPr>
                <w:sz w:val="21"/>
                <w:szCs w:val="22"/>
              </w:rPr>
            </w:pPr>
            <w:r w:rsidRPr="00965467">
              <w:rPr>
                <w:sz w:val="21"/>
                <w:szCs w:val="22"/>
              </w:rPr>
              <w:t>2015</w:t>
            </w:r>
          </w:p>
        </w:tc>
        <w:tc>
          <w:tcPr>
            <w:tcW w:w="3572" w:type="dxa"/>
            <w:noWrap/>
            <w:hideMark/>
          </w:tcPr>
          <w:p w:rsidR="003F48EA" w:rsidRPr="00965467" w:rsidRDefault="003F48EA" w:rsidP="00594131">
            <w:pPr>
              <w:jc w:val="left"/>
              <w:rPr>
                <w:sz w:val="21"/>
                <w:szCs w:val="22"/>
              </w:rPr>
            </w:pPr>
            <w:r w:rsidRPr="00965467">
              <w:rPr>
                <w:sz w:val="21"/>
                <w:szCs w:val="22"/>
              </w:rPr>
              <w:t>Journal of Service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Rivera-Santos &amp; Rufín</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International Business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Rosca, Arnold &amp; Bendul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Journal of Cleaner Production</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Sánchez &amp; Ricart </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European Management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Schrader, Freimann &amp; Seuring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Business Strategy and the Environment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Schuster &amp; Holtbrügge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Business Strategy and the Environment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Schuster &amp; Holtbrügge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Journal of Product Innovation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Seelos &amp; Mair </w:t>
            </w:r>
          </w:p>
        </w:tc>
        <w:tc>
          <w:tcPr>
            <w:tcW w:w="681" w:type="dxa"/>
            <w:noWrap/>
            <w:hideMark/>
          </w:tcPr>
          <w:p w:rsidR="003F48EA" w:rsidRPr="00965467" w:rsidRDefault="003F48EA" w:rsidP="00594131">
            <w:pPr>
              <w:jc w:val="center"/>
              <w:rPr>
                <w:sz w:val="21"/>
                <w:szCs w:val="22"/>
              </w:rPr>
            </w:pPr>
            <w:r w:rsidRPr="00965467">
              <w:rPr>
                <w:sz w:val="21"/>
                <w:szCs w:val="22"/>
              </w:rPr>
              <w:t>2005</w:t>
            </w:r>
          </w:p>
        </w:tc>
        <w:tc>
          <w:tcPr>
            <w:tcW w:w="3572" w:type="dxa"/>
            <w:noWrap/>
            <w:hideMark/>
          </w:tcPr>
          <w:p w:rsidR="003F48EA" w:rsidRPr="00965467" w:rsidRDefault="003F48EA" w:rsidP="00594131">
            <w:pPr>
              <w:jc w:val="left"/>
              <w:rPr>
                <w:sz w:val="21"/>
                <w:szCs w:val="22"/>
              </w:rPr>
            </w:pPr>
            <w:r w:rsidRPr="00965467">
              <w:rPr>
                <w:sz w:val="21"/>
                <w:szCs w:val="22"/>
              </w:rPr>
              <w:t>Business Horizons</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Seelos &amp; Mair </w:t>
            </w:r>
          </w:p>
        </w:tc>
        <w:tc>
          <w:tcPr>
            <w:tcW w:w="681" w:type="dxa"/>
            <w:noWrap/>
            <w:hideMark/>
          </w:tcPr>
          <w:p w:rsidR="003F48EA" w:rsidRPr="00965467" w:rsidRDefault="003F48EA" w:rsidP="00594131">
            <w:pPr>
              <w:jc w:val="center"/>
              <w:rPr>
                <w:sz w:val="21"/>
                <w:szCs w:val="22"/>
              </w:rPr>
            </w:pPr>
            <w:r w:rsidRPr="00965467">
              <w:rPr>
                <w:sz w:val="21"/>
                <w:szCs w:val="22"/>
              </w:rPr>
              <w:t>2007</w:t>
            </w:r>
          </w:p>
        </w:tc>
        <w:tc>
          <w:tcPr>
            <w:tcW w:w="3572" w:type="dxa"/>
            <w:noWrap/>
            <w:hideMark/>
          </w:tcPr>
          <w:p w:rsidR="003F48EA" w:rsidRPr="00965467" w:rsidRDefault="003F48EA" w:rsidP="00594131">
            <w:pPr>
              <w:jc w:val="left"/>
              <w:rPr>
                <w:sz w:val="21"/>
                <w:szCs w:val="22"/>
              </w:rPr>
            </w:pPr>
            <w:r w:rsidRPr="00965467">
              <w:rPr>
                <w:sz w:val="21"/>
                <w:szCs w:val="22"/>
              </w:rPr>
              <w:t>Academy of Managament Perspectives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Simanis &amp; Duke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Harvard Business Review</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Sinkovics, Sinkovics &amp; Yamin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International Business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Sridharan &amp; Viswanathan </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Journal of Consumer Marketing</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Stephan, Patterson, Kelly &amp; Mair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Journal of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Tasavori, Ghauri &amp; Zaefarian </w:t>
            </w:r>
          </w:p>
        </w:tc>
        <w:tc>
          <w:tcPr>
            <w:tcW w:w="681" w:type="dxa"/>
            <w:noWrap/>
            <w:hideMark/>
          </w:tcPr>
          <w:p w:rsidR="003F48EA" w:rsidRPr="00965467" w:rsidRDefault="003F48EA" w:rsidP="00594131">
            <w:pPr>
              <w:jc w:val="center"/>
              <w:rPr>
                <w:sz w:val="21"/>
                <w:szCs w:val="22"/>
              </w:rPr>
            </w:pPr>
            <w:r w:rsidRPr="00965467">
              <w:rPr>
                <w:sz w:val="21"/>
                <w:szCs w:val="22"/>
              </w:rPr>
              <w:t>2016</w:t>
            </w:r>
          </w:p>
        </w:tc>
        <w:tc>
          <w:tcPr>
            <w:tcW w:w="3572" w:type="dxa"/>
            <w:noWrap/>
            <w:hideMark/>
          </w:tcPr>
          <w:p w:rsidR="003F48EA" w:rsidRPr="00965467" w:rsidRDefault="003F48EA" w:rsidP="00594131">
            <w:pPr>
              <w:jc w:val="left"/>
              <w:rPr>
                <w:sz w:val="21"/>
                <w:szCs w:val="22"/>
              </w:rPr>
            </w:pPr>
            <w:r w:rsidRPr="00965467">
              <w:rPr>
                <w:sz w:val="21"/>
                <w:szCs w:val="22"/>
              </w:rPr>
              <w:t>International Marketing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Tasavori, Zaefarian &amp; Ghauri </w:t>
            </w:r>
          </w:p>
        </w:tc>
        <w:tc>
          <w:tcPr>
            <w:tcW w:w="681" w:type="dxa"/>
            <w:noWrap/>
            <w:hideMark/>
          </w:tcPr>
          <w:p w:rsidR="003F48EA" w:rsidRPr="00965467" w:rsidRDefault="003F48EA" w:rsidP="00594131">
            <w:pPr>
              <w:jc w:val="center"/>
              <w:rPr>
                <w:sz w:val="21"/>
                <w:szCs w:val="22"/>
              </w:rPr>
            </w:pPr>
            <w:r w:rsidRPr="00965467">
              <w:rPr>
                <w:sz w:val="21"/>
                <w:szCs w:val="22"/>
              </w:rPr>
              <w:t>2014</w:t>
            </w:r>
          </w:p>
        </w:tc>
        <w:tc>
          <w:tcPr>
            <w:tcW w:w="3572" w:type="dxa"/>
            <w:noWrap/>
            <w:hideMark/>
          </w:tcPr>
          <w:p w:rsidR="003F48EA" w:rsidRPr="00965467" w:rsidRDefault="003F48EA" w:rsidP="00594131">
            <w:pPr>
              <w:jc w:val="left"/>
              <w:rPr>
                <w:sz w:val="21"/>
                <w:szCs w:val="22"/>
              </w:rPr>
            </w:pPr>
            <w:r w:rsidRPr="00965467">
              <w:rPr>
                <w:sz w:val="21"/>
                <w:szCs w:val="22"/>
              </w:rPr>
              <w:t>Entrepreneurship &amp; Regional Development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Tashman &amp; Marano </w:t>
            </w:r>
          </w:p>
        </w:tc>
        <w:tc>
          <w:tcPr>
            <w:tcW w:w="681" w:type="dxa"/>
            <w:noWrap/>
            <w:hideMark/>
          </w:tcPr>
          <w:p w:rsidR="003F48EA" w:rsidRPr="00965467" w:rsidRDefault="003F48EA" w:rsidP="00594131">
            <w:pPr>
              <w:jc w:val="center"/>
              <w:rPr>
                <w:sz w:val="21"/>
                <w:szCs w:val="22"/>
              </w:rPr>
            </w:pPr>
            <w:r w:rsidRPr="00965467">
              <w:rPr>
                <w:sz w:val="21"/>
                <w:szCs w:val="22"/>
              </w:rPr>
              <w:t>2009</w:t>
            </w:r>
          </w:p>
        </w:tc>
        <w:tc>
          <w:tcPr>
            <w:tcW w:w="3572" w:type="dxa"/>
            <w:noWrap/>
            <w:hideMark/>
          </w:tcPr>
          <w:p w:rsidR="003F48EA" w:rsidRPr="00965467" w:rsidRDefault="003F48EA" w:rsidP="00594131">
            <w:pPr>
              <w:jc w:val="left"/>
              <w:rPr>
                <w:sz w:val="21"/>
                <w:szCs w:val="22"/>
              </w:rPr>
            </w:pPr>
            <w:r w:rsidRPr="00965467">
              <w:rPr>
                <w:sz w:val="21"/>
                <w:szCs w:val="22"/>
              </w:rPr>
              <w:t>Journal of Business Ethics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Tate &amp; Bals </w:t>
            </w:r>
          </w:p>
        </w:tc>
        <w:tc>
          <w:tcPr>
            <w:tcW w:w="681" w:type="dxa"/>
            <w:noWrap/>
            <w:hideMark/>
          </w:tcPr>
          <w:p w:rsidR="003F48EA" w:rsidRPr="00965467" w:rsidRDefault="003F48EA" w:rsidP="00594131">
            <w:pPr>
              <w:jc w:val="center"/>
              <w:rPr>
                <w:sz w:val="21"/>
                <w:szCs w:val="22"/>
              </w:rPr>
            </w:pPr>
            <w:r w:rsidRPr="00965467">
              <w:rPr>
                <w:sz w:val="21"/>
                <w:szCs w:val="22"/>
              </w:rPr>
              <w:t>2018</w:t>
            </w:r>
          </w:p>
        </w:tc>
        <w:tc>
          <w:tcPr>
            <w:tcW w:w="3572" w:type="dxa"/>
            <w:noWrap/>
            <w:hideMark/>
          </w:tcPr>
          <w:p w:rsidR="003F48EA" w:rsidRPr="00965467" w:rsidRDefault="003F48EA" w:rsidP="00594131">
            <w:pPr>
              <w:jc w:val="left"/>
              <w:rPr>
                <w:sz w:val="21"/>
                <w:szCs w:val="22"/>
              </w:rPr>
            </w:pPr>
            <w:r w:rsidRPr="00965467">
              <w:rPr>
                <w:sz w:val="21"/>
                <w:szCs w:val="22"/>
              </w:rPr>
              <w:t>Journal of Business Ethics</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Thompson &amp; MacMillan </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Long Range Planning</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Trevinyo-Rodríguez &amp; Chamiec-Case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Journal of Small Business &amp; Entrepreneurship</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Vachani &amp; Smith </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California Management Review</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Van den Waeyenberg &amp; Hens</w:t>
            </w:r>
          </w:p>
        </w:tc>
        <w:tc>
          <w:tcPr>
            <w:tcW w:w="681" w:type="dxa"/>
            <w:noWrap/>
            <w:hideMark/>
          </w:tcPr>
          <w:p w:rsidR="003F48EA" w:rsidRPr="00965467" w:rsidRDefault="003F48EA" w:rsidP="00594131">
            <w:pPr>
              <w:jc w:val="center"/>
              <w:rPr>
                <w:sz w:val="21"/>
                <w:szCs w:val="22"/>
              </w:rPr>
            </w:pPr>
            <w:r w:rsidRPr="00965467">
              <w:rPr>
                <w:sz w:val="21"/>
                <w:szCs w:val="22"/>
              </w:rPr>
              <w:t>2008</w:t>
            </w:r>
          </w:p>
        </w:tc>
        <w:tc>
          <w:tcPr>
            <w:tcW w:w="3572" w:type="dxa"/>
            <w:noWrap/>
            <w:hideMark/>
          </w:tcPr>
          <w:p w:rsidR="003F48EA" w:rsidRPr="00965467" w:rsidRDefault="003F48EA" w:rsidP="00594131">
            <w:pPr>
              <w:jc w:val="left"/>
              <w:rPr>
                <w:sz w:val="21"/>
                <w:szCs w:val="22"/>
              </w:rPr>
            </w:pPr>
            <w:r w:rsidRPr="00965467">
              <w:rPr>
                <w:sz w:val="21"/>
                <w:szCs w:val="22"/>
              </w:rPr>
              <w:t>Journal of Consumer Marketing</w:t>
            </w:r>
          </w:p>
        </w:tc>
        <w:tc>
          <w:tcPr>
            <w:tcW w:w="1134" w:type="dxa"/>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Van den Waeyenberg &amp; Hens </w:t>
            </w:r>
          </w:p>
        </w:tc>
        <w:tc>
          <w:tcPr>
            <w:tcW w:w="681" w:type="dxa"/>
            <w:noWrap/>
            <w:hideMark/>
          </w:tcPr>
          <w:p w:rsidR="003F48EA" w:rsidRPr="00965467" w:rsidRDefault="003F48EA" w:rsidP="00594131">
            <w:pPr>
              <w:jc w:val="center"/>
              <w:rPr>
                <w:sz w:val="21"/>
                <w:szCs w:val="22"/>
              </w:rPr>
            </w:pPr>
            <w:r w:rsidRPr="00965467">
              <w:rPr>
                <w:sz w:val="21"/>
                <w:szCs w:val="22"/>
              </w:rPr>
              <w:t>2012</w:t>
            </w:r>
          </w:p>
        </w:tc>
        <w:tc>
          <w:tcPr>
            <w:tcW w:w="3572" w:type="dxa"/>
            <w:noWrap/>
            <w:hideMark/>
          </w:tcPr>
          <w:p w:rsidR="003F48EA" w:rsidRPr="00965467" w:rsidRDefault="003F48EA" w:rsidP="00594131">
            <w:pPr>
              <w:jc w:val="left"/>
              <w:rPr>
                <w:sz w:val="21"/>
                <w:szCs w:val="22"/>
              </w:rPr>
            </w:pPr>
            <w:r w:rsidRPr="00965467">
              <w:rPr>
                <w:sz w:val="21"/>
                <w:szCs w:val="22"/>
              </w:rPr>
              <w:t>Journal of Business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Viswanathan &amp; Rosa </w:t>
            </w:r>
          </w:p>
        </w:tc>
        <w:tc>
          <w:tcPr>
            <w:tcW w:w="681" w:type="dxa"/>
            <w:noWrap/>
            <w:hideMark/>
          </w:tcPr>
          <w:p w:rsidR="003F48EA" w:rsidRPr="00965467" w:rsidRDefault="003F48EA" w:rsidP="00594131">
            <w:pPr>
              <w:jc w:val="center"/>
              <w:rPr>
                <w:sz w:val="21"/>
                <w:szCs w:val="22"/>
              </w:rPr>
            </w:pPr>
            <w:r w:rsidRPr="00965467">
              <w:rPr>
                <w:sz w:val="21"/>
                <w:szCs w:val="22"/>
              </w:rPr>
              <w:t>2010</w:t>
            </w:r>
          </w:p>
        </w:tc>
        <w:tc>
          <w:tcPr>
            <w:tcW w:w="3572" w:type="dxa"/>
            <w:noWrap/>
            <w:hideMark/>
          </w:tcPr>
          <w:p w:rsidR="003F48EA" w:rsidRPr="00965467" w:rsidRDefault="003F48EA" w:rsidP="00594131">
            <w:pPr>
              <w:jc w:val="left"/>
              <w:rPr>
                <w:sz w:val="21"/>
                <w:szCs w:val="22"/>
              </w:rPr>
            </w:pPr>
            <w:r w:rsidRPr="00965467">
              <w:rPr>
                <w:sz w:val="21"/>
                <w:szCs w:val="22"/>
              </w:rPr>
              <w:t>Journal of Business Research</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 xml:space="preserve">Viswanathan, Yassine, &amp; Clarke </w:t>
            </w:r>
          </w:p>
        </w:tc>
        <w:tc>
          <w:tcPr>
            <w:tcW w:w="681" w:type="dxa"/>
            <w:noWrap/>
            <w:hideMark/>
          </w:tcPr>
          <w:p w:rsidR="003F48EA" w:rsidRPr="00965467" w:rsidRDefault="003F48EA" w:rsidP="00594131">
            <w:pPr>
              <w:jc w:val="center"/>
              <w:rPr>
                <w:sz w:val="21"/>
                <w:szCs w:val="22"/>
              </w:rPr>
            </w:pPr>
            <w:r w:rsidRPr="00965467">
              <w:rPr>
                <w:sz w:val="21"/>
                <w:szCs w:val="22"/>
              </w:rPr>
              <w:t>2011</w:t>
            </w:r>
          </w:p>
        </w:tc>
        <w:tc>
          <w:tcPr>
            <w:tcW w:w="3572" w:type="dxa"/>
            <w:noWrap/>
            <w:hideMark/>
          </w:tcPr>
          <w:p w:rsidR="003F48EA" w:rsidRPr="00965467" w:rsidRDefault="003F48EA" w:rsidP="00594131">
            <w:pPr>
              <w:jc w:val="left"/>
              <w:rPr>
                <w:sz w:val="21"/>
                <w:szCs w:val="22"/>
              </w:rPr>
            </w:pPr>
            <w:r w:rsidRPr="00965467">
              <w:rPr>
                <w:sz w:val="21"/>
                <w:szCs w:val="22"/>
              </w:rPr>
              <w:t>Journal of Product Innovation Management</w:t>
            </w:r>
          </w:p>
        </w:tc>
        <w:tc>
          <w:tcPr>
            <w:tcW w:w="1134" w:type="dxa"/>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tcBorders>
              <w:bottom w:val="nil"/>
            </w:tcBorders>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Weidner, Rosa &amp;Viswanathan</w:t>
            </w:r>
          </w:p>
        </w:tc>
        <w:tc>
          <w:tcPr>
            <w:tcW w:w="681" w:type="dxa"/>
            <w:tcBorders>
              <w:bottom w:val="nil"/>
            </w:tcBorders>
            <w:noWrap/>
            <w:hideMark/>
          </w:tcPr>
          <w:p w:rsidR="003F48EA" w:rsidRPr="00965467" w:rsidRDefault="003F48EA" w:rsidP="00594131">
            <w:pPr>
              <w:jc w:val="center"/>
              <w:rPr>
                <w:sz w:val="21"/>
                <w:szCs w:val="22"/>
              </w:rPr>
            </w:pPr>
            <w:r w:rsidRPr="00965467">
              <w:rPr>
                <w:sz w:val="21"/>
                <w:szCs w:val="22"/>
              </w:rPr>
              <w:t>2010</w:t>
            </w:r>
          </w:p>
        </w:tc>
        <w:tc>
          <w:tcPr>
            <w:tcW w:w="3572" w:type="dxa"/>
            <w:tcBorders>
              <w:bottom w:val="nil"/>
            </w:tcBorders>
            <w:noWrap/>
            <w:hideMark/>
          </w:tcPr>
          <w:p w:rsidR="003F48EA" w:rsidRPr="00965467" w:rsidRDefault="003F48EA" w:rsidP="00594131">
            <w:pPr>
              <w:jc w:val="left"/>
              <w:rPr>
                <w:sz w:val="21"/>
                <w:szCs w:val="22"/>
              </w:rPr>
            </w:pPr>
            <w:r w:rsidRPr="00965467">
              <w:rPr>
                <w:sz w:val="21"/>
                <w:szCs w:val="22"/>
              </w:rPr>
              <w:t>Journal of Business Research</w:t>
            </w:r>
          </w:p>
        </w:tc>
        <w:tc>
          <w:tcPr>
            <w:tcW w:w="1134" w:type="dxa"/>
            <w:tcBorders>
              <w:bottom w:val="nil"/>
            </w:tcBorders>
          </w:tcPr>
          <w:p w:rsidR="003F48EA" w:rsidRPr="00965467" w:rsidRDefault="003F48EA" w:rsidP="00594131">
            <w:pPr>
              <w:jc w:val="center"/>
              <w:rPr>
                <w:sz w:val="21"/>
                <w:szCs w:val="22"/>
              </w:rPr>
            </w:pPr>
            <w:r w:rsidRPr="00965467">
              <w:rPr>
                <w:sz w:val="21"/>
                <w:szCs w:val="22"/>
              </w:rPr>
              <w:t>Yes</w:t>
            </w:r>
          </w:p>
        </w:tc>
      </w:tr>
      <w:tr w:rsidR="003F48EA" w:rsidRPr="00965467" w:rsidTr="00594131">
        <w:trPr>
          <w:trHeight w:val="206"/>
        </w:trPr>
        <w:tc>
          <w:tcPr>
            <w:tcW w:w="3969" w:type="dxa"/>
            <w:tcBorders>
              <w:top w:val="nil"/>
              <w:bottom w:val="nil"/>
            </w:tcBorders>
            <w:noWrap/>
            <w:hideMark/>
          </w:tcPr>
          <w:p w:rsidR="003F48EA" w:rsidRPr="00965467" w:rsidRDefault="003F48EA" w:rsidP="003F48EA">
            <w:pPr>
              <w:pStyle w:val="ListParagraph"/>
              <w:numPr>
                <w:ilvl w:val="0"/>
                <w:numId w:val="9"/>
              </w:numPr>
              <w:spacing w:line="240" w:lineRule="auto"/>
              <w:jc w:val="left"/>
              <w:rPr>
                <w:sz w:val="21"/>
                <w:szCs w:val="22"/>
              </w:rPr>
            </w:pPr>
            <w:r w:rsidRPr="00965467">
              <w:rPr>
                <w:sz w:val="21"/>
                <w:szCs w:val="22"/>
              </w:rPr>
              <w:t>Weiser</w:t>
            </w:r>
          </w:p>
        </w:tc>
        <w:tc>
          <w:tcPr>
            <w:tcW w:w="681" w:type="dxa"/>
            <w:tcBorders>
              <w:top w:val="nil"/>
              <w:bottom w:val="nil"/>
            </w:tcBorders>
            <w:noWrap/>
            <w:hideMark/>
          </w:tcPr>
          <w:p w:rsidR="003F48EA" w:rsidRPr="00965467" w:rsidRDefault="003F48EA" w:rsidP="00594131">
            <w:pPr>
              <w:jc w:val="center"/>
              <w:rPr>
                <w:sz w:val="21"/>
                <w:szCs w:val="22"/>
              </w:rPr>
            </w:pPr>
            <w:r w:rsidRPr="00965467">
              <w:rPr>
                <w:sz w:val="21"/>
                <w:szCs w:val="22"/>
              </w:rPr>
              <w:t>2007</w:t>
            </w:r>
          </w:p>
        </w:tc>
        <w:tc>
          <w:tcPr>
            <w:tcW w:w="3572" w:type="dxa"/>
            <w:tcBorders>
              <w:top w:val="nil"/>
              <w:bottom w:val="nil"/>
            </w:tcBorders>
            <w:noWrap/>
            <w:hideMark/>
          </w:tcPr>
          <w:p w:rsidR="003F48EA" w:rsidRPr="00965467" w:rsidRDefault="003F48EA" w:rsidP="00594131">
            <w:pPr>
              <w:jc w:val="left"/>
              <w:rPr>
                <w:sz w:val="21"/>
                <w:szCs w:val="22"/>
              </w:rPr>
            </w:pPr>
            <w:r w:rsidRPr="00965467">
              <w:rPr>
                <w:sz w:val="21"/>
                <w:szCs w:val="22"/>
              </w:rPr>
              <w:t>Journal of Business Strategy</w:t>
            </w:r>
          </w:p>
        </w:tc>
        <w:tc>
          <w:tcPr>
            <w:tcW w:w="1134" w:type="dxa"/>
            <w:tcBorders>
              <w:top w:val="nil"/>
              <w:bottom w:val="nil"/>
            </w:tcBorders>
          </w:tcPr>
          <w:p w:rsidR="003F48EA" w:rsidRPr="00965467" w:rsidRDefault="003F48EA" w:rsidP="00594131">
            <w:pPr>
              <w:jc w:val="center"/>
              <w:rPr>
                <w:sz w:val="21"/>
                <w:szCs w:val="22"/>
              </w:rPr>
            </w:pPr>
            <w:r w:rsidRPr="00965467">
              <w:rPr>
                <w:sz w:val="21"/>
                <w:szCs w:val="22"/>
              </w:rPr>
              <w:t>No</w:t>
            </w:r>
          </w:p>
        </w:tc>
      </w:tr>
      <w:tr w:rsidR="003F48EA" w:rsidRPr="00965467" w:rsidTr="00594131">
        <w:trPr>
          <w:trHeight w:val="206"/>
        </w:trPr>
        <w:tc>
          <w:tcPr>
            <w:tcW w:w="3969" w:type="dxa"/>
            <w:tcBorders>
              <w:top w:val="nil"/>
            </w:tcBorders>
            <w:noWrap/>
            <w:hideMark/>
          </w:tcPr>
          <w:p w:rsidR="003F48EA" w:rsidRPr="00965467" w:rsidRDefault="003F48EA" w:rsidP="003F48EA">
            <w:pPr>
              <w:pStyle w:val="ListParagraph"/>
              <w:numPr>
                <w:ilvl w:val="0"/>
                <w:numId w:val="9"/>
              </w:numPr>
              <w:spacing w:line="240" w:lineRule="auto"/>
              <w:jc w:val="left"/>
              <w:rPr>
                <w:b/>
                <w:bCs/>
                <w:sz w:val="21"/>
                <w:szCs w:val="22"/>
              </w:rPr>
            </w:pPr>
            <w:r w:rsidRPr="00965467">
              <w:rPr>
                <w:sz w:val="21"/>
                <w:szCs w:val="22"/>
              </w:rPr>
              <w:t xml:space="preserve">Yunus, Moingeon &amp; Lehmann-Ortega </w:t>
            </w:r>
          </w:p>
        </w:tc>
        <w:tc>
          <w:tcPr>
            <w:tcW w:w="681" w:type="dxa"/>
            <w:tcBorders>
              <w:top w:val="nil"/>
            </w:tcBorders>
            <w:noWrap/>
            <w:hideMark/>
          </w:tcPr>
          <w:p w:rsidR="003F48EA" w:rsidRPr="00965467" w:rsidRDefault="003F48EA" w:rsidP="00594131">
            <w:pPr>
              <w:jc w:val="center"/>
              <w:rPr>
                <w:b/>
                <w:bCs/>
                <w:sz w:val="21"/>
                <w:szCs w:val="22"/>
              </w:rPr>
            </w:pPr>
            <w:r w:rsidRPr="00965467">
              <w:rPr>
                <w:sz w:val="21"/>
                <w:szCs w:val="22"/>
              </w:rPr>
              <w:t>2010</w:t>
            </w:r>
          </w:p>
        </w:tc>
        <w:tc>
          <w:tcPr>
            <w:tcW w:w="3572" w:type="dxa"/>
            <w:tcBorders>
              <w:top w:val="nil"/>
            </w:tcBorders>
            <w:noWrap/>
            <w:hideMark/>
          </w:tcPr>
          <w:p w:rsidR="003F48EA" w:rsidRPr="00965467" w:rsidRDefault="003F48EA" w:rsidP="00594131">
            <w:pPr>
              <w:jc w:val="left"/>
              <w:rPr>
                <w:b/>
                <w:bCs/>
                <w:sz w:val="21"/>
                <w:szCs w:val="22"/>
              </w:rPr>
            </w:pPr>
            <w:r w:rsidRPr="00965467">
              <w:rPr>
                <w:sz w:val="21"/>
                <w:szCs w:val="22"/>
              </w:rPr>
              <w:t>Long Range Planning</w:t>
            </w:r>
          </w:p>
        </w:tc>
        <w:tc>
          <w:tcPr>
            <w:tcW w:w="1134" w:type="dxa"/>
            <w:tcBorders>
              <w:top w:val="nil"/>
            </w:tcBorders>
          </w:tcPr>
          <w:p w:rsidR="003F48EA" w:rsidRPr="00965467" w:rsidRDefault="003F48EA" w:rsidP="00594131">
            <w:pPr>
              <w:jc w:val="center"/>
              <w:rPr>
                <w:sz w:val="21"/>
                <w:szCs w:val="22"/>
              </w:rPr>
            </w:pPr>
            <w:r w:rsidRPr="00965467">
              <w:rPr>
                <w:sz w:val="21"/>
                <w:szCs w:val="22"/>
              </w:rPr>
              <w:t>Yes</w:t>
            </w:r>
          </w:p>
        </w:tc>
      </w:tr>
      <w:tr w:rsidR="003F48EA" w:rsidRPr="00965467" w:rsidTr="00594131">
        <w:trPr>
          <w:cnfStyle w:val="010000000000" w:firstRow="0" w:lastRow="1" w:firstColumn="0" w:lastColumn="0" w:oddVBand="0" w:evenVBand="0" w:oddHBand="0" w:evenHBand="0" w:firstRowFirstColumn="0" w:firstRowLastColumn="0" w:lastRowFirstColumn="0" w:lastRowLastColumn="0"/>
          <w:trHeight w:val="206"/>
        </w:trPr>
        <w:tc>
          <w:tcPr>
            <w:tcW w:w="3969" w:type="dxa"/>
            <w:tcBorders>
              <w:bottom w:val="double" w:sz="4" w:space="0" w:color="auto"/>
            </w:tcBorders>
            <w:noWrap/>
          </w:tcPr>
          <w:p w:rsidR="003F48EA" w:rsidRPr="00965467" w:rsidRDefault="003F48EA" w:rsidP="00594131">
            <w:pPr>
              <w:pStyle w:val="ListParagraph"/>
              <w:ind w:left="360"/>
              <w:jc w:val="left"/>
              <w:rPr>
                <w:sz w:val="21"/>
                <w:szCs w:val="22"/>
              </w:rPr>
            </w:pPr>
          </w:p>
        </w:tc>
        <w:tc>
          <w:tcPr>
            <w:tcW w:w="681" w:type="dxa"/>
            <w:tcBorders>
              <w:bottom w:val="double" w:sz="4" w:space="0" w:color="auto"/>
            </w:tcBorders>
            <w:noWrap/>
          </w:tcPr>
          <w:p w:rsidR="003F48EA" w:rsidRPr="00965467" w:rsidRDefault="003F48EA" w:rsidP="00594131">
            <w:pPr>
              <w:jc w:val="center"/>
              <w:rPr>
                <w:sz w:val="21"/>
                <w:szCs w:val="22"/>
              </w:rPr>
            </w:pPr>
          </w:p>
        </w:tc>
        <w:tc>
          <w:tcPr>
            <w:tcW w:w="3572" w:type="dxa"/>
            <w:tcBorders>
              <w:bottom w:val="double" w:sz="4" w:space="0" w:color="auto"/>
            </w:tcBorders>
            <w:noWrap/>
          </w:tcPr>
          <w:p w:rsidR="003F48EA" w:rsidRPr="00965467" w:rsidRDefault="003F48EA" w:rsidP="00594131">
            <w:pPr>
              <w:jc w:val="left"/>
              <w:rPr>
                <w:sz w:val="21"/>
                <w:szCs w:val="22"/>
              </w:rPr>
            </w:pPr>
          </w:p>
        </w:tc>
        <w:tc>
          <w:tcPr>
            <w:tcW w:w="1134" w:type="dxa"/>
            <w:tcBorders>
              <w:bottom w:val="double" w:sz="4" w:space="0" w:color="auto"/>
            </w:tcBorders>
          </w:tcPr>
          <w:p w:rsidR="003F48EA" w:rsidRPr="00965467" w:rsidRDefault="003F48EA" w:rsidP="00594131">
            <w:pPr>
              <w:jc w:val="center"/>
              <w:rPr>
                <w:sz w:val="21"/>
                <w:szCs w:val="22"/>
              </w:rPr>
            </w:pPr>
          </w:p>
        </w:tc>
      </w:tr>
    </w:tbl>
    <w:p w:rsidR="003F48EA" w:rsidRPr="00965467" w:rsidRDefault="003F48EA" w:rsidP="003F48EA"/>
    <w:p w:rsidR="003F48EA" w:rsidRPr="00965467" w:rsidRDefault="003F48EA" w:rsidP="003F48EA"/>
    <w:p w:rsidR="003F48EA" w:rsidRPr="00965467" w:rsidRDefault="003F48EA" w:rsidP="003F48EA"/>
    <w:p w:rsidR="00E124AB" w:rsidRDefault="00E124AB"/>
    <w:sectPr w:rsidR="00E124AB" w:rsidSect="00D003FF">
      <w:footerReference w:type="default" r:id="rId11"/>
      <w:pgSz w:w="12240" w:h="15840"/>
      <w:pgMar w:top="1440" w:right="1440" w:bottom="1440" w:left="1440" w:header="720" w:footer="720" w:gutter="0"/>
      <w:cols w:space="720" w:equalWidth="0">
        <w:col w:w="9360"/>
      </w:cols>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2449898"/>
      <w:docPartObj>
        <w:docPartGallery w:val="Page Numbers (Bottom of Page)"/>
        <w:docPartUnique/>
      </w:docPartObj>
    </w:sdtPr>
    <w:sdtEndPr>
      <w:rPr>
        <w:noProof/>
      </w:rPr>
    </w:sdtEndPr>
    <w:sdtContent>
      <w:p w:rsidR="0004028E" w:rsidRDefault="003F48EA">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04028E" w:rsidRDefault="003F48E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60586"/>
    <w:multiLevelType w:val="hybridMultilevel"/>
    <w:tmpl w:val="87FEC6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A5C0B"/>
    <w:multiLevelType w:val="multilevel"/>
    <w:tmpl w:val="CD3643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3B23EBC"/>
    <w:multiLevelType w:val="hybridMultilevel"/>
    <w:tmpl w:val="D3EC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DC38AE"/>
    <w:multiLevelType w:val="hybridMultilevel"/>
    <w:tmpl w:val="D6E81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5F03CA"/>
    <w:multiLevelType w:val="multilevel"/>
    <w:tmpl w:val="CD3643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2FEA73BD"/>
    <w:multiLevelType w:val="multilevel"/>
    <w:tmpl w:val="AF9A210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nsid w:val="310C5BEB"/>
    <w:multiLevelType w:val="multilevel"/>
    <w:tmpl w:val="0F244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010B7A"/>
    <w:multiLevelType w:val="hybridMultilevel"/>
    <w:tmpl w:val="F7181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2CC5BAB"/>
    <w:multiLevelType w:val="hybridMultilevel"/>
    <w:tmpl w:val="8D961984"/>
    <w:lvl w:ilvl="0" w:tplc="CCEC27C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0957C6"/>
    <w:multiLevelType w:val="hybridMultilevel"/>
    <w:tmpl w:val="4E161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68D1C72"/>
    <w:multiLevelType w:val="hybridMultilevel"/>
    <w:tmpl w:val="4206465C"/>
    <w:lvl w:ilvl="0" w:tplc="A3487AA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A2804D8"/>
    <w:multiLevelType w:val="multilevel"/>
    <w:tmpl w:val="ED568F3C"/>
    <w:lvl w:ilvl="0">
      <w:start w:val="1"/>
      <w:numFmt w:val="upperLetter"/>
      <w:lvlText w:val="%1."/>
      <w:lvlJc w:val="left"/>
      <w:pPr>
        <w:ind w:left="360" w:hanging="360"/>
      </w:pPr>
      <w:rPr>
        <w:b w:val="0"/>
        <w: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796607E2"/>
    <w:multiLevelType w:val="hybridMultilevel"/>
    <w:tmpl w:val="E38A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5"/>
  </w:num>
  <w:num w:numId="4">
    <w:abstractNumId w:val="3"/>
  </w:num>
  <w:num w:numId="5">
    <w:abstractNumId w:val="12"/>
  </w:num>
  <w:num w:numId="6">
    <w:abstractNumId w:val="2"/>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4"/>
  </w:num>
  <w:num w:numId="12">
    <w:abstractNumId w:val="7"/>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F5B"/>
    <w:rsid w:val="00005C78"/>
    <w:rsid w:val="0002123C"/>
    <w:rsid w:val="00040E9D"/>
    <w:rsid w:val="000418B2"/>
    <w:rsid w:val="000423D1"/>
    <w:rsid w:val="00053A60"/>
    <w:rsid w:val="00090C81"/>
    <w:rsid w:val="0009108E"/>
    <w:rsid w:val="0009156C"/>
    <w:rsid w:val="00093A69"/>
    <w:rsid w:val="000A219C"/>
    <w:rsid w:val="000B1FE6"/>
    <w:rsid w:val="000B24E4"/>
    <w:rsid w:val="000B583F"/>
    <w:rsid w:val="000C503E"/>
    <w:rsid w:val="000D6F04"/>
    <w:rsid w:val="000E2032"/>
    <w:rsid w:val="000F1284"/>
    <w:rsid w:val="000F56A3"/>
    <w:rsid w:val="001032AC"/>
    <w:rsid w:val="00105CAD"/>
    <w:rsid w:val="001158F0"/>
    <w:rsid w:val="0012363C"/>
    <w:rsid w:val="00127622"/>
    <w:rsid w:val="00132513"/>
    <w:rsid w:val="00135375"/>
    <w:rsid w:val="00142257"/>
    <w:rsid w:val="00154783"/>
    <w:rsid w:val="001704F5"/>
    <w:rsid w:val="00180D4D"/>
    <w:rsid w:val="00183875"/>
    <w:rsid w:val="0019492C"/>
    <w:rsid w:val="001A66CC"/>
    <w:rsid w:val="001B2BF6"/>
    <w:rsid w:val="001C4916"/>
    <w:rsid w:val="001D0444"/>
    <w:rsid w:val="001D3843"/>
    <w:rsid w:val="001E31D5"/>
    <w:rsid w:val="001E5FEE"/>
    <w:rsid w:val="001F5928"/>
    <w:rsid w:val="00230A48"/>
    <w:rsid w:val="00242021"/>
    <w:rsid w:val="00251163"/>
    <w:rsid w:val="00257B37"/>
    <w:rsid w:val="00276785"/>
    <w:rsid w:val="00287D7A"/>
    <w:rsid w:val="002905C6"/>
    <w:rsid w:val="002A6085"/>
    <w:rsid w:val="002A7CA5"/>
    <w:rsid w:val="002C58B7"/>
    <w:rsid w:val="002C74E4"/>
    <w:rsid w:val="002D2881"/>
    <w:rsid w:val="002D675B"/>
    <w:rsid w:val="002F4772"/>
    <w:rsid w:val="00306E30"/>
    <w:rsid w:val="00307CFC"/>
    <w:rsid w:val="00315F12"/>
    <w:rsid w:val="00321043"/>
    <w:rsid w:val="00325703"/>
    <w:rsid w:val="00332296"/>
    <w:rsid w:val="003324F9"/>
    <w:rsid w:val="00333443"/>
    <w:rsid w:val="00333E10"/>
    <w:rsid w:val="0033452D"/>
    <w:rsid w:val="003345EA"/>
    <w:rsid w:val="00335E79"/>
    <w:rsid w:val="00340D36"/>
    <w:rsid w:val="00351431"/>
    <w:rsid w:val="00364D12"/>
    <w:rsid w:val="00382DA5"/>
    <w:rsid w:val="003856A0"/>
    <w:rsid w:val="00391AFF"/>
    <w:rsid w:val="00395164"/>
    <w:rsid w:val="003C13E4"/>
    <w:rsid w:val="003E12C9"/>
    <w:rsid w:val="003E64BB"/>
    <w:rsid w:val="003F3B73"/>
    <w:rsid w:val="003F48EA"/>
    <w:rsid w:val="003F67A0"/>
    <w:rsid w:val="003F7AAE"/>
    <w:rsid w:val="00407971"/>
    <w:rsid w:val="00431EC4"/>
    <w:rsid w:val="00435444"/>
    <w:rsid w:val="004502C7"/>
    <w:rsid w:val="004605B4"/>
    <w:rsid w:val="004656BB"/>
    <w:rsid w:val="00470155"/>
    <w:rsid w:val="0047072D"/>
    <w:rsid w:val="00474F6F"/>
    <w:rsid w:val="00486075"/>
    <w:rsid w:val="004866C4"/>
    <w:rsid w:val="00487F08"/>
    <w:rsid w:val="004A3045"/>
    <w:rsid w:val="004A7F4A"/>
    <w:rsid w:val="004B17E6"/>
    <w:rsid w:val="004B2479"/>
    <w:rsid w:val="004B5B22"/>
    <w:rsid w:val="004D3856"/>
    <w:rsid w:val="004E1D22"/>
    <w:rsid w:val="00500C36"/>
    <w:rsid w:val="00516009"/>
    <w:rsid w:val="005209A6"/>
    <w:rsid w:val="00520A76"/>
    <w:rsid w:val="005222DC"/>
    <w:rsid w:val="00522B58"/>
    <w:rsid w:val="00530453"/>
    <w:rsid w:val="00537415"/>
    <w:rsid w:val="00542F5B"/>
    <w:rsid w:val="00545289"/>
    <w:rsid w:val="00551BA8"/>
    <w:rsid w:val="00555994"/>
    <w:rsid w:val="00556560"/>
    <w:rsid w:val="00567B0C"/>
    <w:rsid w:val="00570528"/>
    <w:rsid w:val="00570C1C"/>
    <w:rsid w:val="00572CE2"/>
    <w:rsid w:val="00580402"/>
    <w:rsid w:val="0058493C"/>
    <w:rsid w:val="00587BBF"/>
    <w:rsid w:val="005917C7"/>
    <w:rsid w:val="00592611"/>
    <w:rsid w:val="00594AB6"/>
    <w:rsid w:val="00594D9F"/>
    <w:rsid w:val="005A0E3B"/>
    <w:rsid w:val="005A0F41"/>
    <w:rsid w:val="005A2E0F"/>
    <w:rsid w:val="005A77B4"/>
    <w:rsid w:val="005B340A"/>
    <w:rsid w:val="005B5E57"/>
    <w:rsid w:val="005D1B35"/>
    <w:rsid w:val="005D34A5"/>
    <w:rsid w:val="005F48B0"/>
    <w:rsid w:val="00600BAF"/>
    <w:rsid w:val="006028BB"/>
    <w:rsid w:val="00606249"/>
    <w:rsid w:val="00612D50"/>
    <w:rsid w:val="00626564"/>
    <w:rsid w:val="00630D9E"/>
    <w:rsid w:val="0063636A"/>
    <w:rsid w:val="0063771E"/>
    <w:rsid w:val="00640E01"/>
    <w:rsid w:val="0064357D"/>
    <w:rsid w:val="00644C3D"/>
    <w:rsid w:val="0067029A"/>
    <w:rsid w:val="00671EA8"/>
    <w:rsid w:val="006742DD"/>
    <w:rsid w:val="006A288B"/>
    <w:rsid w:val="006A6CFF"/>
    <w:rsid w:val="006A6DE0"/>
    <w:rsid w:val="006C2F41"/>
    <w:rsid w:val="006C471A"/>
    <w:rsid w:val="006F56AA"/>
    <w:rsid w:val="006F608C"/>
    <w:rsid w:val="00700463"/>
    <w:rsid w:val="0070088C"/>
    <w:rsid w:val="00700BEC"/>
    <w:rsid w:val="00704C4A"/>
    <w:rsid w:val="0071137A"/>
    <w:rsid w:val="00727401"/>
    <w:rsid w:val="007335B0"/>
    <w:rsid w:val="00735DE6"/>
    <w:rsid w:val="00751878"/>
    <w:rsid w:val="00752258"/>
    <w:rsid w:val="00760B73"/>
    <w:rsid w:val="007624BB"/>
    <w:rsid w:val="00766322"/>
    <w:rsid w:val="00772CA0"/>
    <w:rsid w:val="00775B63"/>
    <w:rsid w:val="00776D8A"/>
    <w:rsid w:val="00782FE8"/>
    <w:rsid w:val="0079152C"/>
    <w:rsid w:val="00793312"/>
    <w:rsid w:val="007958A7"/>
    <w:rsid w:val="007A1770"/>
    <w:rsid w:val="007A1C44"/>
    <w:rsid w:val="007A285B"/>
    <w:rsid w:val="007A4FD6"/>
    <w:rsid w:val="007B0539"/>
    <w:rsid w:val="007B5CFE"/>
    <w:rsid w:val="007B61DB"/>
    <w:rsid w:val="007C14DD"/>
    <w:rsid w:val="007C2A1C"/>
    <w:rsid w:val="007D08FE"/>
    <w:rsid w:val="007D3171"/>
    <w:rsid w:val="007E1BEA"/>
    <w:rsid w:val="007E38E8"/>
    <w:rsid w:val="007E4EA7"/>
    <w:rsid w:val="007F7ABC"/>
    <w:rsid w:val="007F7CE4"/>
    <w:rsid w:val="00801BB9"/>
    <w:rsid w:val="0080599A"/>
    <w:rsid w:val="00806EF7"/>
    <w:rsid w:val="00827A84"/>
    <w:rsid w:val="00832431"/>
    <w:rsid w:val="00841280"/>
    <w:rsid w:val="00842F2A"/>
    <w:rsid w:val="00845660"/>
    <w:rsid w:val="00862CBB"/>
    <w:rsid w:val="008841F0"/>
    <w:rsid w:val="00885614"/>
    <w:rsid w:val="0088738B"/>
    <w:rsid w:val="00890357"/>
    <w:rsid w:val="008A040D"/>
    <w:rsid w:val="008A2356"/>
    <w:rsid w:val="008A4987"/>
    <w:rsid w:val="008B05CC"/>
    <w:rsid w:val="008B27C5"/>
    <w:rsid w:val="008B28D3"/>
    <w:rsid w:val="008C0E35"/>
    <w:rsid w:val="008C3A46"/>
    <w:rsid w:val="008C7399"/>
    <w:rsid w:val="008D2F77"/>
    <w:rsid w:val="008D5C1F"/>
    <w:rsid w:val="008E5E5D"/>
    <w:rsid w:val="008F03EC"/>
    <w:rsid w:val="00900BDE"/>
    <w:rsid w:val="00900D32"/>
    <w:rsid w:val="009011FE"/>
    <w:rsid w:val="0090654C"/>
    <w:rsid w:val="00907D2B"/>
    <w:rsid w:val="00910711"/>
    <w:rsid w:val="0092256F"/>
    <w:rsid w:val="00930649"/>
    <w:rsid w:val="0093784E"/>
    <w:rsid w:val="00940F9A"/>
    <w:rsid w:val="00946242"/>
    <w:rsid w:val="00951EA3"/>
    <w:rsid w:val="0095529B"/>
    <w:rsid w:val="009556AB"/>
    <w:rsid w:val="009658D6"/>
    <w:rsid w:val="0097685A"/>
    <w:rsid w:val="00977DF2"/>
    <w:rsid w:val="00982E46"/>
    <w:rsid w:val="00993277"/>
    <w:rsid w:val="00996B4A"/>
    <w:rsid w:val="009979C6"/>
    <w:rsid w:val="009A4BF3"/>
    <w:rsid w:val="009B0F66"/>
    <w:rsid w:val="009B24F1"/>
    <w:rsid w:val="009B6839"/>
    <w:rsid w:val="009C1C7C"/>
    <w:rsid w:val="009C1C7D"/>
    <w:rsid w:val="009D3558"/>
    <w:rsid w:val="009D498B"/>
    <w:rsid w:val="009D7CE6"/>
    <w:rsid w:val="009E66B4"/>
    <w:rsid w:val="009F0FD9"/>
    <w:rsid w:val="00A03C2C"/>
    <w:rsid w:val="00A14025"/>
    <w:rsid w:val="00A25333"/>
    <w:rsid w:val="00A336B3"/>
    <w:rsid w:val="00A34C23"/>
    <w:rsid w:val="00A35B1C"/>
    <w:rsid w:val="00A45503"/>
    <w:rsid w:val="00A46ADD"/>
    <w:rsid w:val="00A5247F"/>
    <w:rsid w:val="00A63177"/>
    <w:rsid w:val="00A639FC"/>
    <w:rsid w:val="00A71BBF"/>
    <w:rsid w:val="00A72500"/>
    <w:rsid w:val="00A91090"/>
    <w:rsid w:val="00A910F9"/>
    <w:rsid w:val="00A91BAC"/>
    <w:rsid w:val="00AA0E9D"/>
    <w:rsid w:val="00AA659E"/>
    <w:rsid w:val="00AB1022"/>
    <w:rsid w:val="00AB5BA5"/>
    <w:rsid w:val="00AB6AF5"/>
    <w:rsid w:val="00AC75C6"/>
    <w:rsid w:val="00AD1040"/>
    <w:rsid w:val="00AE248D"/>
    <w:rsid w:val="00B22CB8"/>
    <w:rsid w:val="00B23F42"/>
    <w:rsid w:val="00B3034F"/>
    <w:rsid w:val="00B3125F"/>
    <w:rsid w:val="00B35740"/>
    <w:rsid w:val="00B4238B"/>
    <w:rsid w:val="00B43253"/>
    <w:rsid w:val="00B52B1B"/>
    <w:rsid w:val="00B558EF"/>
    <w:rsid w:val="00B6056E"/>
    <w:rsid w:val="00B620B2"/>
    <w:rsid w:val="00B626E8"/>
    <w:rsid w:val="00B64CB1"/>
    <w:rsid w:val="00B67D76"/>
    <w:rsid w:val="00B745B9"/>
    <w:rsid w:val="00B775E1"/>
    <w:rsid w:val="00B80F62"/>
    <w:rsid w:val="00B82984"/>
    <w:rsid w:val="00B840A7"/>
    <w:rsid w:val="00B85A08"/>
    <w:rsid w:val="00B97EC9"/>
    <w:rsid w:val="00BB556D"/>
    <w:rsid w:val="00BC23F6"/>
    <w:rsid w:val="00BC5804"/>
    <w:rsid w:val="00BD514E"/>
    <w:rsid w:val="00BE5B08"/>
    <w:rsid w:val="00BF1E7F"/>
    <w:rsid w:val="00BF5245"/>
    <w:rsid w:val="00BF5659"/>
    <w:rsid w:val="00C031A0"/>
    <w:rsid w:val="00C26046"/>
    <w:rsid w:val="00C33F52"/>
    <w:rsid w:val="00C455D5"/>
    <w:rsid w:val="00C55195"/>
    <w:rsid w:val="00C6472E"/>
    <w:rsid w:val="00C678E4"/>
    <w:rsid w:val="00C75F62"/>
    <w:rsid w:val="00C92CCB"/>
    <w:rsid w:val="00CA146C"/>
    <w:rsid w:val="00CA4EBB"/>
    <w:rsid w:val="00CA7B19"/>
    <w:rsid w:val="00CB6C59"/>
    <w:rsid w:val="00CC428F"/>
    <w:rsid w:val="00CD2783"/>
    <w:rsid w:val="00CD6554"/>
    <w:rsid w:val="00CD7682"/>
    <w:rsid w:val="00CF4E48"/>
    <w:rsid w:val="00D01B23"/>
    <w:rsid w:val="00D0789E"/>
    <w:rsid w:val="00D07DE0"/>
    <w:rsid w:val="00D10C36"/>
    <w:rsid w:val="00D10E1E"/>
    <w:rsid w:val="00D261FB"/>
    <w:rsid w:val="00D33E1F"/>
    <w:rsid w:val="00D40B1E"/>
    <w:rsid w:val="00D417A1"/>
    <w:rsid w:val="00D656CE"/>
    <w:rsid w:val="00D67723"/>
    <w:rsid w:val="00D77588"/>
    <w:rsid w:val="00D80053"/>
    <w:rsid w:val="00D8585C"/>
    <w:rsid w:val="00D86E13"/>
    <w:rsid w:val="00D90DBF"/>
    <w:rsid w:val="00DA48E7"/>
    <w:rsid w:val="00DA5429"/>
    <w:rsid w:val="00DA7381"/>
    <w:rsid w:val="00DB1984"/>
    <w:rsid w:val="00DB4ED5"/>
    <w:rsid w:val="00DB521D"/>
    <w:rsid w:val="00DB5917"/>
    <w:rsid w:val="00DB65FC"/>
    <w:rsid w:val="00DC11AA"/>
    <w:rsid w:val="00DC59D4"/>
    <w:rsid w:val="00DC61C0"/>
    <w:rsid w:val="00DC68E2"/>
    <w:rsid w:val="00DD3D38"/>
    <w:rsid w:val="00DE16F8"/>
    <w:rsid w:val="00DF513E"/>
    <w:rsid w:val="00DF60BA"/>
    <w:rsid w:val="00E05E9E"/>
    <w:rsid w:val="00E06723"/>
    <w:rsid w:val="00E11952"/>
    <w:rsid w:val="00E124AB"/>
    <w:rsid w:val="00E22F5A"/>
    <w:rsid w:val="00E243D1"/>
    <w:rsid w:val="00E47EE3"/>
    <w:rsid w:val="00E53B3B"/>
    <w:rsid w:val="00E54B87"/>
    <w:rsid w:val="00E6106D"/>
    <w:rsid w:val="00E67CBD"/>
    <w:rsid w:val="00E7384F"/>
    <w:rsid w:val="00E82638"/>
    <w:rsid w:val="00E84515"/>
    <w:rsid w:val="00E91E13"/>
    <w:rsid w:val="00E97A75"/>
    <w:rsid w:val="00EA1692"/>
    <w:rsid w:val="00EB2558"/>
    <w:rsid w:val="00EB44F8"/>
    <w:rsid w:val="00EC0FFF"/>
    <w:rsid w:val="00EC4757"/>
    <w:rsid w:val="00EE19A5"/>
    <w:rsid w:val="00EE2BF5"/>
    <w:rsid w:val="00EE3D40"/>
    <w:rsid w:val="00EE6A6B"/>
    <w:rsid w:val="00F05AE9"/>
    <w:rsid w:val="00F116E3"/>
    <w:rsid w:val="00F157F8"/>
    <w:rsid w:val="00F303AF"/>
    <w:rsid w:val="00F3078C"/>
    <w:rsid w:val="00F44744"/>
    <w:rsid w:val="00F471B6"/>
    <w:rsid w:val="00F60974"/>
    <w:rsid w:val="00F65879"/>
    <w:rsid w:val="00F81FFC"/>
    <w:rsid w:val="00F922EE"/>
    <w:rsid w:val="00FA0A24"/>
    <w:rsid w:val="00FC0696"/>
    <w:rsid w:val="00FE175D"/>
    <w:rsid w:val="00FE1BBE"/>
    <w:rsid w:val="00FE44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3FBC9-4D63-4411-B16A-E50A1738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48EA"/>
    <w:pPr>
      <w:numPr>
        <w:numId w:val="3"/>
      </w:numPr>
      <w:spacing w:before="120" w:after="120" w:line="480" w:lineRule="auto"/>
      <w:jc w:val="both"/>
      <w:outlineLvl w:val="0"/>
    </w:pPr>
    <w:rPr>
      <w:rFonts w:ascii="Times New Roman" w:eastAsiaTheme="majorEastAsia" w:hAnsi="Times New Roman" w:cs="Times New Roman"/>
      <w:b/>
      <w:sz w:val="24"/>
      <w:szCs w:val="24"/>
      <w:lang w:val="en-US"/>
    </w:rPr>
  </w:style>
  <w:style w:type="paragraph" w:styleId="Heading2">
    <w:name w:val="heading 2"/>
    <w:basedOn w:val="Heading1"/>
    <w:next w:val="Normal"/>
    <w:link w:val="Heading2Char"/>
    <w:uiPriority w:val="9"/>
    <w:unhideWhenUsed/>
    <w:qFormat/>
    <w:rsid w:val="003F48EA"/>
    <w:pPr>
      <w:numPr>
        <w:ilvl w:val="1"/>
      </w:numPr>
      <w:outlineLvl w:val="1"/>
    </w:pPr>
    <w:rPr>
      <w:i/>
      <w:iCs/>
    </w:rPr>
  </w:style>
  <w:style w:type="paragraph" w:styleId="Heading3">
    <w:name w:val="heading 3"/>
    <w:basedOn w:val="Heading2"/>
    <w:next w:val="Normal"/>
    <w:link w:val="Heading3Char"/>
    <w:uiPriority w:val="9"/>
    <w:unhideWhenUsed/>
    <w:qFormat/>
    <w:rsid w:val="003F48EA"/>
    <w:pPr>
      <w:numPr>
        <w:ilvl w:val="2"/>
      </w:numPr>
      <w:outlineLvl w:val="2"/>
    </w:pPr>
    <w:rPr>
      <w:b w:val="0"/>
      <w:bCs/>
    </w:rPr>
  </w:style>
  <w:style w:type="paragraph" w:styleId="Heading4">
    <w:name w:val="heading 4"/>
    <w:basedOn w:val="Normal"/>
    <w:next w:val="Normal"/>
    <w:link w:val="Heading4Char"/>
    <w:uiPriority w:val="9"/>
    <w:semiHidden/>
    <w:unhideWhenUsed/>
    <w:qFormat/>
    <w:rsid w:val="003F48EA"/>
    <w:pPr>
      <w:keepNext/>
      <w:keepLines/>
      <w:numPr>
        <w:ilvl w:val="3"/>
        <w:numId w:val="3"/>
      </w:numPr>
      <w:spacing w:before="240" w:after="40" w:line="480" w:lineRule="auto"/>
      <w:jc w:val="both"/>
      <w:outlineLvl w:val="3"/>
    </w:pPr>
    <w:rPr>
      <w:rFonts w:ascii="Arial" w:eastAsia="Calibri" w:hAnsi="Arial" w:cs="Arial"/>
      <w:b/>
      <w:sz w:val="21"/>
      <w:szCs w:val="24"/>
      <w:lang w:val="en-US"/>
    </w:rPr>
  </w:style>
  <w:style w:type="paragraph" w:styleId="Heading5">
    <w:name w:val="heading 5"/>
    <w:basedOn w:val="Normal"/>
    <w:next w:val="Normal"/>
    <w:link w:val="Heading5Char"/>
    <w:uiPriority w:val="9"/>
    <w:semiHidden/>
    <w:unhideWhenUsed/>
    <w:qFormat/>
    <w:rsid w:val="003F48EA"/>
    <w:pPr>
      <w:keepNext/>
      <w:keepLines/>
      <w:numPr>
        <w:ilvl w:val="4"/>
        <w:numId w:val="3"/>
      </w:numPr>
      <w:spacing w:before="220" w:after="40" w:line="480" w:lineRule="auto"/>
      <w:jc w:val="both"/>
      <w:outlineLvl w:val="4"/>
    </w:pPr>
    <w:rPr>
      <w:rFonts w:ascii="Arial" w:eastAsia="Calibri" w:hAnsi="Arial" w:cs="Arial"/>
      <w:b/>
      <w:sz w:val="21"/>
      <w:szCs w:val="24"/>
      <w:lang w:val="en-US"/>
    </w:rPr>
  </w:style>
  <w:style w:type="paragraph" w:styleId="Heading6">
    <w:name w:val="heading 6"/>
    <w:basedOn w:val="Normal"/>
    <w:next w:val="Normal"/>
    <w:link w:val="Heading6Char"/>
    <w:uiPriority w:val="9"/>
    <w:semiHidden/>
    <w:unhideWhenUsed/>
    <w:qFormat/>
    <w:rsid w:val="003F48EA"/>
    <w:pPr>
      <w:keepNext/>
      <w:keepLines/>
      <w:numPr>
        <w:ilvl w:val="5"/>
        <w:numId w:val="3"/>
      </w:numPr>
      <w:spacing w:before="200" w:after="40" w:line="480" w:lineRule="auto"/>
      <w:jc w:val="both"/>
      <w:outlineLvl w:val="5"/>
    </w:pPr>
    <w:rPr>
      <w:rFonts w:ascii="Arial" w:eastAsia="Calibri" w:hAnsi="Arial" w:cs="Arial"/>
      <w:b/>
      <w:sz w:val="20"/>
      <w:szCs w:val="20"/>
      <w:lang w:val="en-US"/>
    </w:rPr>
  </w:style>
  <w:style w:type="paragraph" w:styleId="Heading7">
    <w:name w:val="heading 7"/>
    <w:basedOn w:val="Normal"/>
    <w:next w:val="Normal"/>
    <w:link w:val="Heading7Char"/>
    <w:uiPriority w:val="9"/>
    <w:semiHidden/>
    <w:unhideWhenUsed/>
    <w:qFormat/>
    <w:rsid w:val="003F48EA"/>
    <w:pPr>
      <w:keepNext/>
      <w:keepLines/>
      <w:numPr>
        <w:ilvl w:val="6"/>
        <w:numId w:val="3"/>
      </w:numPr>
      <w:spacing w:before="40" w:after="0" w:line="480" w:lineRule="auto"/>
      <w:jc w:val="both"/>
      <w:outlineLvl w:val="6"/>
    </w:pPr>
    <w:rPr>
      <w:rFonts w:asciiTheme="majorHAnsi" w:eastAsiaTheme="majorEastAsia" w:hAnsiTheme="majorHAnsi" w:cstheme="majorBidi"/>
      <w:i/>
      <w:iCs/>
      <w:color w:val="1F4D78" w:themeColor="accent1" w:themeShade="7F"/>
      <w:sz w:val="24"/>
      <w:szCs w:val="24"/>
      <w:lang w:val="en-US"/>
    </w:rPr>
  </w:style>
  <w:style w:type="paragraph" w:styleId="Heading8">
    <w:name w:val="heading 8"/>
    <w:basedOn w:val="Normal"/>
    <w:next w:val="Normal"/>
    <w:link w:val="Heading8Char"/>
    <w:uiPriority w:val="9"/>
    <w:semiHidden/>
    <w:unhideWhenUsed/>
    <w:qFormat/>
    <w:rsid w:val="003F48EA"/>
    <w:pPr>
      <w:keepNext/>
      <w:keepLines/>
      <w:numPr>
        <w:ilvl w:val="7"/>
        <w:numId w:val="3"/>
      </w:numPr>
      <w:spacing w:before="40" w:after="0" w:line="480" w:lineRule="auto"/>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3F48EA"/>
    <w:pPr>
      <w:keepNext/>
      <w:keepLines/>
      <w:numPr>
        <w:ilvl w:val="8"/>
        <w:numId w:val="3"/>
      </w:numPr>
      <w:spacing w:before="40" w:after="0" w:line="480" w:lineRule="auto"/>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8EA"/>
    <w:rPr>
      <w:rFonts w:ascii="Times New Roman" w:eastAsiaTheme="majorEastAsia" w:hAnsi="Times New Roman" w:cs="Times New Roman"/>
      <w:b/>
      <w:sz w:val="24"/>
      <w:szCs w:val="24"/>
      <w:lang w:val="en-US"/>
    </w:rPr>
  </w:style>
  <w:style w:type="character" w:customStyle="1" w:styleId="Heading2Char">
    <w:name w:val="Heading 2 Char"/>
    <w:basedOn w:val="DefaultParagraphFont"/>
    <w:link w:val="Heading2"/>
    <w:uiPriority w:val="9"/>
    <w:rsid w:val="003F48EA"/>
    <w:rPr>
      <w:rFonts w:ascii="Times New Roman" w:eastAsiaTheme="majorEastAsia" w:hAnsi="Times New Roman" w:cs="Times New Roman"/>
      <w:b/>
      <w:i/>
      <w:iCs/>
      <w:sz w:val="24"/>
      <w:szCs w:val="24"/>
      <w:lang w:val="en-US"/>
    </w:rPr>
  </w:style>
  <w:style w:type="character" w:customStyle="1" w:styleId="Heading3Char">
    <w:name w:val="Heading 3 Char"/>
    <w:basedOn w:val="DefaultParagraphFont"/>
    <w:link w:val="Heading3"/>
    <w:uiPriority w:val="9"/>
    <w:rsid w:val="003F48EA"/>
    <w:rPr>
      <w:rFonts w:ascii="Times New Roman" w:eastAsiaTheme="majorEastAsia" w:hAnsi="Times New Roman" w:cs="Times New Roman"/>
      <w:bCs/>
      <w:i/>
      <w:iCs/>
      <w:sz w:val="24"/>
      <w:szCs w:val="24"/>
      <w:lang w:val="en-US"/>
    </w:rPr>
  </w:style>
  <w:style w:type="character" w:customStyle="1" w:styleId="Heading4Char">
    <w:name w:val="Heading 4 Char"/>
    <w:basedOn w:val="DefaultParagraphFont"/>
    <w:link w:val="Heading4"/>
    <w:uiPriority w:val="9"/>
    <w:semiHidden/>
    <w:rsid w:val="003F48EA"/>
    <w:rPr>
      <w:rFonts w:ascii="Arial" w:eastAsia="Calibri" w:hAnsi="Arial" w:cs="Arial"/>
      <w:b/>
      <w:sz w:val="21"/>
      <w:szCs w:val="24"/>
      <w:lang w:val="en-US"/>
    </w:rPr>
  </w:style>
  <w:style w:type="character" w:customStyle="1" w:styleId="Heading5Char">
    <w:name w:val="Heading 5 Char"/>
    <w:basedOn w:val="DefaultParagraphFont"/>
    <w:link w:val="Heading5"/>
    <w:uiPriority w:val="9"/>
    <w:semiHidden/>
    <w:rsid w:val="003F48EA"/>
    <w:rPr>
      <w:rFonts w:ascii="Arial" w:eastAsia="Calibri" w:hAnsi="Arial" w:cs="Arial"/>
      <w:b/>
      <w:sz w:val="21"/>
      <w:szCs w:val="24"/>
      <w:lang w:val="en-US"/>
    </w:rPr>
  </w:style>
  <w:style w:type="character" w:customStyle="1" w:styleId="Heading6Char">
    <w:name w:val="Heading 6 Char"/>
    <w:basedOn w:val="DefaultParagraphFont"/>
    <w:link w:val="Heading6"/>
    <w:uiPriority w:val="9"/>
    <w:semiHidden/>
    <w:rsid w:val="003F48EA"/>
    <w:rPr>
      <w:rFonts w:ascii="Arial" w:eastAsia="Calibri" w:hAnsi="Arial" w:cs="Arial"/>
      <w:b/>
      <w:sz w:val="20"/>
      <w:szCs w:val="20"/>
      <w:lang w:val="en-US"/>
    </w:rPr>
  </w:style>
  <w:style w:type="character" w:customStyle="1" w:styleId="Heading7Char">
    <w:name w:val="Heading 7 Char"/>
    <w:basedOn w:val="DefaultParagraphFont"/>
    <w:link w:val="Heading7"/>
    <w:uiPriority w:val="9"/>
    <w:semiHidden/>
    <w:rsid w:val="003F48EA"/>
    <w:rPr>
      <w:rFonts w:asciiTheme="majorHAnsi" w:eastAsiaTheme="majorEastAsia" w:hAnsiTheme="majorHAnsi" w:cstheme="majorBidi"/>
      <w:i/>
      <w:iCs/>
      <w:color w:val="1F4D78" w:themeColor="accent1" w:themeShade="7F"/>
      <w:sz w:val="24"/>
      <w:szCs w:val="24"/>
      <w:lang w:val="en-US"/>
    </w:rPr>
  </w:style>
  <w:style w:type="character" w:customStyle="1" w:styleId="Heading8Char">
    <w:name w:val="Heading 8 Char"/>
    <w:basedOn w:val="DefaultParagraphFont"/>
    <w:link w:val="Heading8"/>
    <w:uiPriority w:val="9"/>
    <w:semiHidden/>
    <w:rsid w:val="003F48E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3F48EA"/>
    <w:rPr>
      <w:rFonts w:asciiTheme="majorHAnsi" w:eastAsiaTheme="majorEastAsia" w:hAnsiTheme="majorHAnsi" w:cstheme="majorBidi"/>
      <w:i/>
      <w:iCs/>
      <w:color w:val="272727" w:themeColor="text1" w:themeTint="D8"/>
      <w:sz w:val="21"/>
      <w:szCs w:val="21"/>
      <w:lang w:val="en-US"/>
    </w:rPr>
  </w:style>
  <w:style w:type="paragraph" w:styleId="Title">
    <w:name w:val="Title"/>
    <w:basedOn w:val="Normal"/>
    <w:next w:val="Normal"/>
    <w:link w:val="TitleChar"/>
    <w:uiPriority w:val="10"/>
    <w:qFormat/>
    <w:rsid w:val="003F48EA"/>
    <w:pPr>
      <w:spacing w:line="48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uiPriority w:val="10"/>
    <w:rsid w:val="003F48EA"/>
    <w:rPr>
      <w:rFonts w:ascii="Times New Roman" w:eastAsia="Times New Roman" w:hAnsi="Times New Roman" w:cs="Times New Roman"/>
      <w:b/>
      <w:bCs/>
      <w:sz w:val="24"/>
      <w:szCs w:val="24"/>
      <w:lang w:val="en-US"/>
    </w:rPr>
  </w:style>
  <w:style w:type="paragraph" w:styleId="FootnoteText">
    <w:name w:val="footnote text"/>
    <w:basedOn w:val="Normal"/>
    <w:link w:val="FootnoteTextChar"/>
    <w:uiPriority w:val="99"/>
    <w:unhideWhenUsed/>
    <w:rsid w:val="003F48EA"/>
    <w:pPr>
      <w:spacing w:after="0" w:line="240" w:lineRule="auto"/>
      <w:jc w:val="both"/>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3F48E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F48EA"/>
    <w:rPr>
      <w:vertAlign w:val="superscript"/>
    </w:rPr>
  </w:style>
  <w:style w:type="character" w:styleId="CommentReference">
    <w:name w:val="annotation reference"/>
    <w:basedOn w:val="DefaultParagraphFont"/>
    <w:uiPriority w:val="99"/>
    <w:semiHidden/>
    <w:unhideWhenUsed/>
    <w:rsid w:val="003F48EA"/>
    <w:rPr>
      <w:sz w:val="16"/>
      <w:szCs w:val="16"/>
    </w:rPr>
  </w:style>
  <w:style w:type="paragraph" w:styleId="CommentText">
    <w:name w:val="annotation text"/>
    <w:basedOn w:val="Normal"/>
    <w:link w:val="CommentTextChar"/>
    <w:uiPriority w:val="99"/>
    <w:unhideWhenUsed/>
    <w:rsid w:val="003F48EA"/>
    <w:pPr>
      <w:spacing w:line="240" w:lineRule="auto"/>
      <w:jc w:val="both"/>
    </w:pPr>
    <w:rPr>
      <w:rFonts w:ascii="Times New Roman" w:eastAsia="Calibri" w:hAnsi="Times New Roman" w:cs="Times New Roman"/>
      <w:sz w:val="20"/>
      <w:szCs w:val="20"/>
      <w:lang w:val="en-US"/>
    </w:rPr>
  </w:style>
  <w:style w:type="character" w:customStyle="1" w:styleId="CommentTextChar">
    <w:name w:val="Comment Text Char"/>
    <w:basedOn w:val="DefaultParagraphFont"/>
    <w:link w:val="CommentText"/>
    <w:uiPriority w:val="99"/>
    <w:rsid w:val="003F48EA"/>
    <w:rPr>
      <w:rFonts w:ascii="Times New Roman" w:eastAsia="Calibri" w:hAnsi="Times New Roman" w:cs="Times New Roman"/>
      <w:sz w:val="20"/>
      <w:szCs w:val="20"/>
      <w:lang w:val="en-US"/>
    </w:rPr>
  </w:style>
  <w:style w:type="paragraph" w:styleId="NormalWeb">
    <w:name w:val="Normal (Web)"/>
    <w:basedOn w:val="Normal"/>
    <w:uiPriority w:val="99"/>
    <w:unhideWhenUsed/>
    <w:rsid w:val="003F48EA"/>
    <w:pPr>
      <w:spacing w:before="100" w:beforeAutospacing="1" w:after="100" w:afterAutospacing="1" w:line="240" w:lineRule="auto"/>
      <w:jc w:val="both"/>
    </w:pPr>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3F48EA"/>
    <w:pPr>
      <w:spacing w:after="0" w:line="240" w:lineRule="auto"/>
      <w:jc w:val="both"/>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3F48EA"/>
    <w:rPr>
      <w:rFonts w:ascii="Segoe UI" w:eastAsia="Times New Roman" w:hAnsi="Segoe UI" w:cs="Segoe UI"/>
      <w:sz w:val="18"/>
      <w:szCs w:val="18"/>
      <w:lang w:val="en-US"/>
    </w:rPr>
  </w:style>
  <w:style w:type="paragraph" w:styleId="ListParagraph">
    <w:name w:val="List Paragraph"/>
    <w:basedOn w:val="Normal"/>
    <w:uiPriority w:val="34"/>
    <w:qFormat/>
    <w:rsid w:val="003F48EA"/>
    <w:pPr>
      <w:spacing w:line="480" w:lineRule="auto"/>
      <w:ind w:left="720"/>
      <w:contextualSpacing/>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F48EA"/>
    <w:pPr>
      <w:tabs>
        <w:tab w:val="center" w:pos="4680"/>
        <w:tab w:val="right" w:pos="9360"/>
      </w:tabs>
      <w:spacing w:after="0" w:line="240" w:lineRule="auto"/>
      <w:jc w:val="both"/>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F48E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F48EA"/>
    <w:pPr>
      <w:tabs>
        <w:tab w:val="center" w:pos="4680"/>
        <w:tab w:val="right" w:pos="9360"/>
      </w:tabs>
      <w:spacing w:after="0" w:line="240" w:lineRule="auto"/>
      <w:jc w:val="both"/>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3F48EA"/>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3F48EA"/>
    <w:pPr>
      <w:spacing w:after="0" w:line="240" w:lineRule="auto"/>
      <w:jc w:val="both"/>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3F48EA"/>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3F48EA"/>
    <w:rPr>
      <w:vertAlign w:val="superscript"/>
    </w:rPr>
  </w:style>
  <w:style w:type="paragraph" w:styleId="CommentSubject">
    <w:name w:val="annotation subject"/>
    <w:basedOn w:val="CommentText"/>
    <w:next w:val="CommentText"/>
    <w:link w:val="CommentSubjectChar"/>
    <w:uiPriority w:val="99"/>
    <w:semiHidden/>
    <w:unhideWhenUsed/>
    <w:rsid w:val="003F48EA"/>
    <w:rPr>
      <w:rFonts w:eastAsiaTheme="minorHAnsi"/>
      <w:b/>
      <w:bCs/>
    </w:rPr>
  </w:style>
  <w:style w:type="character" w:customStyle="1" w:styleId="CommentSubjectChar">
    <w:name w:val="Comment Subject Char"/>
    <w:basedOn w:val="CommentTextChar"/>
    <w:link w:val="CommentSubject"/>
    <w:uiPriority w:val="99"/>
    <w:semiHidden/>
    <w:rsid w:val="003F48EA"/>
    <w:rPr>
      <w:rFonts w:ascii="Times New Roman" w:eastAsia="Calibri" w:hAnsi="Times New Roman" w:cs="Times New Roman"/>
      <w:b/>
      <w:bCs/>
      <w:sz w:val="20"/>
      <w:szCs w:val="20"/>
      <w:lang w:val="en-US"/>
    </w:rPr>
  </w:style>
  <w:style w:type="paragraph" w:styleId="Subtitle">
    <w:name w:val="Subtitle"/>
    <w:basedOn w:val="Normal"/>
    <w:next w:val="Normal"/>
    <w:link w:val="SubtitleChar"/>
    <w:uiPriority w:val="11"/>
    <w:qFormat/>
    <w:rsid w:val="003F48EA"/>
    <w:pPr>
      <w:keepNext/>
      <w:keepLines/>
      <w:spacing w:before="360" w:after="80" w:line="480" w:lineRule="auto"/>
      <w:jc w:val="both"/>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3F48EA"/>
    <w:rPr>
      <w:rFonts w:ascii="Georgia" w:eastAsia="Georgia" w:hAnsi="Georgia" w:cs="Georgia"/>
      <w:i/>
      <w:color w:val="666666"/>
      <w:sz w:val="48"/>
      <w:szCs w:val="48"/>
      <w:lang w:val="en-US"/>
    </w:rPr>
  </w:style>
  <w:style w:type="paragraph" w:styleId="Caption">
    <w:name w:val="caption"/>
    <w:basedOn w:val="Normal"/>
    <w:next w:val="Normal"/>
    <w:uiPriority w:val="35"/>
    <w:unhideWhenUsed/>
    <w:qFormat/>
    <w:rsid w:val="003F48EA"/>
    <w:pPr>
      <w:spacing w:after="200" w:line="240" w:lineRule="auto"/>
      <w:jc w:val="both"/>
    </w:pPr>
    <w:rPr>
      <w:rFonts w:ascii="Arial" w:eastAsia="Times New Roman" w:hAnsi="Arial" w:cs="Arial"/>
      <w:i/>
      <w:iCs/>
      <w:color w:val="44546A" w:themeColor="text2"/>
      <w:sz w:val="18"/>
      <w:szCs w:val="18"/>
      <w:lang w:val="en-US"/>
    </w:rPr>
  </w:style>
  <w:style w:type="paragraph" w:styleId="NoSpacing">
    <w:name w:val="No Spacing"/>
    <w:link w:val="NoSpacingChar"/>
    <w:uiPriority w:val="1"/>
    <w:qFormat/>
    <w:rsid w:val="003F48EA"/>
    <w:pPr>
      <w:spacing w:after="0" w:line="240" w:lineRule="auto"/>
      <w:jc w:val="both"/>
    </w:pPr>
    <w:rPr>
      <w:rFonts w:ascii="Times New Roman" w:eastAsia="Times New Roman" w:hAnsi="Times New Roman" w:cs="Times New Roman"/>
      <w:sz w:val="24"/>
      <w:szCs w:val="24"/>
      <w:lang w:val="en-US"/>
    </w:rPr>
  </w:style>
  <w:style w:type="character" w:customStyle="1" w:styleId="NoSpacingChar">
    <w:name w:val="No Spacing Char"/>
    <w:basedOn w:val="DefaultParagraphFont"/>
    <w:link w:val="NoSpacing"/>
    <w:uiPriority w:val="1"/>
    <w:rsid w:val="003F48EA"/>
    <w:rPr>
      <w:rFonts w:ascii="Times New Roman" w:eastAsia="Times New Roman" w:hAnsi="Times New Roman" w:cs="Times New Roman"/>
      <w:sz w:val="24"/>
      <w:szCs w:val="24"/>
      <w:lang w:val="en-US"/>
    </w:rPr>
  </w:style>
  <w:style w:type="paragraph" w:styleId="TOC1">
    <w:name w:val="toc 1"/>
    <w:basedOn w:val="Normal"/>
    <w:next w:val="Normal"/>
    <w:autoRedefine/>
    <w:uiPriority w:val="39"/>
    <w:unhideWhenUsed/>
    <w:rsid w:val="003F48EA"/>
    <w:pPr>
      <w:spacing w:after="100" w:line="480" w:lineRule="auto"/>
      <w:jc w:val="both"/>
    </w:pPr>
    <w:rPr>
      <w:rFonts w:ascii="Arial" w:eastAsia="Calibri" w:hAnsi="Arial" w:cs="Arial"/>
      <w:sz w:val="21"/>
      <w:szCs w:val="24"/>
      <w:lang w:val="en-US"/>
    </w:rPr>
  </w:style>
  <w:style w:type="paragraph" w:styleId="TOC2">
    <w:name w:val="toc 2"/>
    <w:basedOn w:val="Normal"/>
    <w:next w:val="Normal"/>
    <w:autoRedefine/>
    <w:uiPriority w:val="39"/>
    <w:unhideWhenUsed/>
    <w:rsid w:val="003F48EA"/>
    <w:pPr>
      <w:spacing w:after="100" w:line="480" w:lineRule="auto"/>
      <w:ind w:left="210"/>
      <w:jc w:val="both"/>
    </w:pPr>
    <w:rPr>
      <w:rFonts w:ascii="Arial" w:eastAsia="Calibri" w:hAnsi="Arial" w:cs="Arial"/>
      <w:sz w:val="21"/>
      <w:szCs w:val="24"/>
      <w:lang w:val="en-US"/>
    </w:rPr>
  </w:style>
  <w:style w:type="character" w:styleId="Hyperlink">
    <w:name w:val="Hyperlink"/>
    <w:basedOn w:val="DefaultParagraphFont"/>
    <w:uiPriority w:val="99"/>
    <w:unhideWhenUsed/>
    <w:rsid w:val="003F48EA"/>
    <w:rPr>
      <w:color w:val="0563C1" w:themeColor="hyperlink"/>
      <w:u w:val="single"/>
    </w:rPr>
  </w:style>
  <w:style w:type="paragraph" w:styleId="PlainText">
    <w:name w:val="Plain Text"/>
    <w:basedOn w:val="Normal"/>
    <w:link w:val="PlainTextChar"/>
    <w:uiPriority w:val="99"/>
    <w:unhideWhenUsed/>
    <w:rsid w:val="003F48EA"/>
    <w:pPr>
      <w:spacing w:after="0" w:line="240" w:lineRule="auto"/>
      <w:jc w:val="both"/>
    </w:pPr>
    <w:rPr>
      <w:rFonts w:ascii="Consolas" w:eastAsia="Times New Roman" w:hAnsi="Consolas" w:cs="Courier New"/>
      <w:sz w:val="21"/>
      <w:szCs w:val="21"/>
      <w:lang w:val="en-GB" w:eastAsia="en-GB"/>
    </w:rPr>
  </w:style>
  <w:style w:type="character" w:customStyle="1" w:styleId="PlainTextChar">
    <w:name w:val="Plain Text Char"/>
    <w:basedOn w:val="DefaultParagraphFont"/>
    <w:link w:val="PlainText"/>
    <w:uiPriority w:val="99"/>
    <w:rsid w:val="003F48EA"/>
    <w:rPr>
      <w:rFonts w:ascii="Consolas" w:eastAsia="Times New Roman" w:hAnsi="Consolas" w:cs="Courier New"/>
      <w:sz w:val="21"/>
      <w:szCs w:val="21"/>
      <w:lang w:val="en-GB" w:eastAsia="en-GB"/>
    </w:rPr>
  </w:style>
  <w:style w:type="table" w:styleId="TableGrid">
    <w:name w:val="Table Grid"/>
    <w:basedOn w:val="TableNormal"/>
    <w:uiPriority w:val="39"/>
    <w:rsid w:val="003F48EA"/>
    <w:pPr>
      <w:spacing w:after="0" w:line="240" w:lineRule="auto"/>
      <w:jc w:val="both"/>
    </w:pPr>
    <w:rPr>
      <w:rFonts w:ascii="Calibri" w:eastAsia="Calibri" w:hAnsi="Calibri" w:cs="Calibri"/>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basedOn w:val="TableNormal"/>
    <w:uiPriority w:val="46"/>
    <w:rsid w:val="003F48EA"/>
    <w:pPr>
      <w:spacing w:after="0" w:line="240" w:lineRule="auto"/>
      <w:jc w:val="both"/>
    </w:pPr>
    <w:rPr>
      <w:rFonts w:ascii="Calibri" w:eastAsia="Calibri" w:hAnsi="Calibri" w:cs="Calibri"/>
      <w:sz w:val="24"/>
      <w:szCs w:val="24"/>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3F48EA"/>
    <w:pPr>
      <w:spacing w:after="0" w:line="240" w:lineRule="auto"/>
      <w:jc w:val="both"/>
    </w:pPr>
    <w:rPr>
      <w:rFonts w:ascii="Times New Roman" w:eastAsia="Times New Roman" w:hAnsi="Times New Roman" w:cs="Times New Roman"/>
      <w:sz w:val="24"/>
      <w:szCs w:val="24"/>
      <w:lang w:val="en-US"/>
    </w:rPr>
  </w:style>
  <w:style w:type="table" w:styleId="PlainTable2">
    <w:name w:val="Plain Table 2"/>
    <w:basedOn w:val="TableNormal"/>
    <w:uiPriority w:val="42"/>
    <w:rsid w:val="003F48EA"/>
    <w:pPr>
      <w:spacing w:after="0" w:line="240" w:lineRule="auto"/>
      <w:jc w:val="both"/>
    </w:pPr>
    <w:rPr>
      <w:rFonts w:ascii="Times New Roman" w:eastAsia="Times New Roman" w:hAnsi="Times New Roman" w:cs="Times New Roman"/>
      <w:sz w:val="24"/>
      <w:szCs w:val="24"/>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F48EA"/>
    <w:pPr>
      <w:spacing w:after="0" w:line="240" w:lineRule="auto"/>
      <w:jc w:val="both"/>
    </w:pPr>
    <w:rPr>
      <w:rFonts w:ascii="Times New Roman" w:eastAsia="Times New Roman" w:hAnsi="Times New Roman" w:cs="Times New Roman"/>
      <w:sz w:val="24"/>
      <w:szCs w:val="24"/>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1">
    <w:name w:val="Style1"/>
    <w:basedOn w:val="Normal"/>
    <w:link w:val="Style1Char"/>
    <w:qFormat/>
    <w:rsid w:val="003F48EA"/>
    <w:pPr>
      <w:spacing w:after="0" w:line="240" w:lineRule="auto"/>
    </w:pPr>
    <w:rPr>
      <w:sz w:val="24"/>
      <w:szCs w:val="24"/>
      <w:lang w:val="en-US"/>
    </w:rPr>
  </w:style>
  <w:style w:type="character" w:customStyle="1" w:styleId="Style1Char">
    <w:name w:val="Style1 Char"/>
    <w:basedOn w:val="DefaultParagraphFont"/>
    <w:link w:val="Style1"/>
    <w:rsid w:val="003F48EA"/>
    <w:rPr>
      <w:sz w:val="24"/>
      <w:szCs w:val="24"/>
      <w:lang w:val="en-US"/>
    </w:rPr>
  </w:style>
  <w:style w:type="table" w:styleId="PlainTable1">
    <w:name w:val="Plain Table 1"/>
    <w:basedOn w:val="TableNormal"/>
    <w:uiPriority w:val="41"/>
    <w:rsid w:val="003F48EA"/>
    <w:pPr>
      <w:spacing w:after="0" w:line="240" w:lineRule="auto"/>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hyperlink" Target="http://www.iicpsd.undp.org"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a:t>Temporal Distribution of the Sample (n=110)</a:t>
            </a: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Articles in our sample (N=110)</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Sheet1!$A$2:$A$17</c:f>
              <c:strCache>
                <c:ptCount val="16"/>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strCache>
            </c:strRef>
          </c:cat>
          <c:val>
            <c:numRef>
              <c:f>Sheet1!$B$2:$B$17</c:f>
              <c:numCache>
                <c:formatCode>General</c:formatCode>
                <c:ptCount val="16"/>
                <c:pt idx="0">
                  <c:v>1</c:v>
                </c:pt>
                <c:pt idx="1">
                  <c:v>1</c:v>
                </c:pt>
                <c:pt idx="2">
                  <c:v>3</c:v>
                </c:pt>
                <c:pt idx="3">
                  <c:v>3</c:v>
                </c:pt>
                <c:pt idx="4">
                  <c:v>2</c:v>
                </c:pt>
                <c:pt idx="5">
                  <c:v>6</c:v>
                </c:pt>
                <c:pt idx="6">
                  <c:v>7</c:v>
                </c:pt>
                <c:pt idx="7">
                  <c:v>4</c:v>
                </c:pt>
                <c:pt idx="8">
                  <c:v>11</c:v>
                </c:pt>
                <c:pt idx="9">
                  <c:v>5</c:v>
                </c:pt>
                <c:pt idx="10">
                  <c:v>14</c:v>
                </c:pt>
                <c:pt idx="11">
                  <c:v>11</c:v>
                </c:pt>
                <c:pt idx="12">
                  <c:v>11</c:v>
                </c:pt>
                <c:pt idx="13">
                  <c:v>6</c:v>
                </c:pt>
                <c:pt idx="14">
                  <c:v>16</c:v>
                </c:pt>
                <c:pt idx="15">
                  <c:v>9</c:v>
                </c:pt>
              </c:numCache>
            </c:numRef>
          </c:val>
          <c:smooth val="0"/>
          <c:extLst xmlns:c16r2="http://schemas.microsoft.com/office/drawing/2015/06/chart">
            <c:ext xmlns:c16="http://schemas.microsoft.com/office/drawing/2014/chart" uri="{C3380CC4-5D6E-409C-BE32-E72D297353CC}">
              <c16:uniqueId val="{00000000-0984-4504-8EFC-676015E0FD79}"/>
            </c:ext>
          </c:extLst>
        </c:ser>
        <c:dLbls>
          <c:dLblPos val="ctr"/>
          <c:showLegendKey val="0"/>
          <c:showVal val="1"/>
          <c:showCatName val="0"/>
          <c:showSerName val="0"/>
          <c:showPercent val="0"/>
          <c:showBubbleSize val="0"/>
        </c:dLbls>
        <c:marker val="1"/>
        <c:smooth val="0"/>
        <c:axId val="454834576"/>
        <c:axId val="454840560"/>
      </c:lineChart>
      <c:catAx>
        <c:axId val="4548345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454840560"/>
        <c:crosses val="autoZero"/>
        <c:auto val="1"/>
        <c:lblAlgn val="ctr"/>
        <c:lblOffset val="100"/>
        <c:noMultiLvlLbl val="0"/>
      </c:catAx>
      <c:valAx>
        <c:axId val="454840560"/>
        <c:scaling>
          <c:orientation val="minMax"/>
        </c:scaling>
        <c:delete val="1"/>
        <c:axPos val="l"/>
        <c:numFmt formatCode="General" sourceLinked="1"/>
        <c:majorTickMark val="none"/>
        <c:minorTickMark val="none"/>
        <c:tickLblPos val="nextTo"/>
        <c:crossAx val="45483457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Methodological Apaproaches (N=110)</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Multiple case study</c:v>
                </c:pt>
                <c:pt idx="1">
                  <c:v>Conceptual</c:v>
                </c:pt>
                <c:pt idx="2">
                  <c:v>Qualitative exploratory</c:v>
                </c:pt>
                <c:pt idx="3">
                  <c:v>Single case study</c:v>
                </c:pt>
                <c:pt idx="4">
                  <c:v>Action research</c:v>
                </c:pt>
                <c:pt idx="5">
                  <c:v>Literature review </c:v>
                </c:pt>
                <c:pt idx="6">
                  <c:v>Others (mixed methods, experiments etc.)</c:v>
                </c:pt>
              </c:strCache>
            </c:strRef>
          </c:cat>
          <c:val>
            <c:numRef>
              <c:f>Sheet1!$B$2:$B$8</c:f>
              <c:numCache>
                <c:formatCode>General</c:formatCode>
                <c:ptCount val="7"/>
                <c:pt idx="0">
                  <c:v>22</c:v>
                </c:pt>
                <c:pt idx="1">
                  <c:v>21</c:v>
                </c:pt>
                <c:pt idx="2">
                  <c:v>17</c:v>
                </c:pt>
                <c:pt idx="3">
                  <c:v>16</c:v>
                </c:pt>
                <c:pt idx="4">
                  <c:v>12</c:v>
                </c:pt>
                <c:pt idx="5">
                  <c:v>10</c:v>
                </c:pt>
                <c:pt idx="6">
                  <c:v>8</c:v>
                </c:pt>
              </c:numCache>
            </c:numRef>
          </c:val>
          <c:extLst xmlns:c16r2="http://schemas.microsoft.com/office/drawing/2015/06/chart">
            <c:ext xmlns:c16="http://schemas.microsoft.com/office/drawing/2014/chart" uri="{C3380CC4-5D6E-409C-BE32-E72D297353CC}">
              <c16:uniqueId val="{00000000-E130-4D30-B14F-B5B8B34E3252}"/>
            </c:ext>
          </c:extLst>
        </c:ser>
        <c:dLbls>
          <c:dLblPos val="outEnd"/>
          <c:showLegendKey val="0"/>
          <c:showVal val="1"/>
          <c:showCatName val="0"/>
          <c:showSerName val="0"/>
          <c:showPercent val="0"/>
          <c:showBubbleSize val="0"/>
        </c:dLbls>
        <c:gapWidth val="164"/>
        <c:overlap val="-22"/>
        <c:axId val="454785616"/>
        <c:axId val="454787792"/>
      </c:barChart>
      <c:catAx>
        <c:axId val="4547856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87792"/>
        <c:crosses val="autoZero"/>
        <c:auto val="1"/>
        <c:lblAlgn val="ctr"/>
        <c:lblOffset val="100"/>
        <c:noMultiLvlLbl val="0"/>
      </c:catAx>
      <c:valAx>
        <c:axId val="4547877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85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5944006999125087E-2"/>
          <c:y val="0.15059271437224192"/>
          <c:w val="0.79843919510061245"/>
          <c:h val="0.84749224528752087"/>
        </c:manualLayout>
      </c:layout>
      <c:barChart>
        <c:barDir val="col"/>
        <c:grouping val="clustered"/>
        <c:varyColors val="0"/>
        <c:ser>
          <c:idx val="0"/>
          <c:order val="0"/>
          <c:tx>
            <c:strRef>
              <c:f>Sheet1!$B$1</c:f>
              <c:strCache>
                <c:ptCount val="1"/>
                <c:pt idx="0">
                  <c:v>Success/Failures of BoP Innitiatives Investigated (N=110)</c:v>
                </c:pt>
              </c:strCache>
            </c:strRef>
          </c:tx>
          <c:spPr>
            <a:pattFill prst="narHorz">
              <a:fgClr>
                <a:schemeClr val="accent3">
                  <a:shade val="65000"/>
                </a:schemeClr>
              </a:fgClr>
              <a:bgClr>
                <a:schemeClr val="accent3">
                  <a:shade val="65000"/>
                  <a:lumMod val="20000"/>
                  <a:lumOff val="80000"/>
                </a:schemeClr>
              </a:bgClr>
            </a:pattFill>
            <a:ln>
              <a:noFill/>
            </a:ln>
            <a:effectLst>
              <a:innerShdw blurRad="114300">
                <a:schemeClr val="accent3">
                  <a:shade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Success</c:v>
                </c:pt>
                <c:pt idx="1">
                  <c:v>Mixed success</c:v>
                </c:pt>
                <c:pt idx="2">
                  <c:v>Not Specified</c:v>
                </c:pt>
                <c:pt idx="3">
                  <c:v>Failure</c:v>
                </c:pt>
                <c:pt idx="4">
                  <c:v>Pilot stage</c:v>
                </c:pt>
              </c:strCache>
            </c:strRef>
          </c:cat>
          <c:val>
            <c:numRef>
              <c:f>Sheet1!$B$2:$B$6</c:f>
              <c:numCache>
                <c:formatCode>General</c:formatCode>
                <c:ptCount val="5"/>
                <c:pt idx="0">
                  <c:v>65</c:v>
                </c:pt>
                <c:pt idx="1">
                  <c:v>20</c:v>
                </c:pt>
                <c:pt idx="2">
                  <c:v>20</c:v>
                </c:pt>
                <c:pt idx="3">
                  <c:v>3</c:v>
                </c:pt>
                <c:pt idx="4">
                  <c:v>2</c:v>
                </c:pt>
              </c:numCache>
            </c:numRef>
          </c:val>
          <c:extLst xmlns:c16r2="http://schemas.microsoft.com/office/drawing/2015/06/chart">
            <c:ext xmlns:c16="http://schemas.microsoft.com/office/drawing/2014/chart" uri="{C3380CC4-5D6E-409C-BE32-E72D297353CC}">
              <c16:uniqueId val="{00000000-B166-4919-824E-8B52CD65AC07}"/>
            </c:ext>
          </c:extLst>
        </c:ser>
        <c:ser>
          <c:idx val="1"/>
          <c:order val="1"/>
          <c:tx>
            <c:strRef>
              <c:f>Sheet1!$C$1</c:f>
              <c:strCache>
                <c:ptCount val="1"/>
                <c:pt idx="0">
                  <c:v>Column1</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Success</c:v>
                </c:pt>
                <c:pt idx="1">
                  <c:v>Mixed success</c:v>
                </c:pt>
                <c:pt idx="2">
                  <c:v>Not Specified</c:v>
                </c:pt>
                <c:pt idx="3">
                  <c:v>Failure</c:v>
                </c:pt>
                <c:pt idx="4">
                  <c:v>Pilot stage</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B166-4919-824E-8B52CD65AC07}"/>
            </c:ext>
          </c:extLst>
        </c:ser>
        <c:ser>
          <c:idx val="2"/>
          <c:order val="2"/>
          <c:tx>
            <c:strRef>
              <c:f>Sheet1!$D$1</c:f>
              <c:strCache>
                <c:ptCount val="1"/>
                <c:pt idx="0">
                  <c:v>Column2</c:v>
                </c:pt>
              </c:strCache>
            </c:strRef>
          </c:tx>
          <c:spPr>
            <a:pattFill prst="narHorz">
              <a:fgClr>
                <a:schemeClr val="accent3">
                  <a:tint val="65000"/>
                </a:schemeClr>
              </a:fgClr>
              <a:bgClr>
                <a:schemeClr val="accent3">
                  <a:tint val="65000"/>
                  <a:lumMod val="20000"/>
                  <a:lumOff val="80000"/>
                </a:schemeClr>
              </a:bgClr>
            </a:pattFill>
            <a:ln>
              <a:noFill/>
            </a:ln>
            <a:effectLst>
              <a:innerShdw blurRad="114300">
                <a:schemeClr val="accent3">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Success</c:v>
                </c:pt>
                <c:pt idx="1">
                  <c:v>Mixed success</c:v>
                </c:pt>
                <c:pt idx="2">
                  <c:v>Not Specified</c:v>
                </c:pt>
                <c:pt idx="3">
                  <c:v>Failure</c:v>
                </c:pt>
                <c:pt idx="4">
                  <c:v>Pilot stage</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B166-4919-824E-8B52CD65AC07}"/>
            </c:ext>
          </c:extLst>
        </c:ser>
        <c:dLbls>
          <c:dLblPos val="outEnd"/>
          <c:showLegendKey val="0"/>
          <c:showVal val="1"/>
          <c:showCatName val="0"/>
          <c:showSerName val="0"/>
          <c:showPercent val="0"/>
          <c:showBubbleSize val="0"/>
        </c:dLbls>
        <c:gapWidth val="164"/>
        <c:overlap val="-22"/>
        <c:axId val="454793776"/>
        <c:axId val="454801936"/>
      </c:barChart>
      <c:valAx>
        <c:axId val="4548019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93776"/>
        <c:crosses val="autoZero"/>
        <c:crossBetween val="between"/>
      </c:valAx>
      <c:catAx>
        <c:axId val="4547937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801936"/>
        <c:crosses val="autoZero"/>
        <c:auto val="0"/>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Sheet1!$B$1</c:f>
              <c:strCache>
                <c:ptCount val="1"/>
                <c:pt idx="0">
                  <c:v>Dominant Theoretical Perspectives</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Sustainable innovation and technologies</c:v>
                </c:pt>
                <c:pt idx="1">
                  <c:v>Shared value and inclusive business</c:v>
                </c:pt>
                <c:pt idx="2">
                  <c:v>(Social) entreprenership and social business</c:v>
                </c:pt>
                <c:pt idx="3">
                  <c:v>Transdisciplinary theories</c:v>
                </c:pt>
                <c:pt idx="4">
                  <c:v>Innovation Management</c:v>
                </c:pt>
                <c:pt idx="5">
                  <c:v>Strategy and organization theory</c:v>
                </c:pt>
                <c:pt idx="6">
                  <c:v>International business</c:v>
                </c:pt>
              </c:strCache>
            </c:strRef>
          </c:cat>
          <c:val>
            <c:numRef>
              <c:f>Sheet1!$B$2:$B$8</c:f>
              <c:numCache>
                <c:formatCode>General</c:formatCode>
                <c:ptCount val="7"/>
                <c:pt idx="0">
                  <c:v>5</c:v>
                </c:pt>
                <c:pt idx="1">
                  <c:v>6</c:v>
                </c:pt>
                <c:pt idx="2">
                  <c:v>8</c:v>
                </c:pt>
                <c:pt idx="3">
                  <c:v>13</c:v>
                </c:pt>
                <c:pt idx="4">
                  <c:v>15</c:v>
                </c:pt>
                <c:pt idx="5">
                  <c:v>25</c:v>
                </c:pt>
                <c:pt idx="6">
                  <c:v>38</c:v>
                </c:pt>
              </c:numCache>
            </c:numRef>
          </c:val>
          <c:extLst xmlns:c16r2="http://schemas.microsoft.com/office/drawing/2015/06/chart">
            <c:ext xmlns:c16="http://schemas.microsoft.com/office/drawing/2014/chart" uri="{C3380CC4-5D6E-409C-BE32-E72D297353CC}">
              <c16:uniqueId val="{00000000-6252-42D8-B57D-1AD3B355BAF3}"/>
            </c:ext>
          </c:extLst>
        </c:ser>
        <c:dLbls>
          <c:dLblPos val="inEnd"/>
          <c:showLegendKey val="0"/>
          <c:showVal val="1"/>
          <c:showCatName val="0"/>
          <c:showSerName val="0"/>
          <c:showPercent val="0"/>
          <c:showBubbleSize val="0"/>
        </c:dLbls>
        <c:gapWidth val="227"/>
        <c:overlap val="-48"/>
        <c:axId val="454800848"/>
        <c:axId val="454795952"/>
      </c:barChart>
      <c:valAx>
        <c:axId val="454795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800848"/>
        <c:crosses val="autoZero"/>
        <c:crossBetween val="between"/>
      </c:valAx>
      <c:catAx>
        <c:axId val="45480084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9595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2670</Words>
  <Characters>15225</Characters>
  <Application>Microsoft Office Word</Application>
  <DocSecurity>0</DocSecurity>
  <Lines>126</Lines>
  <Paragraphs>35</Paragraphs>
  <ScaleCrop>false</ScaleCrop>
  <Company/>
  <LinksUpToDate>false</LinksUpToDate>
  <CharactersWithSpaces>17860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Aswini A.</dc:creator>
  <cp:keywords/>
  <dc:description/>
  <cp:lastModifiedBy>Aswini A.</cp:lastModifiedBy>
  <cp:revision>2</cp:revision>
  <dcterms:created xsi:type="dcterms:W3CDTF">2020-12-27T05:29:00Z</dcterms:created>
  <dcterms:modified xsi:type="dcterms:W3CDTF">2020-12-27T05:30:00Z</dcterms:modified>
</cp:coreProperties>
</file>