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48735" w14:textId="77777777" w:rsidR="004A1C28" w:rsidRPr="009F70FE" w:rsidRDefault="002B452B">
      <w:pPr>
        <w:spacing w:line="480" w:lineRule="auto"/>
        <w:jc w:val="both"/>
        <w:rPr>
          <w:rFonts w:ascii="Arial Narrow" w:hAnsi="Arial Narrow"/>
          <w:color w:val="000000" w:themeColor="text1"/>
        </w:rPr>
      </w:pPr>
      <w:r w:rsidRPr="009F70FE">
        <w:rPr>
          <w:rFonts w:ascii="Arial Narrow" w:hAnsi="Arial Narrow"/>
          <w:b/>
          <w:bCs/>
          <w:color w:val="000000" w:themeColor="text1"/>
        </w:rPr>
        <w:t>APPENDIX 1:</w:t>
      </w:r>
      <w:r w:rsidRPr="009F70FE">
        <w:rPr>
          <w:rFonts w:ascii="Arial Narrow" w:hAnsi="Arial Narrow"/>
          <w:color w:val="000000" w:themeColor="text1"/>
        </w:rPr>
        <w:t xml:space="preserve"> List of Studies Included in the Analysis</w:t>
      </w:r>
    </w:p>
    <w:tbl>
      <w:tblPr>
        <w:tblStyle w:val="TableGrid"/>
        <w:tblW w:w="12021" w:type="dxa"/>
        <w:tblLayout w:type="fixed"/>
        <w:tblLook w:val="04A0" w:firstRow="1" w:lastRow="0" w:firstColumn="1" w:lastColumn="0" w:noHBand="0" w:noVBand="1"/>
      </w:tblPr>
      <w:tblGrid>
        <w:gridCol w:w="3635"/>
        <w:gridCol w:w="2917"/>
        <w:gridCol w:w="2552"/>
        <w:gridCol w:w="2917"/>
      </w:tblGrid>
      <w:tr w:rsidR="009F70FE" w:rsidRPr="009F70FE" w14:paraId="6B5A9BC7" w14:textId="77777777">
        <w:trPr>
          <w:trHeight w:val="695"/>
        </w:trPr>
        <w:tc>
          <w:tcPr>
            <w:tcW w:w="3635" w:type="dxa"/>
            <w:shd w:val="clear" w:color="auto" w:fill="auto"/>
          </w:tcPr>
          <w:p w14:paraId="7B33E706" w14:textId="77777777" w:rsidR="004A1C28" w:rsidRPr="009F70FE" w:rsidRDefault="002B452B">
            <w:pPr>
              <w:autoSpaceDE w:val="0"/>
              <w:autoSpaceDN w:val="0"/>
              <w:adjustRightInd w:val="0"/>
              <w:rPr>
                <w:rFonts w:ascii="Arial Narrow" w:eastAsiaTheme="minorHAnsi" w:hAnsi="Arial Narrow"/>
                <w:b/>
                <w:bCs/>
                <w:color w:val="000000" w:themeColor="text1"/>
                <w:lang w:eastAsia="en-US"/>
              </w:rPr>
            </w:pPr>
            <w:r w:rsidRPr="009F70FE">
              <w:rPr>
                <w:rFonts w:ascii="Arial Narrow" w:eastAsiaTheme="minorHAnsi" w:hAnsi="Arial Narrow"/>
                <w:b/>
                <w:bCs/>
                <w:color w:val="000000" w:themeColor="text1"/>
                <w:lang w:eastAsia="en-US"/>
              </w:rPr>
              <w:t>Author(s) and year</w:t>
            </w:r>
          </w:p>
        </w:tc>
        <w:tc>
          <w:tcPr>
            <w:tcW w:w="2917" w:type="dxa"/>
            <w:shd w:val="clear" w:color="auto" w:fill="auto"/>
          </w:tcPr>
          <w:p w14:paraId="1132CB3E" w14:textId="77777777" w:rsidR="004A1C28" w:rsidRPr="009F70FE" w:rsidRDefault="002B452B">
            <w:pPr>
              <w:autoSpaceDE w:val="0"/>
              <w:autoSpaceDN w:val="0"/>
              <w:adjustRightInd w:val="0"/>
              <w:rPr>
                <w:rFonts w:ascii="Arial Narrow" w:eastAsiaTheme="minorHAnsi" w:hAnsi="Arial Narrow"/>
                <w:b/>
                <w:bCs/>
                <w:color w:val="000000" w:themeColor="text1"/>
                <w:lang w:eastAsia="en-US"/>
              </w:rPr>
            </w:pPr>
            <w:r w:rsidRPr="009F70FE">
              <w:rPr>
                <w:rFonts w:ascii="Arial Narrow" w:eastAsiaTheme="minorHAnsi" w:hAnsi="Arial Narrow"/>
                <w:b/>
                <w:bCs/>
                <w:color w:val="000000" w:themeColor="text1"/>
                <w:lang w:eastAsia="en-US"/>
              </w:rPr>
              <w:t>Publication type</w:t>
            </w:r>
          </w:p>
        </w:tc>
        <w:tc>
          <w:tcPr>
            <w:tcW w:w="2552" w:type="dxa"/>
            <w:shd w:val="clear" w:color="auto" w:fill="auto"/>
          </w:tcPr>
          <w:p w14:paraId="64ABB8F3" w14:textId="77777777" w:rsidR="004A1C28" w:rsidRPr="009F70FE" w:rsidRDefault="002B452B">
            <w:pPr>
              <w:autoSpaceDE w:val="0"/>
              <w:autoSpaceDN w:val="0"/>
              <w:adjustRightInd w:val="0"/>
              <w:ind w:right="101"/>
              <w:rPr>
                <w:rFonts w:ascii="Arial Narrow" w:eastAsiaTheme="minorHAnsi" w:hAnsi="Arial Narrow"/>
                <w:b/>
                <w:bCs/>
                <w:color w:val="000000" w:themeColor="text1"/>
                <w:lang w:eastAsia="en-US"/>
              </w:rPr>
            </w:pPr>
            <w:r w:rsidRPr="009F70FE">
              <w:rPr>
                <w:rFonts w:ascii="Arial Narrow" w:eastAsiaTheme="minorHAnsi" w:hAnsi="Arial Narrow"/>
                <w:b/>
                <w:bCs/>
                <w:color w:val="000000" w:themeColor="text1"/>
                <w:lang w:eastAsia="en-US"/>
              </w:rPr>
              <w:t>Country</w:t>
            </w:r>
          </w:p>
        </w:tc>
        <w:tc>
          <w:tcPr>
            <w:tcW w:w="2917" w:type="dxa"/>
            <w:shd w:val="clear" w:color="auto" w:fill="auto"/>
          </w:tcPr>
          <w:p w14:paraId="2AE341A8" w14:textId="77777777" w:rsidR="004A1C28" w:rsidRPr="009F70FE" w:rsidRDefault="002B452B">
            <w:pPr>
              <w:autoSpaceDE w:val="0"/>
              <w:autoSpaceDN w:val="0"/>
              <w:adjustRightInd w:val="0"/>
              <w:rPr>
                <w:rFonts w:ascii="Arial Narrow" w:eastAsiaTheme="minorHAnsi" w:hAnsi="Arial Narrow"/>
                <w:b/>
                <w:bCs/>
                <w:color w:val="000000" w:themeColor="text1"/>
                <w:lang w:eastAsia="en-US"/>
              </w:rPr>
            </w:pPr>
            <w:r w:rsidRPr="009F70FE">
              <w:rPr>
                <w:rFonts w:ascii="Arial Narrow" w:eastAsiaTheme="minorHAnsi" w:hAnsi="Arial Narrow"/>
                <w:b/>
                <w:bCs/>
                <w:color w:val="000000" w:themeColor="text1"/>
                <w:lang w:eastAsia="en-US"/>
              </w:rPr>
              <w:t>Dependent variables</w:t>
            </w:r>
          </w:p>
        </w:tc>
      </w:tr>
      <w:tr w:rsidR="009F70FE" w:rsidRPr="009F70FE" w14:paraId="4CA3D4F7" w14:textId="77777777">
        <w:trPr>
          <w:trHeight w:val="143"/>
        </w:trPr>
        <w:tc>
          <w:tcPr>
            <w:tcW w:w="3635" w:type="dxa"/>
            <w:shd w:val="clear" w:color="auto" w:fill="auto"/>
          </w:tcPr>
          <w:p w14:paraId="0E1701A7"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Alesina, Lotti, &amp; Mistrulli (2013)</w:t>
            </w:r>
          </w:p>
        </w:tc>
        <w:tc>
          <w:tcPr>
            <w:tcW w:w="2917" w:type="dxa"/>
            <w:shd w:val="clear" w:color="auto" w:fill="auto"/>
          </w:tcPr>
          <w:p w14:paraId="23A72DED" w14:textId="77777777" w:rsidR="004A1C28" w:rsidRPr="009F70FE" w:rsidRDefault="002B452B">
            <w:pPr>
              <w:autoSpaceDE w:val="0"/>
              <w:autoSpaceDN w:val="0"/>
              <w:adjustRightInd w:val="0"/>
              <w:rPr>
                <w:rFonts w:ascii="Arial Narrow" w:eastAsiaTheme="minorHAnsi" w:hAnsi="Arial Narrow"/>
                <w:i/>
                <w:iCs/>
                <w:color w:val="000000" w:themeColor="text1"/>
                <w:lang w:eastAsia="en-US"/>
              </w:rPr>
            </w:pPr>
            <w:r w:rsidRPr="009F70FE">
              <w:rPr>
                <w:rFonts w:ascii="Arial Narrow" w:eastAsiaTheme="minorHAnsi" w:hAnsi="Arial Narrow"/>
                <w:i/>
                <w:iCs/>
                <w:color w:val="000000" w:themeColor="text1"/>
                <w:lang w:eastAsia="en-US"/>
              </w:rPr>
              <w:t>Journal of the European Economic Association</w:t>
            </w:r>
          </w:p>
        </w:tc>
        <w:tc>
          <w:tcPr>
            <w:tcW w:w="2552" w:type="dxa"/>
            <w:shd w:val="clear" w:color="auto" w:fill="auto"/>
          </w:tcPr>
          <w:p w14:paraId="5F9990CC" w14:textId="77777777" w:rsidR="004A1C28" w:rsidRPr="009F70FE" w:rsidRDefault="002B452B">
            <w:pPr>
              <w:autoSpaceDE w:val="0"/>
              <w:autoSpaceDN w:val="0"/>
              <w:adjustRightInd w:val="0"/>
              <w:ind w:right="101"/>
              <w:rPr>
                <w:rFonts w:ascii="Arial Narrow" w:eastAsiaTheme="minorHAnsi" w:hAnsi="Arial Narrow"/>
                <w:color w:val="000000" w:themeColor="text1"/>
                <w:lang w:eastAsia="en-US"/>
              </w:rPr>
            </w:pPr>
            <w:r w:rsidRPr="009F70FE">
              <w:rPr>
                <w:rFonts w:ascii="Arial Narrow" w:hAnsi="Arial Narrow"/>
                <w:color w:val="000000" w:themeColor="text1"/>
              </w:rPr>
              <w:t>Italy</w:t>
            </w:r>
          </w:p>
        </w:tc>
        <w:tc>
          <w:tcPr>
            <w:tcW w:w="2917" w:type="dxa"/>
            <w:shd w:val="clear" w:color="auto" w:fill="auto"/>
          </w:tcPr>
          <w:p w14:paraId="2154C8B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bookmarkStart w:id="0" w:name="_GoBack"/>
        <w:bookmarkEnd w:id="0"/>
      </w:tr>
      <w:tr w:rsidR="009F70FE" w:rsidRPr="009F70FE" w14:paraId="4AD56D3C" w14:textId="77777777">
        <w:trPr>
          <w:trHeight w:val="143"/>
        </w:trPr>
        <w:tc>
          <w:tcPr>
            <w:tcW w:w="3635" w:type="dxa"/>
            <w:shd w:val="clear" w:color="auto" w:fill="auto"/>
          </w:tcPr>
          <w:p w14:paraId="442DD714"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eastAsiaTheme="minorHAnsi" w:hAnsi="Arial Narrow"/>
                <w:color w:val="000000" w:themeColor="text1"/>
                <w:lang w:eastAsia="en-US"/>
              </w:rPr>
              <w:t>Al-Mahrouq (2003)</w:t>
            </w:r>
          </w:p>
        </w:tc>
        <w:tc>
          <w:tcPr>
            <w:tcW w:w="2917" w:type="dxa"/>
            <w:shd w:val="clear" w:color="auto" w:fill="auto"/>
          </w:tcPr>
          <w:p w14:paraId="2DA101D1" w14:textId="77777777" w:rsidR="004A1C28" w:rsidRPr="009F70FE" w:rsidRDefault="002B452B">
            <w:pPr>
              <w:autoSpaceDE w:val="0"/>
              <w:autoSpaceDN w:val="0"/>
              <w:adjustRightInd w:val="0"/>
              <w:rPr>
                <w:rFonts w:ascii="Arial Narrow" w:eastAsiaTheme="minorHAnsi" w:hAnsi="Arial Narrow"/>
                <w:i/>
                <w:iCs/>
                <w:color w:val="000000" w:themeColor="text1"/>
                <w:lang w:eastAsia="en-US"/>
              </w:rPr>
            </w:pPr>
            <w:r w:rsidRPr="009F70FE">
              <w:rPr>
                <w:rFonts w:ascii="Arial Narrow" w:eastAsiaTheme="minorHAnsi" w:hAnsi="Arial Narrow"/>
                <w:color w:val="000000" w:themeColor="text1"/>
                <w:lang w:eastAsia="en-US"/>
              </w:rPr>
              <w:t>Doctoral dissertation</w:t>
            </w:r>
          </w:p>
        </w:tc>
        <w:tc>
          <w:tcPr>
            <w:tcW w:w="2552" w:type="dxa"/>
            <w:shd w:val="clear" w:color="auto" w:fill="auto"/>
          </w:tcPr>
          <w:p w14:paraId="14CF89D1"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eastAsiaTheme="minorHAnsi" w:hAnsi="Arial Narrow"/>
                <w:color w:val="000000" w:themeColor="text1"/>
                <w:lang w:eastAsia="en-US"/>
              </w:rPr>
              <w:t>Jordan</w:t>
            </w:r>
          </w:p>
        </w:tc>
        <w:tc>
          <w:tcPr>
            <w:tcW w:w="2917" w:type="dxa"/>
            <w:shd w:val="clear" w:color="auto" w:fill="auto"/>
          </w:tcPr>
          <w:p w14:paraId="78E6D71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5E34018E" w14:textId="77777777">
        <w:trPr>
          <w:trHeight w:val="143"/>
        </w:trPr>
        <w:tc>
          <w:tcPr>
            <w:tcW w:w="3635" w:type="dxa"/>
            <w:shd w:val="clear" w:color="auto" w:fill="auto"/>
          </w:tcPr>
          <w:p w14:paraId="78CC6A57"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Arenius &amp; Autio (2006)</w:t>
            </w:r>
          </w:p>
        </w:tc>
        <w:tc>
          <w:tcPr>
            <w:tcW w:w="2917" w:type="dxa"/>
            <w:shd w:val="clear" w:color="auto" w:fill="auto"/>
          </w:tcPr>
          <w:p w14:paraId="551879C0" w14:textId="77777777" w:rsidR="004A1C28" w:rsidRPr="009F70FE" w:rsidRDefault="002B452B">
            <w:pPr>
              <w:autoSpaceDE w:val="0"/>
              <w:autoSpaceDN w:val="0"/>
              <w:adjustRightInd w:val="0"/>
              <w:rPr>
                <w:rFonts w:ascii="Arial Narrow" w:eastAsiaTheme="minorHAnsi" w:hAnsi="Arial Narrow"/>
                <w:i/>
                <w:iCs/>
                <w:color w:val="000000" w:themeColor="text1"/>
                <w:lang w:eastAsia="en-US"/>
              </w:rPr>
            </w:pPr>
            <w:r w:rsidRPr="009F70FE">
              <w:rPr>
                <w:rFonts w:ascii="Arial Narrow" w:eastAsiaTheme="minorHAnsi" w:hAnsi="Arial Narrow"/>
                <w:i/>
                <w:iCs/>
                <w:color w:val="000000" w:themeColor="text1"/>
                <w:lang w:eastAsia="en-US"/>
              </w:rPr>
              <w:t>Venture Capital</w:t>
            </w:r>
          </w:p>
        </w:tc>
        <w:tc>
          <w:tcPr>
            <w:tcW w:w="2552" w:type="dxa"/>
            <w:shd w:val="clear" w:color="auto" w:fill="auto"/>
          </w:tcPr>
          <w:p w14:paraId="2703953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Finland</w:t>
            </w:r>
          </w:p>
        </w:tc>
        <w:tc>
          <w:tcPr>
            <w:tcW w:w="2917" w:type="dxa"/>
            <w:shd w:val="clear" w:color="auto" w:fill="auto"/>
          </w:tcPr>
          <w:p w14:paraId="4F7F357E"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7B135E2D" w14:textId="77777777">
        <w:trPr>
          <w:trHeight w:val="143"/>
        </w:trPr>
        <w:tc>
          <w:tcPr>
            <w:tcW w:w="3635" w:type="dxa"/>
            <w:shd w:val="clear" w:color="auto" w:fill="auto"/>
          </w:tcPr>
          <w:p w14:paraId="0C2C9C2D"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Asiedu, Freeman, &amp; Nti-Addae (2012)</w:t>
            </w:r>
          </w:p>
        </w:tc>
        <w:tc>
          <w:tcPr>
            <w:tcW w:w="2917" w:type="dxa"/>
            <w:shd w:val="clear" w:color="auto" w:fill="auto"/>
          </w:tcPr>
          <w:p w14:paraId="267019EE"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i/>
                <w:color w:val="000000" w:themeColor="text1"/>
              </w:rPr>
              <w:t>American Economic Review</w:t>
            </w:r>
          </w:p>
        </w:tc>
        <w:tc>
          <w:tcPr>
            <w:tcW w:w="2552" w:type="dxa"/>
            <w:shd w:val="clear" w:color="auto" w:fill="auto"/>
          </w:tcPr>
          <w:p w14:paraId="359F800D"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43003C3A"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 interest rate</w:t>
            </w:r>
          </w:p>
        </w:tc>
      </w:tr>
      <w:tr w:rsidR="009F70FE" w:rsidRPr="009F70FE" w14:paraId="2F85F095" w14:textId="77777777">
        <w:trPr>
          <w:trHeight w:val="143"/>
        </w:trPr>
        <w:tc>
          <w:tcPr>
            <w:tcW w:w="3635" w:type="dxa"/>
            <w:shd w:val="clear" w:color="auto" w:fill="auto"/>
          </w:tcPr>
          <w:p w14:paraId="3110CDC6"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Bellucci, Borisov, &amp; Zazzaro (2010)</w:t>
            </w:r>
          </w:p>
        </w:tc>
        <w:tc>
          <w:tcPr>
            <w:tcW w:w="2917" w:type="dxa"/>
            <w:shd w:val="clear" w:color="auto" w:fill="auto"/>
          </w:tcPr>
          <w:p w14:paraId="6CB2EE4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i/>
                <w:iCs/>
                <w:color w:val="000000" w:themeColor="text1"/>
              </w:rPr>
              <w:t>Journal of Banking &amp; Finance</w:t>
            </w:r>
          </w:p>
        </w:tc>
        <w:tc>
          <w:tcPr>
            <w:tcW w:w="2552" w:type="dxa"/>
            <w:shd w:val="clear" w:color="auto" w:fill="auto"/>
          </w:tcPr>
          <w:p w14:paraId="276C39B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Italy</w:t>
            </w:r>
          </w:p>
        </w:tc>
        <w:tc>
          <w:tcPr>
            <w:tcW w:w="2917" w:type="dxa"/>
            <w:shd w:val="clear" w:color="auto" w:fill="auto"/>
          </w:tcPr>
          <w:p w14:paraId="7DEE06C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52A8C9B7" w14:textId="77777777">
        <w:trPr>
          <w:trHeight w:val="143"/>
        </w:trPr>
        <w:tc>
          <w:tcPr>
            <w:tcW w:w="3635" w:type="dxa"/>
            <w:shd w:val="clear" w:color="auto" w:fill="auto"/>
          </w:tcPr>
          <w:p w14:paraId="406B4F4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Blanchard, Zhao, &amp; Yinger (2008)</w:t>
            </w:r>
          </w:p>
        </w:tc>
        <w:tc>
          <w:tcPr>
            <w:tcW w:w="2917" w:type="dxa"/>
            <w:shd w:val="clear" w:color="auto" w:fill="auto"/>
          </w:tcPr>
          <w:p w14:paraId="6FCD5E1C"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i/>
                <w:color w:val="000000" w:themeColor="text1"/>
              </w:rPr>
              <w:t>Journal of Urban Economics</w:t>
            </w:r>
          </w:p>
        </w:tc>
        <w:tc>
          <w:tcPr>
            <w:tcW w:w="2552" w:type="dxa"/>
            <w:shd w:val="clear" w:color="auto" w:fill="auto"/>
          </w:tcPr>
          <w:p w14:paraId="34A05A06"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06AA69C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 interest rate</w:t>
            </w:r>
          </w:p>
        </w:tc>
      </w:tr>
      <w:tr w:rsidR="009F70FE" w:rsidRPr="009F70FE" w14:paraId="24CD899E" w14:textId="77777777">
        <w:trPr>
          <w:trHeight w:val="143"/>
        </w:trPr>
        <w:tc>
          <w:tcPr>
            <w:tcW w:w="3635" w:type="dxa"/>
            <w:shd w:val="clear" w:color="auto" w:fill="auto"/>
          </w:tcPr>
          <w:p w14:paraId="304F43D4"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Blanchflower (2009)</w:t>
            </w:r>
          </w:p>
        </w:tc>
        <w:tc>
          <w:tcPr>
            <w:tcW w:w="2917" w:type="dxa"/>
            <w:shd w:val="clear" w:color="auto" w:fill="auto"/>
          </w:tcPr>
          <w:p w14:paraId="6BE9E764"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Annals of Finance</w:t>
            </w:r>
          </w:p>
        </w:tc>
        <w:tc>
          <w:tcPr>
            <w:tcW w:w="2552" w:type="dxa"/>
            <w:shd w:val="clear" w:color="auto" w:fill="auto"/>
          </w:tcPr>
          <w:p w14:paraId="075EDD32"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US</w:t>
            </w:r>
          </w:p>
        </w:tc>
        <w:tc>
          <w:tcPr>
            <w:tcW w:w="2917" w:type="dxa"/>
            <w:shd w:val="clear" w:color="auto" w:fill="auto"/>
          </w:tcPr>
          <w:p w14:paraId="5D58700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 loan rejection</w:t>
            </w:r>
          </w:p>
        </w:tc>
      </w:tr>
      <w:tr w:rsidR="009F70FE" w:rsidRPr="009F70FE" w14:paraId="2B5A801C" w14:textId="77777777">
        <w:trPr>
          <w:trHeight w:val="143"/>
        </w:trPr>
        <w:tc>
          <w:tcPr>
            <w:tcW w:w="3635" w:type="dxa"/>
            <w:shd w:val="clear" w:color="auto" w:fill="auto"/>
          </w:tcPr>
          <w:p w14:paraId="7C252F29"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Blanchflower (2007)</w:t>
            </w:r>
          </w:p>
        </w:tc>
        <w:tc>
          <w:tcPr>
            <w:tcW w:w="2917" w:type="dxa"/>
            <w:shd w:val="clear" w:color="auto" w:fill="auto"/>
          </w:tcPr>
          <w:p w14:paraId="398F4403"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Working paper</w:t>
            </w:r>
          </w:p>
        </w:tc>
        <w:tc>
          <w:tcPr>
            <w:tcW w:w="2552" w:type="dxa"/>
            <w:shd w:val="clear" w:color="auto" w:fill="auto"/>
          </w:tcPr>
          <w:p w14:paraId="4830F457"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191A91DD"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 interest rate</w:t>
            </w:r>
          </w:p>
        </w:tc>
      </w:tr>
      <w:tr w:rsidR="009F70FE" w:rsidRPr="009F70FE" w14:paraId="37F537D9" w14:textId="77777777">
        <w:trPr>
          <w:trHeight w:val="143"/>
        </w:trPr>
        <w:tc>
          <w:tcPr>
            <w:tcW w:w="3635" w:type="dxa"/>
            <w:shd w:val="clear" w:color="auto" w:fill="auto"/>
          </w:tcPr>
          <w:p w14:paraId="49F18E2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Blanchflower, Levine, &amp; Zimmerman (2003)</w:t>
            </w:r>
          </w:p>
        </w:tc>
        <w:tc>
          <w:tcPr>
            <w:tcW w:w="2917" w:type="dxa"/>
            <w:shd w:val="clear" w:color="auto" w:fill="auto"/>
          </w:tcPr>
          <w:p w14:paraId="52E87D03"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i/>
                <w:color w:val="000000" w:themeColor="text1"/>
              </w:rPr>
              <w:t>Review of Economics and Statistics</w:t>
            </w:r>
          </w:p>
        </w:tc>
        <w:tc>
          <w:tcPr>
            <w:tcW w:w="2552" w:type="dxa"/>
            <w:shd w:val="clear" w:color="auto" w:fill="auto"/>
          </w:tcPr>
          <w:p w14:paraId="3C10B10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67656589"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 interest rate</w:t>
            </w:r>
          </w:p>
        </w:tc>
      </w:tr>
      <w:tr w:rsidR="009F70FE" w:rsidRPr="009F70FE" w14:paraId="7578A3ED" w14:textId="77777777">
        <w:trPr>
          <w:trHeight w:val="822"/>
        </w:trPr>
        <w:tc>
          <w:tcPr>
            <w:tcW w:w="3635" w:type="dxa"/>
            <w:shd w:val="clear" w:color="auto" w:fill="auto"/>
          </w:tcPr>
          <w:p w14:paraId="556C5C1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Cavalluzzo &amp; Cavalluzzo (1998)</w:t>
            </w:r>
          </w:p>
        </w:tc>
        <w:tc>
          <w:tcPr>
            <w:tcW w:w="2917" w:type="dxa"/>
            <w:shd w:val="clear" w:color="auto" w:fill="auto"/>
          </w:tcPr>
          <w:p w14:paraId="3914E905"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i/>
                <w:color w:val="000000" w:themeColor="text1"/>
              </w:rPr>
              <w:t>Journal of Money, Credit and Banking</w:t>
            </w:r>
          </w:p>
        </w:tc>
        <w:tc>
          <w:tcPr>
            <w:tcW w:w="2552" w:type="dxa"/>
            <w:shd w:val="clear" w:color="auto" w:fill="auto"/>
          </w:tcPr>
          <w:p w14:paraId="723C2D6B"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09A76274"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22BA6D48" w14:textId="77777777">
        <w:trPr>
          <w:trHeight w:val="618"/>
        </w:trPr>
        <w:tc>
          <w:tcPr>
            <w:tcW w:w="3635" w:type="dxa"/>
            <w:shd w:val="clear" w:color="auto" w:fill="auto"/>
          </w:tcPr>
          <w:p w14:paraId="3035A63F"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Cavalluzzo, Cavalluzzo, &amp; Wolken (2002)</w:t>
            </w:r>
          </w:p>
        </w:tc>
        <w:tc>
          <w:tcPr>
            <w:tcW w:w="2917" w:type="dxa"/>
            <w:shd w:val="clear" w:color="auto" w:fill="auto"/>
          </w:tcPr>
          <w:p w14:paraId="15378F23"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The Journal of Business</w:t>
            </w:r>
          </w:p>
        </w:tc>
        <w:tc>
          <w:tcPr>
            <w:tcW w:w="2552" w:type="dxa"/>
            <w:shd w:val="clear" w:color="auto" w:fill="auto"/>
          </w:tcPr>
          <w:p w14:paraId="0F7AF9CD"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7BCDD6E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 loan rejection</w:t>
            </w:r>
          </w:p>
        </w:tc>
      </w:tr>
      <w:tr w:rsidR="009F70FE" w:rsidRPr="009F70FE" w14:paraId="1F15DB48" w14:textId="77777777">
        <w:trPr>
          <w:trHeight w:val="405"/>
        </w:trPr>
        <w:tc>
          <w:tcPr>
            <w:tcW w:w="3635" w:type="dxa"/>
            <w:shd w:val="clear" w:color="auto" w:fill="auto"/>
          </w:tcPr>
          <w:p w14:paraId="64FF2551"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Cole (2016)</w:t>
            </w:r>
          </w:p>
        </w:tc>
        <w:tc>
          <w:tcPr>
            <w:tcW w:w="2917" w:type="dxa"/>
            <w:shd w:val="clear" w:color="auto" w:fill="auto"/>
          </w:tcPr>
          <w:p w14:paraId="2B477D2D"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Working paper</w:t>
            </w:r>
          </w:p>
        </w:tc>
        <w:tc>
          <w:tcPr>
            <w:tcW w:w="2552" w:type="dxa"/>
            <w:shd w:val="clear" w:color="auto" w:fill="auto"/>
          </w:tcPr>
          <w:p w14:paraId="7099FEA3"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US</w:t>
            </w:r>
          </w:p>
        </w:tc>
        <w:tc>
          <w:tcPr>
            <w:tcW w:w="2917" w:type="dxa"/>
            <w:shd w:val="clear" w:color="auto" w:fill="auto"/>
          </w:tcPr>
          <w:p w14:paraId="5ECAA48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6CDB1EF5" w14:textId="77777777">
        <w:trPr>
          <w:trHeight w:val="405"/>
        </w:trPr>
        <w:tc>
          <w:tcPr>
            <w:tcW w:w="3635" w:type="dxa"/>
            <w:shd w:val="clear" w:color="auto" w:fill="auto"/>
          </w:tcPr>
          <w:p w14:paraId="248A1AA5"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Cole &amp; Dietrich (2017)</w:t>
            </w:r>
          </w:p>
        </w:tc>
        <w:tc>
          <w:tcPr>
            <w:tcW w:w="2917" w:type="dxa"/>
            <w:shd w:val="clear" w:color="auto" w:fill="auto"/>
          </w:tcPr>
          <w:p w14:paraId="612CFC56"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Working paper</w:t>
            </w:r>
          </w:p>
        </w:tc>
        <w:tc>
          <w:tcPr>
            <w:tcW w:w="2552" w:type="dxa"/>
            <w:shd w:val="clear" w:color="auto" w:fill="auto"/>
          </w:tcPr>
          <w:p w14:paraId="15D96BA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US</w:t>
            </w:r>
          </w:p>
        </w:tc>
        <w:tc>
          <w:tcPr>
            <w:tcW w:w="2917" w:type="dxa"/>
            <w:shd w:val="clear" w:color="auto" w:fill="auto"/>
          </w:tcPr>
          <w:p w14:paraId="5102A0AE"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48575CE2" w14:textId="77777777">
        <w:trPr>
          <w:trHeight w:val="416"/>
        </w:trPr>
        <w:tc>
          <w:tcPr>
            <w:tcW w:w="3635" w:type="dxa"/>
            <w:shd w:val="clear" w:color="auto" w:fill="auto"/>
          </w:tcPr>
          <w:p w14:paraId="2D3F7E7D"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Cole &amp; Mehran (2009)</w:t>
            </w:r>
          </w:p>
        </w:tc>
        <w:tc>
          <w:tcPr>
            <w:tcW w:w="2917" w:type="dxa"/>
            <w:shd w:val="clear" w:color="auto" w:fill="auto"/>
          </w:tcPr>
          <w:p w14:paraId="77E44105"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Working paper</w:t>
            </w:r>
          </w:p>
        </w:tc>
        <w:tc>
          <w:tcPr>
            <w:tcW w:w="2552" w:type="dxa"/>
            <w:shd w:val="clear" w:color="auto" w:fill="auto"/>
          </w:tcPr>
          <w:p w14:paraId="0A9F653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US</w:t>
            </w:r>
          </w:p>
        </w:tc>
        <w:tc>
          <w:tcPr>
            <w:tcW w:w="2917" w:type="dxa"/>
            <w:shd w:val="clear" w:color="auto" w:fill="auto"/>
          </w:tcPr>
          <w:p w14:paraId="1FF9AC65"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2BE3FA70" w14:textId="77777777">
        <w:trPr>
          <w:trHeight w:val="812"/>
        </w:trPr>
        <w:tc>
          <w:tcPr>
            <w:tcW w:w="3635" w:type="dxa"/>
            <w:shd w:val="clear" w:color="auto" w:fill="auto"/>
          </w:tcPr>
          <w:p w14:paraId="5A931ACC"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Gana &amp; Ayari (2013)</w:t>
            </w:r>
          </w:p>
        </w:tc>
        <w:tc>
          <w:tcPr>
            <w:tcW w:w="2917" w:type="dxa"/>
            <w:shd w:val="clear" w:color="auto" w:fill="auto"/>
          </w:tcPr>
          <w:p w14:paraId="5877F600"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Journal of Business Studies Quarterly</w:t>
            </w:r>
          </w:p>
        </w:tc>
        <w:tc>
          <w:tcPr>
            <w:tcW w:w="2552" w:type="dxa"/>
            <w:shd w:val="clear" w:color="auto" w:fill="auto"/>
          </w:tcPr>
          <w:p w14:paraId="0D253B7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Tunisia</w:t>
            </w:r>
          </w:p>
        </w:tc>
        <w:tc>
          <w:tcPr>
            <w:tcW w:w="2917" w:type="dxa"/>
            <w:shd w:val="clear" w:color="auto" w:fill="auto"/>
          </w:tcPr>
          <w:p w14:paraId="6865FE9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57A9876D" w14:textId="77777777">
        <w:trPr>
          <w:trHeight w:val="618"/>
        </w:trPr>
        <w:tc>
          <w:tcPr>
            <w:tcW w:w="3635" w:type="dxa"/>
            <w:shd w:val="clear" w:color="auto" w:fill="auto"/>
          </w:tcPr>
          <w:p w14:paraId="640B5488"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Garwe &amp; Fatoki (2012)</w:t>
            </w:r>
          </w:p>
        </w:tc>
        <w:tc>
          <w:tcPr>
            <w:tcW w:w="2917" w:type="dxa"/>
            <w:shd w:val="clear" w:color="auto" w:fill="auto"/>
          </w:tcPr>
          <w:p w14:paraId="21B6C7F0"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Development Southern Africa</w:t>
            </w:r>
          </w:p>
        </w:tc>
        <w:tc>
          <w:tcPr>
            <w:tcW w:w="2552" w:type="dxa"/>
            <w:shd w:val="clear" w:color="auto" w:fill="auto"/>
          </w:tcPr>
          <w:p w14:paraId="7C21168E"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South Africa</w:t>
            </w:r>
          </w:p>
        </w:tc>
        <w:tc>
          <w:tcPr>
            <w:tcW w:w="2917" w:type="dxa"/>
            <w:shd w:val="clear" w:color="auto" w:fill="auto"/>
          </w:tcPr>
          <w:p w14:paraId="1C6B33A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43BBA1F7" w14:textId="77777777">
        <w:trPr>
          <w:trHeight w:val="618"/>
        </w:trPr>
        <w:tc>
          <w:tcPr>
            <w:tcW w:w="3635" w:type="dxa"/>
            <w:shd w:val="clear" w:color="auto" w:fill="auto"/>
          </w:tcPr>
          <w:p w14:paraId="1DBD40CF"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Kim (2006)</w:t>
            </w:r>
          </w:p>
        </w:tc>
        <w:tc>
          <w:tcPr>
            <w:tcW w:w="2917" w:type="dxa"/>
            <w:shd w:val="clear" w:color="auto" w:fill="auto"/>
          </w:tcPr>
          <w:p w14:paraId="006C015F"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Small Business Economics</w:t>
            </w:r>
          </w:p>
        </w:tc>
        <w:tc>
          <w:tcPr>
            <w:tcW w:w="2552" w:type="dxa"/>
            <w:shd w:val="clear" w:color="auto" w:fill="auto"/>
          </w:tcPr>
          <w:p w14:paraId="4A7D4784"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US</w:t>
            </w:r>
          </w:p>
        </w:tc>
        <w:tc>
          <w:tcPr>
            <w:tcW w:w="2917" w:type="dxa"/>
            <w:shd w:val="clear" w:color="auto" w:fill="auto"/>
          </w:tcPr>
          <w:p w14:paraId="432D8106"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021F3E76" w14:textId="77777777">
        <w:trPr>
          <w:trHeight w:val="531"/>
        </w:trPr>
        <w:tc>
          <w:tcPr>
            <w:tcW w:w="3635" w:type="dxa"/>
            <w:shd w:val="clear" w:color="auto" w:fill="auto"/>
          </w:tcPr>
          <w:p w14:paraId="104151F5"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Mascia &amp; Rossi (2017)</w:t>
            </w:r>
          </w:p>
        </w:tc>
        <w:tc>
          <w:tcPr>
            <w:tcW w:w="2917" w:type="dxa"/>
            <w:shd w:val="clear" w:color="auto" w:fill="auto"/>
          </w:tcPr>
          <w:p w14:paraId="34F1D396"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Journal of Financial Stability</w:t>
            </w:r>
          </w:p>
        </w:tc>
        <w:tc>
          <w:tcPr>
            <w:tcW w:w="2552" w:type="dxa"/>
            <w:shd w:val="clear" w:color="auto" w:fill="auto"/>
          </w:tcPr>
          <w:p w14:paraId="3C4EE215"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11 Euro-area countries</w:t>
            </w:r>
          </w:p>
        </w:tc>
        <w:tc>
          <w:tcPr>
            <w:tcW w:w="2917" w:type="dxa"/>
            <w:shd w:val="clear" w:color="auto" w:fill="auto"/>
          </w:tcPr>
          <w:p w14:paraId="39440922"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54843E47" w14:textId="77777777">
        <w:trPr>
          <w:trHeight w:val="812"/>
        </w:trPr>
        <w:tc>
          <w:tcPr>
            <w:tcW w:w="3635" w:type="dxa"/>
            <w:shd w:val="clear" w:color="auto" w:fill="auto"/>
          </w:tcPr>
          <w:p w14:paraId="03ABF7EF"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McKechnie, Ennew, &amp; Read (1998)</w:t>
            </w:r>
          </w:p>
        </w:tc>
        <w:tc>
          <w:tcPr>
            <w:tcW w:w="2917" w:type="dxa"/>
            <w:shd w:val="clear" w:color="auto" w:fill="auto"/>
          </w:tcPr>
          <w:p w14:paraId="77532EBD"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International Small Business Journal</w:t>
            </w:r>
          </w:p>
        </w:tc>
        <w:tc>
          <w:tcPr>
            <w:tcW w:w="2552" w:type="dxa"/>
            <w:shd w:val="clear" w:color="auto" w:fill="auto"/>
          </w:tcPr>
          <w:p w14:paraId="4D35123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UK</w:t>
            </w:r>
          </w:p>
        </w:tc>
        <w:tc>
          <w:tcPr>
            <w:tcW w:w="2917" w:type="dxa"/>
            <w:shd w:val="clear" w:color="auto" w:fill="auto"/>
          </w:tcPr>
          <w:p w14:paraId="0808CBE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725A2056" w14:textId="77777777">
        <w:trPr>
          <w:trHeight w:val="1025"/>
        </w:trPr>
        <w:tc>
          <w:tcPr>
            <w:tcW w:w="3635" w:type="dxa"/>
            <w:shd w:val="clear" w:color="auto" w:fill="auto"/>
          </w:tcPr>
          <w:p w14:paraId="70561B4F"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Mijid (2017)</w:t>
            </w:r>
          </w:p>
        </w:tc>
        <w:tc>
          <w:tcPr>
            <w:tcW w:w="2917" w:type="dxa"/>
            <w:shd w:val="clear" w:color="auto" w:fill="auto"/>
          </w:tcPr>
          <w:p w14:paraId="326286A8"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International Journal of Gender and Entrepreneurship</w:t>
            </w:r>
          </w:p>
        </w:tc>
        <w:tc>
          <w:tcPr>
            <w:tcW w:w="2552" w:type="dxa"/>
            <w:shd w:val="clear" w:color="auto" w:fill="auto"/>
          </w:tcPr>
          <w:p w14:paraId="08D4B6AC"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US</w:t>
            </w:r>
          </w:p>
        </w:tc>
        <w:tc>
          <w:tcPr>
            <w:tcW w:w="2917" w:type="dxa"/>
            <w:shd w:val="clear" w:color="auto" w:fill="auto"/>
          </w:tcPr>
          <w:p w14:paraId="63709D94"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6731CA98" w14:textId="77777777">
        <w:trPr>
          <w:trHeight w:val="618"/>
        </w:trPr>
        <w:tc>
          <w:tcPr>
            <w:tcW w:w="3635" w:type="dxa"/>
            <w:shd w:val="clear" w:color="auto" w:fill="auto"/>
          </w:tcPr>
          <w:p w14:paraId="069780D3"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Mijid &amp; Bernasek (2013)</w:t>
            </w:r>
          </w:p>
        </w:tc>
        <w:tc>
          <w:tcPr>
            <w:tcW w:w="2917" w:type="dxa"/>
            <w:shd w:val="clear" w:color="auto" w:fill="auto"/>
          </w:tcPr>
          <w:p w14:paraId="7D35E29C"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The Social Science Journal</w:t>
            </w:r>
          </w:p>
        </w:tc>
        <w:tc>
          <w:tcPr>
            <w:tcW w:w="2552" w:type="dxa"/>
            <w:shd w:val="clear" w:color="auto" w:fill="auto"/>
          </w:tcPr>
          <w:p w14:paraId="17437136"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115AE5E2"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08A7BF2A" w14:textId="77777777">
        <w:trPr>
          <w:trHeight w:val="1025"/>
        </w:trPr>
        <w:tc>
          <w:tcPr>
            <w:tcW w:w="3635" w:type="dxa"/>
            <w:shd w:val="clear" w:color="auto" w:fill="auto"/>
          </w:tcPr>
          <w:p w14:paraId="7C360B99"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Muravyev, Talavera, &amp; Schäfer (2009)</w:t>
            </w:r>
          </w:p>
        </w:tc>
        <w:tc>
          <w:tcPr>
            <w:tcW w:w="2917" w:type="dxa"/>
            <w:shd w:val="clear" w:color="auto" w:fill="auto"/>
          </w:tcPr>
          <w:p w14:paraId="4067D961"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Journal of Comparative Economics</w:t>
            </w:r>
          </w:p>
        </w:tc>
        <w:tc>
          <w:tcPr>
            <w:tcW w:w="2552" w:type="dxa"/>
            <w:shd w:val="clear" w:color="auto" w:fill="auto"/>
          </w:tcPr>
          <w:p w14:paraId="6B0B2E2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34 countries around the globe</w:t>
            </w:r>
          </w:p>
        </w:tc>
        <w:tc>
          <w:tcPr>
            <w:tcW w:w="2917" w:type="dxa"/>
            <w:shd w:val="clear" w:color="auto" w:fill="auto"/>
          </w:tcPr>
          <w:p w14:paraId="26F7BA03"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32E14F03" w14:textId="77777777">
        <w:trPr>
          <w:trHeight w:val="1025"/>
        </w:trPr>
        <w:tc>
          <w:tcPr>
            <w:tcW w:w="3635" w:type="dxa"/>
            <w:shd w:val="clear" w:color="auto" w:fill="auto"/>
          </w:tcPr>
          <w:p w14:paraId="265D58F8"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Ongena &amp; Popov (2016)</w:t>
            </w:r>
          </w:p>
        </w:tc>
        <w:tc>
          <w:tcPr>
            <w:tcW w:w="2917" w:type="dxa"/>
            <w:shd w:val="clear" w:color="auto" w:fill="auto"/>
          </w:tcPr>
          <w:p w14:paraId="662AEA19"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iCs/>
                <w:color w:val="000000" w:themeColor="text1"/>
              </w:rPr>
              <w:t>International Journal of Gender and Entrepreneurship</w:t>
            </w:r>
          </w:p>
        </w:tc>
        <w:tc>
          <w:tcPr>
            <w:tcW w:w="2552" w:type="dxa"/>
            <w:shd w:val="clear" w:color="auto" w:fill="auto"/>
          </w:tcPr>
          <w:p w14:paraId="1763B047"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17 countries around the globe</w:t>
            </w:r>
          </w:p>
        </w:tc>
        <w:tc>
          <w:tcPr>
            <w:tcW w:w="2917" w:type="dxa"/>
            <w:shd w:val="clear" w:color="auto" w:fill="auto"/>
          </w:tcPr>
          <w:p w14:paraId="666E5C8C"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 loan rejection</w:t>
            </w:r>
          </w:p>
        </w:tc>
      </w:tr>
      <w:tr w:rsidR="009F70FE" w:rsidRPr="009F70FE" w14:paraId="545E3A00" w14:textId="77777777">
        <w:trPr>
          <w:trHeight w:val="618"/>
        </w:trPr>
        <w:tc>
          <w:tcPr>
            <w:tcW w:w="3635" w:type="dxa"/>
            <w:shd w:val="clear" w:color="auto" w:fill="auto"/>
          </w:tcPr>
          <w:p w14:paraId="08A0EC00"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Orser, Riding, &amp; Manley (2006)</w:t>
            </w:r>
          </w:p>
        </w:tc>
        <w:tc>
          <w:tcPr>
            <w:tcW w:w="2917" w:type="dxa"/>
            <w:shd w:val="clear" w:color="auto" w:fill="auto"/>
          </w:tcPr>
          <w:p w14:paraId="208A8189" w14:textId="77777777" w:rsidR="004A1C28" w:rsidRPr="009F70FE" w:rsidRDefault="002B452B">
            <w:pPr>
              <w:autoSpaceDE w:val="0"/>
              <w:autoSpaceDN w:val="0"/>
              <w:adjustRightInd w:val="0"/>
              <w:rPr>
                <w:rFonts w:ascii="Arial Narrow" w:hAnsi="Arial Narrow"/>
                <w:i/>
                <w:iCs/>
                <w:color w:val="000000" w:themeColor="text1"/>
              </w:rPr>
            </w:pPr>
            <w:r w:rsidRPr="009F70FE">
              <w:rPr>
                <w:rFonts w:ascii="Arial Narrow" w:hAnsi="Arial Narrow"/>
                <w:i/>
                <w:color w:val="000000" w:themeColor="text1"/>
              </w:rPr>
              <w:t>Entrepreneurship Theory and Practice</w:t>
            </w:r>
          </w:p>
        </w:tc>
        <w:tc>
          <w:tcPr>
            <w:tcW w:w="2552" w:type="dxa"/>
            <w:shd w:val="clear" w:color="auto" w:fill="auto"/>
          </w:tcPr>
          <w:p w14:paraId="7C982DD2"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Canada</w:t>
            </w:r>
          </w:p>
        </w:tc>
        <w:tc>
          <w:tcPr>
            <w:tcW w:w="2917" w:type="dxa"/>
            <w:shd w:val="clear" w:color="auto" w:fill="auto"/>
          </w:tcPr>
          <w:p w14:paraId="7522D54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4178627B" w14:textId="77777777">
        <w:trPr>
          <w:trHeight w:val="405"/>
        </w:trPr>
        <w:tc>
          <w:tcPr>
            <w:tcW w:w="3635" w:type="dxa"/>
            <w:shd w:val="clear" w:color="auto" w:fill="auto"/>
          </w:tcPr>
          <w:p w14:paraId="3DE3E70B"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Pham &amp; Talavera (2018)</w:t>
            </w:r>
          </w:p>
        </w:tc>
        <w:tc>
          <w:tcPr>
            <w:tcW w:w="2917" w:type="dxa"/>
            <w:shd w:val="clear" w:color="auto" w:fill="auto"/>
          </w:tcPr>
          <w:p w14:paraId="6B23710D" w14:textId="77777777" w:rsidR="004A1C28" w:rsidRPr="009F70FE" w:rsidRDefault="002B452B">
            <w:pPr>
              <w:autoSpaceDE w:val="0"/>
              <w:autoSpaceDN w:val="0"/>
              <w:adjustRightInd w:val="0"/>
              <w:rPr>
                <w:rFonts w:ascii="Arial Narrow" w:hAnsi="Arial Narrow"/>
                <w:i/>
                <w:iCs/>
                <w:color w:val="000000" w:themeColor="text1"/>
              </w:rPr>
            </w:pPr>
            <w:r w:rsidRPr="009F70FE">
              <w:rPr>
                <w:rFonts w:ascii="Arial Narrow" w:hAnsi="Arial Narrow"/>
                <w:i/>
                <w:color w:val="000000" w:themeColor="text1"/>
              </w:rPr>
              <w:t>World Development</w:t>
            </w:r>
          </w:p>
        </w:tc>
        <w:tc>
          <w:tcPr>
            <w:tcW w:w="2552" w:type="dxa"/>
            <w:shd w:val="clear" w:color="auto" w:fill="auto"/>
          </w:tcPr>
          <w:p w14:paraId="49B4FAAE"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Vietnam</w:t>
            </w:r>
          </w:p>
        </w:tc>
        <w:tc>
          <w:tcPr>
            <w:tcW w:w="2917" w:type="dxa"/>
            <w:shd w:val="clear" w:color="auto" w:fill="auto"/>
          </w:tcPr>
          <w:p w14:paraId="3F01C1E6"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2111A642" w14:textId="77777777">
        <w:trPr>
          <w:trHeight w:val="618"/>
        </w:trPr>
        <w:tc>
          <w:tcPr>
            <w:tcW w:w="3635" w:type="dxa"/>
            <w:shd w:val="clear" w:color="auto" w:fill="auto"/>
          </w:tcPr>
          <w:p w14:paraId="4266DEED"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Qi, Ongena, &amp; Cheng (2018)</w:t>
            </w:r>
          </w:p>
        </w:tc>
        <w:tc>
          <w:tcPr>
            <w:tcW w:w="2917" w:type="dxa"/>
            <w:shd w:val="clear" w:color="auto" w:fill="auto"/>
          </w:tcPr>
          <w:p w14:paraId="7F83068E"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Working paper</w:t>
            </w:r>
          </w:p>
        </w:tc>
        <w:tc>
          <w:tcPr>
            <w:tcW w:w="2552" w:type="dxa"/>
            <w:shd w:val="clear" w:color="auto" w:fill="auto"/>
          </w:tcPr>
          <w:p w14:paraId="609F7B55"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22 transition countries</w:t>
            </w:r>
          </w:p>
        </w:tc>
        <w:tc>
          <w:tcPr>
            <w:tcW w:w="2917" w:type="dxa"/>
            <w:shd w:val="clear" w:color="auto" w:fill="auto"/>
          </w:tcPr>
          <w:p w14:paraId="614B4E8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r w:rsidR="009F70FE" w:rsidRPr="009F70FE" w14:paraId="68FAE970" w14:textId="77777777">
        <w:trPr>
          <w:trHeight w:val="812"/>
        </w:trPr>
        <w:tc>
          <w:tcPr>
            <w:tcW w:w="3635" w:type="dxa"/>
            <w:shd w:val="clear" w:color="auto" w:fill="auto"/>
          </w:tcPr>
          <w:p w14:paraId="3D23F171"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Seck, Araar, Camara, Diallo, Diop, &amp; Fall (2015)</w:t>
            </w:r>
          </w:p>
        </w:tc>
        <w:tc>
          <w:tcPr>
            <w:tcW w:w="2917" w:type="dxa"/>
            <w:shd w:val="clear" w:color="auto" w:fill="auto"/>
          </w:tcPr>
          <w:p w14:paraId="26F2501F"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Working paper</w:t>
            </w:r>
          </w:p>
        </w:tc>
        <w:tc>
          <w:tcPr>
            <w:tcW w:w="2552" w:type="dxa"/>
            <w:shd w:val="clear" w:color="auto" w:fill="auto"/>
          </w:tcPr>
          <w:p w14:paraId="38F88775"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Senegal</w:t>
            </w:r>
          </w:p>
        </w:tc>
        <w:tc>
          <w:tcPr>
            <w:tcW w:w="2917" w:type="dxa"/>
            <w:shd w:val="clear" w:color="auto" w:fill="auto"/>
          </w:tcPr>
          <w:p w14:paraId="3171774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 interest rate</w:t>
            </w:r>
          </w:p>
        </w:tc>
      </w:tr>
      <w:tr w:rsidR="009F70FE" w:rsidRPr="009F70FE" w14:paraId="77847445" w14:textId="77777777">
        <w:trPr>
          <w:trHeight w:val="143"/>
        </w:trPr>
        <w:tc>
          <w:tcPr>
            <w:tcW w:w="3635" w:type="dxa"/>
            <w:shd w:val="clear" w:color="auto" w:fill="auto"/>
          </w:tcPr>
          <w:p w14:paraId="7CDA626C"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Stefani &amp; Vacca (2014)</w:t>
            </w:r>
          </w:p>
        </w:tc>
        <w:tc>
          <w:tcPr>
            <w:tcW w:w="2917" w:type="dxa"/>
            <w:shd w:val="clear" w:color="auto" w:fill="auto"/>
          </w:tcPr>
          <w:p w14:paraId="60FEC949" w14:textId="77777777" w:rsidR="004A1C28" w:rsidRPr="009F70FE" w:rsidRDefault="002B452B">
            <w:pPr>
              <w:autoSpaceDE w:val="0"/>
              <w:autoSpaceDN w:val="0"/>
              <w:adjustRightInd w:val="0"/>
              <w:rPr>
                <w:rFonts w:ascii="Arial Narrow" w:hAnsi="Arial Narrow"/>
                <w:i/>
                <w:iCs/>
                <w:color w:val="000000" w:themeColor="text1"/>
              </w:rPr>
            </w:pPr>
            <w:r w:rsidRPr="009F70FE">
              <w:rPr>
                <w:rFonts w:ascii="Arial Narrow" w:hAnsi="Arial Narrow"/>
                <w:i/>
                <w:color w:val="000000" w:themeColor="text1"/>
              </w:rPr>
              <w:t>CESifo Economic Studies</w:t>
            </w:r>
          </w:p>
        </w:tc>
        <w:tc>
          <w:tcPr>
            <w:tcW w:w="2552" w:type="dxa"/>
            <w:shd w:val="clear" w:color="auto" w:fill="auto"/>
          </w:tcPr>
          <w:p w14:paraId="297CDFB2"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Germany, France, Italy, Spain</w:t>
            </w:r>
          </w:p>
        </w:tc>
        <w:tc>
          <w:tcPr>
            <w:tcW w:w="2917" w:type="dxa"/>
            <w:shd w:val="clear" w:color="auto" w:fill="auto"/>
          </w:tcPr>
          <w:p w14:paraId="369E71E7"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211C7599" w14:textId="77777777">
        <w:trPr>
          <w:trHeight w:val="143"/>
        </w:trPr>
        <w:tc>
          <w:tcPr>
            <w:tcW w:w="3635" w:type="dxa"/>
            <w:shd w:val="clear" w:color="auto" w:fill="auto"/>
          </w:tcPr>
          <w:p w14:paraId="2F6D749A"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Storey (2004)</w:t>
            </w:r>
          </w:p>
        </w:tc>
        <w:tc>
          <w:tcPr>
            <w:tcW w:w="2917" w:type="dxa"/>
            <w:shd w:val="clear" w:color="auto" w:fill="auto"/>
          </w:tcPr>
          <w:p w14:paraId="151F0367"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color w:val="000000" w:themeColor="text1"/>
              </w:rPr>
              <w:t>Small Business Economics</w:t>
            </w:r>
          </w:p>
        </w:tc>
        <w:tc>
          <w:tcPr>
            <w:tcW w:w="2552" w:type="dxa"/>
            <w:shd w:val="clear" w:color="auto" w:fill="auto"/>
          </w:tcPr>
          <w:p w14:paraId="61D23685"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Trinidad &amp; Tobago</w:t>
            </w:r>
          </w:p>
        </w:tc>
        <w:tc>
          <w:tcPr>
            <w:tcW w:w="2917" w:type="dxa"/>
            <w:shd w:val="clear" w:color="auto" w:fill="auto"/>
          </w:tcPr>
          <w:p w14:paraId="58827DAF"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2DCB32A7" w14:textId="77777777">
        <w:trPr>
          <w:trHeight w:val="143"/>
        </w:trPr>
        <w:tc>
          <w:tcPr>
            <w:tcW w:w="3635" w:type="dxa"/>
            <w:shd w:val="clear" w:color="auto" w:fill="auto"/>
          </w:tcPr>
          <w:p w14:paraId="5BD82BF2"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Thébaud &amp; Sharkey (2016)</w:t>
            </w:r>
          </w:p>
        </w:tc>
        <w:tc>
          <w:tcPr>
            <w:tcW w:w="2917" w:type="dxa"/>
            <w:shd w:val="clear" w:color="auto" w:fill="auto"/>
          </w:tcPr>
          <w:p w14:paraId="0F1ADA0E" w14:textId="77777777" w:rsidR="004A1C28" w:rsidRPr="009F70FE" w:rsidRDefault="002B452B">
            <w:pPr>
              <w:autoSpaceDE w:val="0"/>
              <w:autoSpaceDN w:val="0"/>
              <w:adjustRightInd w:val="0"/>
              <w:rPr>
                <w:rFonts w:ascii="Arial Narrow" w:hAnsi="Arial Narrow"/>
                <w:i/>
                <w:color w:val="000000" w:themeColor="text1"/>
              </w:rPr>
            </w:pPr>
            <w:r w:rsidRPr="009F70FE">
              <w:rPr>
                <w:rFonts w:ascii="Arial Narrow" w:hAnsi="Arial Narrow"/>
                <w:i/>
                <w:iCs/>
                <w:color w:val="000000" w:themeColor="text1"/>
              </w:rPr>
              <w:t>Sociological Science</w:t>
            </w:r>
          </w:p>
        </w:tc>
        <w:tc>
          <w:tcPr>
            <w:tcW w:w="2552" w:type="dxa"/>
            <w:shd w:val="clear" w:color="auto" w:fill="auto"/>
          </w:tcPr>
          <w:p w14:paraId="142BF739"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75B7F8A8"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Loan rejection</w:t>
            </w:r>
          </w:p>
        </w:tc>
      </w:tr>
      <w:tr w:rsidR="009F70FE" w:rsidRPr="009F70FE" w14:paraId="37BB2420" w14:textId="77777777">
        <w:trPr>
          <w:trHeight w:val="608"/>
        </w:trPr>
        <w:tc>
          <w:tcPr>
            <w:tcW w:w="3635" w:type="dxa"/>
            <w:shd w:val="clear" w:color="auto" w:fill="auto"/>
          </w:tcPr>
          <w:p w14:paraId="6763009D" w14:textId="77777777" w:rsidR="004A1C28" w:rsidRPr="009F70FE" w:rsidRDefault="002B452B">
            <w:pPr>
              <w:autoSpaceDE w:val="0"/>
              <w:autoSpaceDN w:val="0"/>
              <w:adjustRightInd w:val="0"/>
              <w:rPr>
                <w:rFonts w:ascii="Arial Narrow" w:hAnsi="Arial Narrow"/>
                <w:color w:val="000000" w:themeColor="text1"/>
              </w:rPr>
            </w:pPr>
            <w:r w:rsidRPr="009F70FE">
              <w:rPr>
                <w:rFonts w:ascii="Arial Narrow" w:hAnsi="Arial Narrow"/>
                <w:color w:val="000000" w:themeColor="text1"/>
              </w:rPr>
              <w:t>Wu &amp; Chua (2012)</w:t>
            </w:r>
          </w:p>
        </w:tc>
        <w:tc>
          <w:tcPr>
            <w:tcW w:w="2917" w:type="dxa"/>
            <w:shd w:val="clear" w:color="auto" w:fill="auto"/>
          </w:tcPr>
          <w:p w14:paraId="5C1B7FF8" w14:textId="77777777" w:rsidR="004A1C28" w:rsidRPr="009F70FE" w:rsidRDefault="002B452B">
            <w:pPr>
              <w:autoSpaceDE w:val="0"/>
              <w:autoSpaceDN w:val="0"/>
              <w:adjustRightInd w:val="0"/>
              <w:rPr>
                <w:rFonts w:ascii="Arial Narrow" w:hAnsi="Arial Narrow"/>
                <w:i/>
                <w:iCs/>
                <w:color w:val="000000" w:themeColor="text1"/>
              </w:rPr>
            </w:pPr>
            <w:r w:rsidRPr="009F70FE">
              <w:rPr>
                <w:rFonts w:ascii="Arial Narrow" w:hAnsi="Arial Narrow"/>
                <w:i/>
                <w:color w:val="000000" w:themeColor="text1"/>
              </w:rPr>
              <w:t>Entrepreneurship Theory and Practice</w:t>
            </w:r>
          </w:p>
        </w:tc>
        <w:tc>
          <w:tcPr>
            <w:tcW w:w="2552" w:type="dxa"/>
            <w:shd w:val="clear" w:color="auto" w:fill="auto"/>
          </w:tcPr>
          <w:p w14:paraId="26092D61"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hAnsi="Arial Narrow"/>
                <w:color w:val="000000" w:themeColor="text1"/>
              </w:rPr>
              <w:t>US</w:t>
            </w:r>
          </w:p>
        </w:tc>
        <w:tc>
          <w:tcPr>
            <w:tcW w:w="2917" w:type="dxa"/>
            <w:shd w:val="clear" w:color="auto" w:fill="auto"/>
          </w:tcPr>
          <w:p w14:paraId="491EA560" w14:textId="77777777" w:rsidR="004A1C28" w:rsidRPr="009F70FE" w:rsidRDefault="002B452B">
            <w:pPr>
              <w:autoSpaceDE w:val="0"/>
              <w:autoSpaceDN w:val="0"/>
              <w:adjustRightInd w:val="0"/>
              <w:rPr>
                <w:rFonts w:ascii="Arial Narrow" w:eastAsiaTheme="minorHAnsi" w:hAnsi="Arial Narrow"/>
                <w:color w:val="000000" w:themeColor="text1"/>
                <w:lang w:eastAsia="en-US"/>
              </w:rPr>
            </w:pPr>
            <w:r w:rsidRPr="009F70FE">
              <w:rPr>
                <w:rFonts w:ascii="Arial Narrow" w:eastAsiaTheme="minorHAnsi" w:hAnsi="Arial Narrow"/>
                <w:color w:val="000000" w:themeColor="text1"/>
                <w:lang w:eastAsia="en-US"/>
              </w:rPr>
              <w:t>Interest rate</w:t>
            </w:r>
          </w:p>
        </w:tc>
      </w:tr>
    </w:tbl>
    <w:p w14:paraId="2165A7B5" w14:textId="77777777" w:rsidR="004A1C28" w:rsidRPr="009F70FE" w:rsidRDefault="004A1C28">
      <w:pPr>
        <w:rPr>
          <w:rFonts w:ascii="Arial Narrow" w:hAnsi="Arial Narrow"/>
          <w:b/>
          <w:bCs/>
          <w:color w:val="000000" w:themeColor="text1"/>
        </w:rPr>
        <w:sectPr w:rsidR="004A1C28" w:rsidRPr="009F70FE" w:rsidSect="009F70FE">
          <w:type w:val="continuous"/>
          <w:pgSz w:w="15840" w:h="12240" w:orient="landscape" w:code="1"/>
          <w:pgMar w:top="1440" w:right="1440" w:bottom="1440" w:left="1440" w:header="708" w:footer="708" w:gutter="0"/>
          <w:pgNumType w:start="1"/>
          <w:cols w:space="720"/>
          <w:docGrid w:linePitch="326"/>
        </w:sectPr>
      </w:pPr>
    </w:p>
    <w:p w14:paraId="53DF9A8D" w14:textId="06DF179A" w:rsidR="004A1C28" w:rsidRPr="009F70FE" w:rsidRDefault="00EB5204" w:rsidP="00EB5204">
      <w:pPr>
        <w:spacing w:after="160" w:line="259" w:lineRule="auto"/>
        <w:rPr>
          <w:rFonts w:ascii="Arial Narrow" w:hAnsi="Arial Narrow"/>
          <w:b/>
          <w:bCs/>
          <w:color w:val="000000" w:themeColor="text1"/>
        </w:rPr>
      </w:pPr>
      <w:r w:rsidRPr="009F70FE">
        <w:rPr>
          <w:rFonts w:ascii="Arial Narrow" w:hAnsi="Arial Narrow"/>
          <w:b/>
          <w:bCs/>
          <w:color w:val="000000" w:themeColor="text1"/>
        </w:rPr>
        <w:t xml:space="preserve">APPENDIX 2: </w:t>
      </w:r>
      <w:r w:rsidRPr="009F70FE">
        <w:rPr>
          <w:rFonts w:ascii="Arial Narrow" w:hAnsi="Arial Narrow"/>
          <w:color w:val="000000" w:themeColor="text1"/>
        </w:rPr>
        <w:t>Summary Statistics</w:t>
      </w:r>
    </w:p>
    <w:p w14:paraId="4438FE38" w14:textId="77777777" w:rsidR="004A1C28" w:rsidRPr="009F70FE" w:rsidRDefault="004A1C28">
      <w:pPr>
        <w:rPr>
          <w:rFonts w:ascii="Arial Narrow" w:hAnsi="Arial Narrow"/>
          <w:color w:val="000000" w:themeColor="text1"/>
        </w:rPr>
      </w:pPr>
    </w:p>
    <w:tbl>
      <w:tblPr>
        <w:tblStyle w:val="TableGrid"/>
        <w:tblW w:w="0" w:type="auto"/>
        <w:tblLook w:val="04A0" w:firstRow="1" w:lastRow="0" w:firstColumn="1" w:lastColumn="0" w:noHBand="0" w:noVBand="1"/>
      </w:tblPr>
      <w:tblGrid>
        <w:gridCol w:w="3823"/>
        <w:gridCol w:w="1275"/>
        <w:gridCol w:w="1276"/>
        <w:gridCol w:w="1276"/>
        <w:gridCol w:w="1276"/>
      </w:tblGrid>
      <w:tr w:rsidR="009F70FE" w:rsidRPr="009F70FE" w14:paraId="18DF122E" w14:textId="77777777">
        <w:trPr>
          <w:trHeight w:val="475"/>
        </w:trPr>
        <w:tc>
          <w:tcPr>
            <w:tcW w:w="3823" w:type="dxa"/>
            <w:vAlign w:val="center"/>
          </w:tcPr>
          <w:p w14:paraId="597D92DE" w14:textId="77777777" w:rsidR="004A1C28" w:rsidRPr="009F70FE" w:rsidRDefault="002B452B">
            <w:pPr>
              <w:rPr>
                <w:rFonts w:ascii="Arial Narrow" w:hAnsi="Arial Narrow"/>
                <w:b/>
                <w:bCs/>
                <w:color w:val="000000" w:themeColor="text1"/>
              </w:rPr>
            </w:pPr>
            <w:r w:rsidRPr="009F70FE">
              <w:rPr>
                <w:rFonts w:ascii="Arial Narrow" w:hAnsi="Arial Narrow"/>
                <w:b/>
                <w:bCs/>
                <w:color w:val="000000" w:themeColor="text1"/>
              </w:rPr>
              <w:t>Summary statistics</w:t>
            </w:r>
          </w:p>
        </w:tc>
        <w:tc>
          <w:tcPr>
            <w:tcW w:w="1275" w:type="dxa"/>
            <w:vAlign w:val="center"/>
          </w:tcPr>
          <w:p w14:paraId="41783766" w14:textId="77777777" w:rsidR="004A1C28" w:rsidRPr="009F70FE" w:rsidRDefault="002B452B">
            <w:pPr>
              <w:jc w:val="center"/>
              <w:rPr>
                <w:rFonts w:ascii="Arial Narrow" w:hAnsi="Arial Narrow"/>
                <w:b/>
                <w:bCs/>
                <w:color w:val="000000" w:themeColor="text1"/>
              </w:rPr>
            </w:pPr>
            <w:r w:rsidRPr="009F70FE">
              <w:rPr>
                <w:rFonts w:ascii="Arial Narrow" w:hAnsi="Arial Narrow"/>
                <w:b/>
                <w:bCs/>
                <w:color w:val="000000" w:themeColor="text1"/>
              </w:rPr>
              <w:t>Min.</w:t>
            </w:r>
          </w:p>
        </w:tc>
        <w:tc>
          <w:tcPr>
            <w:tcW w:w="1276" w:type="dxa"/>
            <w:vAlign w:val="center"/>
          </w:tcPr>
          <w:p w14:paraId="3BF21B59" w14:textId="77777777" w:rsidR="004A1C28" w:rsidRPr="009F70FE" w:rsidRDefault="002B452B">
            <w:pPr>
              <w:jc w:val="center"/>
              <w:rPr>
                <w:rFonts w:ascii="Arial Narrow" w:hAnsi="Arial Narrow"/>
                <w:b/>
                <w:bCs/>
                <w:color w:val="000000" w:themeColor="text1"/>
              </w:rPr>
            </w:pPr>
            <w:r w:rsidRPr="009F70FE">
              <w:rPr>
                <w:rFonts w:ascii="Arial Narrow" w:hAnsi="Arial Narrow"/>
                <w:b/>
                <w:bCs/>
                <w:color w:val="000000" w:themeColor="text1"/>
              </w:rPr>
              <w:t>Max.</w:t>
            </w:r>
          </w:p>
        </w:tc>
        <w:tc>
          <w:tcPr>
            <w:tcW w:w="1276" w:type="dxa"/>
            <w:vAlign w:val="center"/>
          </w:tcPr>
          <w:p w14:paraId="520FF042" w14:textId="77777777" w:rsidR="004A1C28" w:rsidRPr="009F70FE" w:rsidRDefault="002B452B">
            <w:pPr>
              <w:jc w:val="center"/>
              <w:rPr>
                <w:rFonts w:ascii="Arial Narrow" w:hAnsi="Arial Narrow"/>
                <w:b/>
                <w:bCs/>
                <w:color w:val="000000" w:themeColor="text1"/>
              </w:rPr>
            </w:pPr>
            <w:r w:rsidRPr="009F70FE">
              <w:rPr>
                <w:rFonts w:ascii="Arial Narrow" w:hAnsi="Arial Narrow"/>
                <w:b/>
                <w:bCs/>
                <w:color w:val="000000" w:themeColor="text1"/>
              </w:rPr>
              <w:t>Mean</w:t>
            </w:r>
          </w:p>
        </w:tc>
        <w:tc>
          <w:tcPr>
            <w:tcW w:w="1276" w:type="dxa"/>
            <w:vAlign w:val="center"/>
          </w:tcPr>
          <w:p w14:paraId="48810664" w14:textId="77777777" w:rsidR="004A1C28" w:rsidRPr="009F70FE" w:rsidRDefault="002B452B">
            <w:pPr>
              <w:jc w:val="center"/>
              <w:rPr>
                <w:rFonts w:ascii="Arial Narrow" w:hAnsi="Arial Narrow"/>
                <w:b/>
                <w:bCs/>
                <w:color w:val="000000" w:themeColor="text1"/>
              </w:rPr>
            </w:pPr>
            <w:r w:rsidRPr="009F70FE">
              <w:rPr>
                <w:rFonts w:ascii="Arial Narrow" w:hAnsi="Arial Narrow"/>
                <w:b/>
                <w:bCs/>
                <w:color w:val="000000" w:themeColor="text1"/>
              </w:rPr>
              <w:t>SD</w:t>
            </w:r>
          </w:p>
        </w:tc>
      </w:tr>
      <w:tr w:rsidR="009F70FE" w:rsidRPr="009F70FE" w14:paraId="237CBD55" w14:textId="77777777">
        <w:trPr>
          <w:trHeight w:val="238"/>
        </w:trPr>
        <w:tc>
          <w:tcPr>
            <w:tcW w:w="3823" w:type="dxa"/>
          </w:tcPr>
          <w:p w14:paraId="40C93F1C"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Proportion of women in politics</w:t>
            </w:r>
          </w:p>
        </w:tc>
        <w:tc>
          <w:tcPr>
            <w:tcW w:w="1275" w:type="dxa"/>
          </w:tcPr>
          <w:p w14:paraId="0386EB32"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w:t>
            </w:r>
          </w:p>
        </w:tc>
        <w:tc>
          <w:tcPr>
            <w:tcW w:w="1276" w:type="dxa"/>
          </w:tcPr>
          <w:p w14:paraId="69F97E5B"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44.500</w:t>
            </w:r>
          </w:p>
        </w:tc>
        <w:tc>
          <w:tcPr>
            <w:tcW w:w="1276" w:type="dxa"/>
          </w:tcPr>
          <w:p w14:paraId="237154CF"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15.091</w:t>
            </w:r>
          </w:p>
        </w:tc>
        <w:tc>
          <w:tcPr>
            <w:tcW w:w="1276" w:type="dxa"/>
          </w:tcPr>
          <w:p w14:paraId="4DCF4451"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7.435</w:t>
            </w:r>
          </w:p>
        </w:tc>
      </w:tr>
      <w:tr w:rsidR="009F70FE" w:rsidRPr="009F70FE" w14:paraId="236870C1" w14:textId="77777777">
        <w:trPr>
          <w:trHeight w:val="238"/>
        </w:trPr>
        <w:tc>
          <w:tcPr>
            <w:tcW w:w="3823" w:type="dxa"/>
          </w:tcPr>
          <w:p w14:paraId="03781A8F"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Proportion of women in management</w:t>
            </w:r>
          </w:p>
        </w:tc>
        <w:tc>
          <w:tcPr>
            <w:tcW w:w="1275" w:type="dxa"/>
          </w:tcPr>
          <w:p w14:paraId="319F87AA"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5.140</w:t>
            </w:r>
          </w:p>
        </w:tc>
        <w:tc>
          <w:tcPr>
            <w:tcW w:w="1276" w:type="dxa"/>
          </w:tcPr>
          <w:p w14:paraId="50244293"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42.650</w:t>
            </w:r>
          </w:p>
        </w:tc>
        <w:tc>
          <w:tcPr>
            <w:tcW w:w="1276" w:type="dxa"/>
          </w:tcPr>
          <w:p w14:paraId="1A1AD5A0"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37.260</w:t>
            </w:r>
          </w:p>
        </w:tc>
        <w:tc>
          <w:tcPr>
            <w:tcW w:w="1276" w:type="dxa"/>
          </w:tcPr>
          <w:p w14:paraId="128214E6"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6.482</w:t>
            </w:r>
          </w:p>
        </w:tc>
      </w:tr>
      <w:tr w:rsidR="009F70FE" w:rsidRPr="009F70FE" w14:paraId="1941A395" w14:textId="77777777">
        <w:trPr>
          <w:trHeight w:val="238"/>
        </w:trPr>
        <w:tc>
          <w:tcPr>
            <w:tcW w:w="3823" w:type="dxa"/>
          </w:tcPr>
          <w:p w14:paraId="78BA749A"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Political ideology</w:t>
            </w:r>
          </w:p>
        </w:tc>
        <w:tc>
          <w:tcPr>
            <w:tcW w:w="1275" w:type="dxa"/>
          </w:tcPr>
          <w:p w14:paraId="241825A4"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-0.915</w:t>
            </w:r>
          </w:p>
        </w:tc>
        <w:tc>
          <w:tcPr>
            <w:tcW w:w="1276" w:type="dxa"/>
          </w:tcPr>
          <w:p w14:paraId="4D68DB6B"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0.584</w:t>
            </w:r>
          </w:p>
        </w:tc>
        <w:tc>
          <w:tcPr>
            <w:tcW w:w="1276" w:type="dxa"/>
          </w:tcPr>
          <w:p w14:paraId="4AB685B7"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0.247</w:t>
            </w:r>
          </w:p>
        </w:tc>
        <w:tc>
          <w:tcPr>
            <w:tcW w:w="1276" w:type="dxa"/>
          </w:tcPr>
          <w:p w14:paraId="5734A242"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0.449</w:t>
            </w:r>
          </w:p>
        </w:tc>
      </w:tr>
      <w:tr w:rsidR="009F70FE" w:rsidRPr="009F70FE" w14:paraId="55E383E8" w14:textId="77777777">
        <w:trPr>
          <w:trHeight w:val="238"/>
        </w:trPr>
        <w:tc>
          <w:tcPr>
            <w:tcW w:w="3823" w:type="dxa"/>
          </w:tcPr>
          <w:p w14:paraId="062D4A4C"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GDP</w:t>
            </w:r>
          </w:p>
        </w:tc>
        <w:tc>
          <w:tcPr>
            <w:tcW w:w="1275" w:type="dxa"/>
          </w:tcPr>
          <w:p w14:paraId="1287FDCF"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1376.070</w:t>
            </w:r>
          </w:p>
        </w:tc>
        <w:tc>
          <w:tcPr>
            <w:tcW w:w="1276" w:type="dxa"/>
          </w:tcPr>
          <w:p w14:paraId="0620AA85"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47099.980</w:t>
            </w:r>
          </w:p>
        </w:tc>
        <w:tc>
          <w:tcPr>
            <w:tcW w:w="1276" w:type="dxa"/>
          </w:tcPr>
          <w:p w14:paraId="2E3A6C43"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9223.372</w:t>
            </w:r>
          </w:p>
        </w:tc>
        <w:tc>
          <w:tcPr>
            <w:tcW w:w="1276" w:type="dxa"/>
          </w:tcPr>
          <w:p w14:paraId="125805CF"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11881.640</w:t>
            </w:r>
          </w:p>
        </w:tc>
      </w:tr>
      <w:tr w:rsidR="009F70FE" w:rsidRPr="009F70FE" w14:paraId="4C8B3E3F" w14:textId="77777777">
        <w:trPr>
          <w:trHeight w:val="244"/>
        </w:trPr>
        <w:tc>
          <w:tcPr>
            <w:tcW w:w="3823" w:type="dxa"/>
          </w:tcPr>
          <w:p w14:paraId="14482D7B"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rPr>
              <w:t>Formal institutions</w:t>
            </w:r>
            <w:r w:rsidRPr="009F70FE">
              <w:rPr>
                <w:rStyle w:val="FootnoteReference"/>
                <w:rFonts w:ascii="Arial Narrow" w:hAnsi="Arial Narrow"/>
                <w:color w:val="000000" w:themeColor="text1"/>
              </w:rPr>
              <w:footnoteReference w:id="1"/>
            </w:r>
          </w:p>
        </w:tc>
        <w:tc>
          <w:tcPr>
            <w:tcW w:w="1275" w:type="dxa"/>
            <w:vAlign w:val="center"/>
          </w:tcPr>
          <w:p w14:paraId="30058520"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0.090</w:t>
            </w:r>
          </w:p>
        </w:tc>
        <w:tc>
          <w:tcPr>
            <w:tcW w:w="1276" w:type="dxa"/>
            <w:vAlign w:val="center"/>
          </w:tcPr>
          <w:p w14:paraId="5ED0F45D"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0.990</w:t>
            </w:r>
          </w:p>
        </w:tc>
        <w:tc>
          <w:tcPr>
            <w:tcW w:w="1276" w:type="dxa"/>
            <w:vAlign w:val="center"/>
          </w:tcPr>
          <w:p w14:paraId="113B8887"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0.546</w:t>
            </w:r>
          </w:p>
        </w:tc>
        <w:tc>
          <w:tcPr>
            <w:tcW w:w="1276" w:type="dxa"/>
            <w:vAlign w:val="center"/>
          </w:tcPr>
          <w:p w14:paraId="33F1565F"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0.187</w:t>
            </w:r>
          </w:p>
        </w:tc>
      </w:tr>
      <w:tr w:rsidR="004A1C28" w:rsidRPr="009F70FE" w14:paraId="0FCFF779" w14:textId="77777777">
        <w:trPr>
          <w:trHeight w:val="244"/>
        </w:trPr>
        <w:tc>
          <w:tcPr>
            <w:tcW w:w="3823" w:type="dxa"/>
          </w:tcPr>
          <w:p w14:paraId="14DFD885" w14:textId="77777777" w:rsidR="004A1C28" w:rsidRPr="009F70FE" w:rsidRDefault="002B452B">
            <w:pPr>
              <w:rPr>
                <w:rFonts w:ascii="Arial Narrow" w:hAnsi="Arial Narrow"/>
                <w:color w:val="000000" w:themeColor="text1"/>
              </w:rPr>
            </w:pPr>
            <w:r w:rsidRPr="009F70FE">
              <w:rPr>
                <w:rFonts w:ascii="Arial Narrow" w:hAnsi="Arial Narrow"/>
                <w:color w:val="000000" w:themeColor="text1"/>
                <w:kern w:val="24"/>
              </w:rPr>
              <w:t>Getting credit</w:t>
            </w:r>
          </w:p>
        </w:tc>
        <w:tc>
          <w:tcPr>
            <w:tcW w:w="1275" w:type="dxa"/>
            <w:vAlign w:val="center"/>
          </w:tcPr>
          <w:p w14:paraId="6A8233CA"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12.500</w:t>
            </w:r>
          </w:p>
        </w:tc>
        <w:tc>
          <w:tcPr>
            <w:tcW w:w="1276" w:type="dxa"/>
            <w:vAlign w:val="center"/>
          </w:tcPr>
          <w:p w14:paraId="2009C58B"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100.000</w:t>
            </w:r>
          </w:p>
        </w:tc>
        <w:tc>
          <w:tcPr>
            <w:tcW w:w="1276" w:type="dxa"/>
            <w:vAlign w:val="center"/>
          </w:tcPr>
          <w:p w14:paraId="31EC3452"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78.541</w:t>
            </w:r>
          </w:p>
        </w:tc>
        <w:tc>
          <w:tcPr>
            <w:tcW w:w="1276" w:type="dxa"/>
            <w:vAlign w:val="center"/>
          </w:tcPr>
          <w:p w14:paraId="4DA00AED" w14:textId="77777777" w:rsidR="004A1C28" w:rsidRPr="009F70FE" w:rsidRDefault="002B452B">
            <w:pPr>
              <w:jc w:val="center"/>
              <w:rPr>
                <w:rFonts w:ascii="Arial Narrow" w:hAnsi="Arial Narrow"/>
                <w:color w:val="000000" w:themeColor="text1"/>
              </w:rPr>
            </w:pPr>
            <w:r w:rsidRPr="009F70FE">
              <w:rPr>
                <w:rFonts w:ascii="Arial Narrow" w:hAnsi="Arial Narrow"/>
                <w:color w:val="000000" w:themeColor="text1"/>
              </w:rPr>
              <w:t>18.147</w:t>
            </w:r>
          </w:p>
        </w:tc>
      </w:tr>
    </w:tbl>
    <w:p w14:paraId="38559A79" w14:textId="77777777" w:rsidR="004A1C28" w:rsidRPr="009F70FE" w:rsidRDefault="004A1C28">
      <w:pPr>
        <w:rPr>
          <w:rFonts w:ascii="Arial Narrow" w:hAnsi="Arial Narrow"/>
          <w:color w:val="000000" w:themeColor="text1"/>
        </w:rPr>
      </w:pPr>
    </w:p>
    <w:p w14:paraId="4713F2AB" w14:textId="77777777" w:rsidR="004A1C28" w:rsidRPr="009F70FE" w:rsidRDefault="004A1C28">
      <w:pPr>
        <w:rPr>
          <w:rFonts w:ascii="Arial Narrow" w:hAnsi="Arial Narrow"/>
          <w:color w:val="000000" w:themeColor="text1"/>
        </w:rPr>
      </w:pPr>
    </w:p>
    <w:p w14:paraId="63515460" w14:textId="77777777" w:rsidR="004A1C28" w:rsidRPr="009F70FE" w:rsidRDefault="004A1C28">
      <w:pPr>
        <w:spacing w:line="480" w:lineRule="auto"/>
        <w:rPr>
          <w:rFonts w:ascii="Arial Narrow" w:hAnsi="Arial Narrow"/>
          <w:b/>
          <w:bCs/>
          <w:color w:val="000000" w:themeColor="text1"/>
        </w:rPr>
      </w:pPr>
    </w:p>
    <w:p w14:paraId="421EC0F0" w14:textId="77777777" w:rsidR="004A1C28" w:rsidRPr="009F70FE" w:rsidRDefault="002B452B">
      <w:pPr>
        <w:rPr>
          <w:rFonts w:ascii="Arial Narrow" w:hAnsi="Arial Narrow"/>
          <w:b/>
          <w:bCs/>
          <w:color w:val="000000" w:themeColor="text1"/>
        </w:rPr>
      </w:pPr>
      <w:r w:rsidRPr="009F70FE">
        <w:rPr>
          <w:rFonts w:ascii="Arial Narrow" w:hAnsi="Arial Narrow"/>
          <w:b/>
          <w:bCs/>
          <w:color w:val="000000" w:themeColor="text1"/>
        </w:rPr>
        <w:br w:type="page"/>
      </w:r>
    </w:p>
    <w:p w14:paraId="30DC9DC4" w14:textId="77777777" w:rsidR="004A1C28" w:rsidRPr="009F70FE" w:rsidRDefault="002B452B">
      <w:pPr>
        <w:spacing w:line="480" w:lineRule="auto"/>
        <w:rPr>
          <w:rFonts w:ascii="Arial Narrow" w:hAnsi="Arial Narrow"/>
          <w:b/>
          <w:bCs/>
          <w:color w:val="000000" w:themeColor="text1"/>
        </w:rPr>
      </w:pPr>
      <w:r w:rsidRPr="009F70FE">
        <w:rPr>
          <w:rFonts w:ascii="Arial Narrow" w:hAnsi="Arial Narrow"/>
          <w:b/>
          <w:bCs/>
          <w:color w:val="000000" w:themeColor="text1"/>
        </w:rPr>
        <w:t xml:space="preserve">APPENDIX 3: </w:t>
      </w:r>
      <w:r w:rsidRPr="009F70FE">
        <w:rPr>
          <w:rFonts w:ascii="Arial Narrow" w:hAnsi="Arial Narrow"/>
          <w:color w:val="000000" w:themeColor="text1"/>
        </w:rPr>
        <w:t>Formulas</w:t>
      </w:r>
    </w:p>
    <w:p w14:paraId="1A9D353B" w14:textId="65B67D9C" w:rsidR="004A1C28" w:rsidRPr="009F70FE" w:rsidRDefault="002B452B">
      <w:pPr>
        <w:spacing w:line="480" w:lineRule="auto"/>
        <w:ind w:firstLine="709"/>
        <w:rPr>
          <w:rFonts w:ascii="Arial Narrow" w:hAnsi="Arial Narrow"/>
          <w:color w:val="000000" w:themeColor="text1"/>
        </w:rPr>
      </w:pPr>
      <w:r w:rsidRPr="009F70FE">
        <w:rPr>
          <w:rFonts w:ascii="Arial Narrow" w:hAnsi="Arial Narrow"/>
          <w:color w:val="000000" w:themeColor="text1"/>
        </w:rPr>
        <w:t>We used</w:t>
      </w:r>
      <w:r w:rsidRPr="009F70FE">
        <w:rPr>
          <w:rFonts w:ascii="Arial Narrow" w:hAnsi="Arial Narrow"/>
          <w:b/>
          <w:i/>
          <w:color w:val="000000" w:themeColor="text1"/>
        </w:rPr>
        <w:t xml:space="preserve"> </w:t>
      </w:r>
      <w:r w:rsidRPr="009F70FE">
        <w:rPr>
          <w:rFonts w:ascii="Arial Narrow" w:hAnsi="Arial Narrow"/>
          <w:color w:val="000000" w:themeColor="text1"/>
        </w:rPr>
        <w:t>standardized mean differences (</w:t>
      </w:r>
      <w:r w:rsidRPr="009F70FE">
        <w:rPr>
          <w:rFonts w:ascii="Arial Narrow" w:hAnsi="Arial Narrow"/>
          <w:i/>
          <w:color w:val="000000" w:themeColor="text1"/>
        </w:rPr>
        <w:t>d</w:t>
      </w:r>
      <w:r w:rsidRPr="009F70FE">
        <w:rPr>
          <w:rFonts w:ascii="Arial Narrow" w:hAnsi="Arial Narrow"/>
          <w:color w:val="000000" w:themeColor="text1"/>
        </w:rPr>
        <w:t xml:space="preserve">) rather than correlation coefficients because our relationships of interest were reported </w:t>
      </w:r>
      <w:r w:rsidR="007023F6" w:rsidRPr="009F70FE">
        <w:rPr>
          <w:rFonts w:ascii="Arial Narrow" w:hAnsi="Arial Narrow"/>
          <w:color w:val="000000" w:themeColor="text1"/>
        </w:rPr>
        <w:t>as</w:t>
      </w:r>
      <w:r w:rsidRPr="009F70FE">
        <w:rPr>
          <w:rFonts w:ascii="Arial Narrow" w:hAnsi="Arial Narrow"/>
          <w:color w:val="000000" w:themeColor="text1"/>
        </w:rPr>
        <w:t xml:space="preserve"> differences between the means of access to formal debt capital for the female and male groups. We computed the </w:t>
      </w:r>
      <w:r w:rsidRPr="009F70FE">
        <w:rPr>
          <w:rFonts w:ascii="Arial Narrow" w:hAnsi="Arial Narrow"/>
          <w:i/>
          <w:color w:val="000000" w:themeColor="text1"/>
        </w:rPr>
        <w:t>d</w:t>
      </w:r>
      <w:r w:rsidRPr="009F70FE">
        <w:rPr>
          <w:rFonts w:ascii="Arial Narrow" w:hAnsi="Arial Narrow"/>
          <w:color w:val="000000" w:themeColor="text1"/>
        </w:rPr>
        <w:t xml:space="preserve"> values using the following formula (Cohen, 1960): </w:t>
      </w:r>
      <m:oMath>
        <m:r>
          <w:rPr>
            <w:rFonts w:ascii="Cambria Math" w:eastAsia="Cambria Math" w:hAnsi="Cambria Math" w:cs="Cambria Math"/>
            <w:color w:val="000000" w:themeColor="text1"/>
          </w:rPr>
          <m:t>d=</m:t>
        </m:r>
        <m:f>
          <m:fPr>
            <m:ctrlPr>
              <w:rPr>
                <w:rFonts w:ascii="Cambria Math" w:eastAsia="Cambria Math" w:hAnsi="Cambria Math" w:cs="Cambria Math"/>
                <w:color w:val="000000" w:themeColor="text1"/>
              </w:rPr>
            </m:ctrlPr>
          </m:fPr>
          <m:num>
            <m:bar>
              <m:barPr>
                <m:ctrlPr>
                  <w:rPr>
                    <w:rFonts w:ascii="Cambria Math" w:eastAsia="Cambria Math" w:hAnsi="Cambria Math" w:cs="Cambria Math"/>
                    <w:color w:val="000000" w:themeColor="text1"/>
                  </w:rPr>
                </m:ctrlPr>
              </m:bar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bar>
            <m:r>
              <w:rPr>
                <w:rFonts w:ascii="Cambria Math" w:eastAsia="Cambria Math" w:hAnsi="Cambria Math" w:cs="Cambria Math"/>
                <w:color w:val="000000" w:themeColor="text1"/>
              </w:rPr>
              <m:t>-</m:t>
            </m:r>
            <m:bar>
              <m:barPr>
                <m:ctrlPr>
                  <w:rPr>
                    <w:rFonts w:ascii="Cambria Math" w:eastAsia="Cambria Math" w:hAnsi="Cambria Math" w:cs="Cambria Math"/>
                    <w:color w:val="000000" w:themeColor="text1"/>
                  </w:rPr>
                </m:ctrlPr>
              </m:bar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2</m:t>
                    </m:r>
                  </m:sub>
                </m:sSub>
              </m:e>
            </m:bar>
          </m:num>
          <m:den>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s</m:t>
                </m:r>
              </m:e>
              <m:sub>
                <m:r>
                  <w:rPr>
                    <w:rFonts w:ascii="Cambria Math" w:eastAsia="Cambria Math" w:hAnsi="Cambria Math" w:cs="Cambria Math"/>
                    <w:color w:val="000000" w:themeColor="text1"/>
                  </w:rPr>
                  <m:t>within</m:t>
                </m:r>
              </m:sub>
            </m:sSub>
          </m:den>
        </m:f>
      </m:oMath>
      <w:r w:rsidRPr="009F70FE">
        <w:rPr>
          <w:rFonts w:ascii="Arial Narrow" w:hAnsi="Arial Narrow"/>
          <w:color w:val="000000" w:themeColor="text1"/>
        </w:rPr>
        <w:t xml:space="preserve">, where </w:t>
      </w:r>
      <m:oMath>
        <m:bar>
          <m:barPr>
            <m:ctrlPr>
              <w:rPr>
                <w:rFonts w:ascii="Cambria Math" w:hAnsi="Cambria Math"/>
                <w:color w:val="000000" w:themeColor="text1"/>
              </w:rPr>
            </m:ctrlPr>
          </m:bar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bar>
      </m:oMath>
      <w:r w:rsidRPr="009F70FE">
        <w:rPr>
          <w:rFonts w:ascii="Arial Narrow" w:eastAsia="Cambria Math" w:hAnsi="Arial Narrow" w:cs="Cambria Math"/>
          <w:color w:val="000000" w:themeColor="text1"/>
        </w:rPr>
        <w:t xml:space="preserve"> and</w:t>
      </w:r>
      <w:r w:rsidRPr="009F70FE">
        <w:rPr>
          <w:rFonts w:ascii="Arial Narrow" w:hAnsi="Arial Narrow"/>
          <w:color w:val="000000" w:themeColor="text1"/>
        </w:rPr>
        <w:t xml:space="preserve"> </w:t>
      </w:r>
      <m:oMath>
        <m:bar>
          <m:barPr>
            <m:ctrlPr>
              <w:rPr>
                <w:rFonts w:ascii="Cambria Math" w:hAnsi="Cambria Math"/>
                <w:color w:val="000000" w:themeColor="text1"/>
              </w:rPr>
            </m:ctrlPr>
          </m:bar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2</m:t>
                </m:r>
              </m:sub>
            </m:sSub>
          </m:e>
        </m:bar>
      </m:oMath>
      <w:r w:rsidRPr="009F70FE">
        <w:rPr>
          <w:rFonts w:ascii="Arial Narrow" w:eastAsia="Cambria Math" w:hAnsi="Arial Narrow" w:cs="Cambria Math"/>
          <w:color w:val="000000" w:themeColor="text1"/>
        </w:rPr>
        <w:t xml:space="preserve"> </w:t>
      </w:r>
      <w:r w:rsidRPr="009F70FE">
        <w:rPr>
          <w:rFonts w:ascii="Arial Narrow" w:hAnsi="Arial Narrow"/>
          <w:color w:val="000000" w:themeColor="text1"/>
        </w:rPr>
        <w:t xml:space="preserve">are the means for the female and male subsamples. </w:t>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s</m:t>
            </m:r>
          </m:e>
          <m:sub>
            <m:r>
              <w:rPr>
                <w:rFonts w:ascii="Cambria Math" w:eastAsia="Cambria Math" w:hAnsi="Cambria Math" w:cs="Cambria Math"/>
                <w:color w:val="000000" w:themeColor="text1"/>
              </w:rPr>
              <m:t>within</m:t>
            </m:r>
          </m:sub>
        </m:sSub>
      </m:oMath>
      <w:r w:rsidRPr="009F70FE">
        <w:rPr>
          <w:rFonts w:ascii="Arial Narrow" w:hAnsi="Arial Narrow"/>
          <w:color w:val="000000" w:themeColor="text1"/>
        </w:rPr>
        <w:t xml:space="preserve"> is the pooled standard deviation; </w:t>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s</m:t>
            </m:r>
          </m:e>
          <m:sub>
            <m:r>
              <w:rPr>
                <w:rFonts w:ascii="Cambria Math" w:eastAsia="Cambria Math" w:hAnsi="Cambria Math" w:cs="Cambria Math"/>
                <w:color w:val="000000" w:themeColor="text1"/>
              </w:rPr>
              <m:t>within</m:t>
            </m:r>
          </m:sub>
        </m:sSub>
        <m:r>
          <w:rPr>
            <w:rFonts w:ascii="Cambria Math" w:eastAsia="Cambria Math" w:hAnsi="Cambria Math" w:cs="Cambria Math"/>
            <w:color w:val="000000" w:themeColor="text1"/>
          </w:rPr>
          <m:t>=</m:t>
        </m:r>
        <m:rad>
          <m:radPr>
            <m:degHide m:val="1"/>
            <m:ctrlPr>
              <w:rPr>
                <w:rFonts w:ascii="Cambria Math" w:eastAsia="Cambria Math" w:hAnsi="Cambria Math" w:cs="Cambria Math"/>
                <w:color w:val="000000" w:themeColor="text1"/>
              </w:rPr>
            </m:ctrlPr>
          </m:radPr>
          <m:deg/>
          <m:e>
            <m:f>
              <m:fPr>
                <m:ctrlPr>
                  <w:rPr>
                    <w:rFonts w:ascii="Cambria Math" w:eastAsia="Cambria Math" w:hAnsi="Cambria Math" w:cs="Cambria Math"/>
                    <w:color w:val="000000" w:themeColor="text1"/>
                  </w:rPr>
                </m:ctrlPr>
              </m:fPr>
              <m:num>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(n</m:t>
                    </m:r>
                  </m:e>
                  <m:sub>
                    <m:r>
                      <w:rPr>
                        <w:rFonts w:ascii="Cambria Math" w:eastAsia="Cambria Math" w:hAnsi="Cambria Math" w:cs="Cambria Math"/>
                        <w:color w:val="000000" w:themeColor="text1"/>
                      </w:rPr>
                      <m:t>1</m:t>
                    </m:r>
                  </m:sub>
                </m:sSub>
                <m:r>
                  <w:rPr>
                    <w:rFonts w:ascii="Cambria Math" w:eastAsia="Cambria Math" w:hAnsi="Cambria Math" w:cs="Cambria Math"/>
                    <w:color w:val="000000" w:themeColor="text1"/>
                  </w:rPr>
                  <m:t>-1)</m:t>
                </m:r>
                <m:sSubSup>
                  <m:sSubSupPr>
                    <m:ctrlPr>
                      <w:rPr>
                        <w:rFonts w:ascii="Cambria Math" w:eastAsia="Cambria Math" w:hAnsi="Cambria Math" w:cs="Cambria Math"/>
                        <w:color w:val="000000" w:themeColor="text1"/>
                      </w:rPr>
                    </m:ctrlPr>
                  </m:sSubSupPr>
                  <m:e>
                    <m:r>
                      <w:rPr>
                        <w:rFonts w:ascii="Cambria Math" w:eastAsia="Cambria Math" w:hAnsi="Cambria Math" w:cs="Cambria Math"/>
                        <w:color w:val="000000" w:themeColor="text1"/>
                      </w:rPr>
                      <m:t>s</m:t>
                    </m:r>
                  </m:e>
                  <m:sub>
                    <m:r>
                      <w:rPr>
                        <w:rFonts w:ascii="Cambria Math" w:eastAsia="Cambria Math" w:hAnsi="Cambria Math" w:cs="Cambria Math"/>
                        <w:color w:val="000000" w:themeColor="text1"/>
                      </w:rPr>
                      <m:t>1</m:t>
                    </m:r>
                  </m:sub>
                  <m:sup>
                    <m:r>
                      <w:rPr>
                        <w:rFonts w:ascii="Cambria Math" w:eastAsia="Cambria Math" w:hAnsi="Cambria Math" w:cs="Cambria Math"/>
                        <w:color w:val="000000" w:themeColor="text1"/>
                      </w:rPr>
                      <m:t>2</m:t>
                    </m:r>
                  </m:sup>
                </m:sSubSup>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(n</m:t>
                    </m:r>
                  </m:e>
                  <m:sub>
                    <m:r>
                      <w:rPr>
                        <w:rFonts w:ascii="Cambria Math" w:eastAsia="Cambria Math" w:hAnsi="Cambria Math" w:cs="Cambria Math"/>
                        <w:color w:val="000000" w:themeColor="text1"/>
                      </w:rPr>
                      <m:t>2</m:t>
                    </m:r>
                  </m:sub>
                </m:sSub>
                <m:r>
                  <w:rPr>
                    <w:rFonts w:ascii="Cambria Math" w:eastAsia="Cambria Math" w:hAnsi="Cambria Math" w:cs="Cambria Math"/>
                    <w:color w:val="000000" w:themeColor="text1"/>
                  </w:rPr>
                  <m:t>-1)</m:t>
                </m:r>
                <m:sSubSup>
                  <m:sSubSupPr>
                    <m:ctrlPr>
                      <w:rPr>
                        <w:rFonts w:ascii="Cambria Math" w:eastAsia="Cambria Math" w:hAnsi="Cambria Math" w:cs="Cambria Math"/>
                        <w:color w:val="000000" w:themeColor="text1"/>
                      </w:rPr>
                    </m:ctrlPr>
                  </m:sSubSupPr>
                  <m:e>
                    <m:r>
                      <w:rPr>
                        <w:rFonts w:ascii="Cambria Math" w:eastAsia="Cambria Math" w:hAnsi="Cambria Math" w:cs="Cambria Math"/>
                        <w:color w:val="000000" w:themeColor="text1"/>
                      </w:rPr>
                      <m:t>s</m:t>
                    </m:r>
                  </m:e>
                  <m:sub>
                    <m:r>
                      <w:rPr>
                        <w:rFonts w:ascii="Cambria Math" w:eastAsia="Cambria Math" w:hAnsi="Cambria Math" w:cs="Cambria Math"/>
                        <w:color w:val="000000" w:themeColor="text1"/>
                      </w:rPr>
                      <m:t>2</m:t>
                    </m:r>
                  </m:sub>
                  <m:sup>
                    <m:r>
                      <w:rPr>
                        <w:rFonts w:ascii="Cambria Math" w:eastAsia="Cambria Math" w:hAnsi="Cambria Math" w:cs="Cambria Math"/>
                        <w:color w:val="000000" w:themeColor="text1"/>
                      </w:rPr>
                      <m:t>2</m:t>
                    </m:r>
                  </m:sup>
                </m:sSubSup>
              </m:num>
              <m:den>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n</m:t>
                    </m:r>
                  </m:e>
                  <m:sub>
                    <m:r>
                      <w:rPr>
                        <w:rFonts w:ascii="Cambria Math" w:eastAsia="Cambria Math" w:hAnsi="Cambria Math" w:cs="Cambria Math"/>
                        <w:color w:val="000000" w:themeColor="text1"/>
                      </w:rPr>
                      <m:t>1</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n</m:t>
                    </m:r>
                  </m:e>
                  <m:sub>
                    <m:r>
                      <w:rPr>
                        <w:rFonts w:ascii="Cambria Math" w:eastAsia="Cambria Math" w:hAnsi="Cambria Math" w:cs="Cambria Math"/>
                        <w:color w:val="000000" w:themeColor="text1"/>
                      </w:rPr>
                      <m:t>2</m:t>
                    </m:r>
                  </m:sub>
                </m:sSub>
                <m:r>
                  <w:rPr>
                    <w:rFonts w:ascii="Cambria Math" w:eastAsia="Cambria Math" w:hAnsi="Cambria Math" w:cs="Cambria Math"/>
                    <w:color w:val="000000" w:themeColor="text1"/>
                  </w:rPr>
                  <m:t>-2</m:t>
                </m:r>
              </m:den>
            </m:f>
          </m:e>
        </m:rad>
      </m:oMath>
      <w:r w:rsidRPr="009F70FE">
        <w:rPr>
          <w:rFonts w:ascii="Arial Narrow" w:hAnsi="Arial Narrow"/>
          <w:color w:val="000000" w:themeColor="text1"/>
        </w:rPr>
        <w:t xml:space="preserve">, where </w:t>
      </w:r>
      <w:r w:rsidRPr="009F70FE">
        <w:rPr>
          <w:rFonts w:ascii="Arial Narrow" w:hAnsi="Arial Narrow"/>
          <w:i/>
          <w:color w:val="000000" w:themeColor="text1"/>
        </w:rPr>
        <w:t>n</w:t>
      </w:r>
      <w:r w:rsidRPr="009F70FE">
        <w:rPr>
          <w:rFonts w:ascii="Arial Narrow" w:hAnsi="Arial Narrow"/>
          <w:i/>
          <w:color w:val="000000" w:themeColor="text1"/>
          <w:vertAlign w:val="subscript"/>
        </w:rPr>
        <w:t>1</w:t>
      </w:r>
      <w:r w:rsidRPr="009F70FE">
        <w:rPr>
          <w:rFonts w:ascii="Arial Narrow" w:hAnsi="Arial Narrow"/>
          <w:i/>
          <w:color w:val="000000" w:themeColor="text1"/>
        </w:rPr>
        <w:t xml:space="preserve"> and n</w:t>
      </w:r>
      <w:r w:rsidRPr="009F70FE">
        <w:rPr>
          <w:rFonts w:ascii="Arial Narrow" w:hAnsi="Arial Narrow"/>
          <w:i/>
          <w:color w:val="000000" w:themeColor="text1"/>
          <w:vertAlign w:val="subscript"/>
        </w:rPr>
        <w:t>2</w:t>
      </w:r>
      <w:r w:rsidRPr="009F70FE">
        <w:rPr>
          <w:rFonts w:ascii="Arial Narrow" w:hAnsi="Arial Narrow"/>
          <w:color w:val="000000" w:themeColor="text1"/>
        </w:rPr>
        <w:t xml:space="preserve"> are the respective subsample sizes, and </w:t>
      </w:r>
      <w:r w:rsidRPr="009F70FE">
        <w:rPr>
          <w:rFonts w:ascii="Arial Narrow" w:hAnsi="Arial Narrow"/>
          <w:i/>
          <w:color w:val="000000" w:themeColor="text1"/>
        </w:rPr>
        <w:t>s</w:t>
      </w:r>
      <w:r w:rsidRPr="009F70FE">
        <w:rPr>
          <w:rFonts w:ascii="Arial Narrow" w:hAnsi="Arial Narrow"/>
          <w:i/>
          <w:color w:val="000000" w:themeColor="text1"/>
          <w:vertAlign w:val="subscript"/>
        </w:rPr>
        <w:t>1</w:t>
      </w:r>
      <w:r w:rsidRPr="009F70FE">
        <w:rPr>
          <w:rFonts w:ascii="Arial Narrow" w:hAnsi="Arial Narrow"/>
          <w:i/>
          <w:color w:val="000000" w:themeColor="text1"/>
        </w:rPr>
        <w:t xml:space="preserve"> </w:t>
      </w:r>
      <w:r w:rsidRPr="009F70FE">
        <w:rPr>
          <w:rFonts w:ascii="Arial Narrow" w:hAnsi="Arial Narrow"/>
          <w:color w:val="000000" w:themeColor="text1"/>
        </w:rPr>
        <w:t>and</w:t>
      </w:r>
      <w:r w:rsidRPr="009F70FE">
        <w:rPr>
          <w:rFonts w:ascii="Arial Narrow" w:hAnsi="Arial Narrow"/>
          <w:i/>
          <w:color w:val="000000" w:themeColor="text1"/>
        </w:rPr>
        <w:t xml:space="preserve"> s</w:t>
      </w:r>
      <w:r w:rsidRPr="009F70FE">
        <w:rPr>
          <w:rFonts w:ascii="Arial Narrow" w:hAnsi="Arial Narrow"/>
          <w:i/>
          <w:color w:val="000000" w:themeColor="text1"/>
          <w:vertAlign w:val="subscript"/>
        </w:rPr>
        <w:t>2</w:t>
      </w:r>
      <w:r w:rsidRPr="009F70FE">
        <w:rPr>
          <w:rFonts w:ascii="Arial Narrow" w:hAnsi="Arial Narrow"/>
          <w:i/>
          <w:color w:val="000000" w:themeColor="text1"/>
        </w:rPr>
        <w:t xml:space="preserve"> </w:t>
      </w:r>
      <w:r w:rsidRPr="009F70FE">
        <w:rPr>
          <w:rFonts w:ascii="Arial Narrow" w:hAnsi="Arial Narrow"/>
          <w:color w:val="000000" w:themeColor="text1"/>
        </w:rPr>
        <w:t>are</w:t>
      </w:r>
      <w:r w:rsidRPr="009F70FE">
        <w:rPr>
          <w:rFonts w:ascii="Arial Narrow" w:hAnsi="Arial Narrow"/>
          <w:i/>
          <w:color w:val="000000" w:themeColor="text1"/>
        </w:rPr>
        <w:t xml:space="preserve"> </w:t>
      </w:r>
      <w:r w:rsidRPr="009F70FE">
        <w:rPr>
          <w:rFonts w:ascii="Arial Narrow" w:hAnsi="Arial Narrow"/>
          <w:color w:val="000000" w:themeColor="text1"/>
        </w:rPr>
        <w:t xml:space="preserve">the standard deviations for the female and male groups. </w:t>
      </w:r>
    </w:p>
    <w:p w14:paraId="1C0FE7C9" w14:textId="77777777" w:rsidR="004A1C28" w:rsidRPr="009F70FE" w:rsidRDefault="002B452B">
      <w:pPr>
        <w:spacing w:line="480" w:lineRule="auto"/>
        <w:ind w:firstLine="567"/>
        <w:rPr>
          <w:rFonts w:ascii="Arial Narrow" w:hAnsi="Arial Narrow"/>
          <w:color w:val="000000" w:themeColor="text1"/>
        </w:rPr>
      </w:pPr>
      <w:r w:rsidRPr="009F70FE">
        <w:rPr>
          <w:rFonts w:ascii="Arial Narrow" w:hAnsi="Arial Narrow"/>
          <w:color w:val="000000" w:themeColor="text1"/>
        </w:rPr>
        <w:t xml:space="preserve">To remove bias in the estimation of </w:t>
      </w:r>
      <w:r w:rsidRPr="009F70FE">
        <w:rPr>
          <w:rFonts w:ascii="Arial Narrow" w:hAnsi="Arial Narrow"/>
          <w:i/>
          <w:color w:val="000000" w:themeColor="text1"/>
        </w:rPr>
        <w:t>d</w:t>
      </w:r>
      <w:r w:rsidRPr="009F70FE">
        <w:rPr>
          <w:rFonts w:ascii="Arial Narrow" w:hAnsi="Arial Narrow"/>
          <w:color w:val="000000" w:themeColor="text1"/>
        </w:rPr>
        <w:t xml:space="preserve"> for small samples, we applied a correction factor to convert Cohn’s </w:t>
      </w:r>
      <w:r w:rsidRPr="009F70FE">
        <w:rPr>
          <w:rFonts w:ascii="Arial Narrow" w:hAnsi="Arial Narrow"/>
          <w:i/>
          <w:color w:val="000000" w:themeColor="text1"/>
        </w:rPr>
        <w:t xml:space="preserve">d </w:t>
      </w:r>
      <w:r w:rsidRPr="009F70FE">
        <w:rPr>
          <w:rFonts w:ascii="Arial Narrow" w:hAnsi="Arial Narrow"/>
          <w:color w:val="000000" w:themeColor="text1"/>
        </w:rPr>
        <w:t xml:space="preserve">to Hedges’ </w:t>
      </w:r>
      <w:r w:rsidRPr="009F70FE">
        <w:rPr>
          <w:rFonts w:ascii="Arial Narrow" w:hAnsi="Arial Narrow"/>
          <w:i/>
          <w:color w:val="000000" w:themeColor="text1"/>
        </w:rPr>
        <w:t>g</w:t>
      </w:r>
      <w:r w:rsidRPr="009F70FE">
        <w:rPr>
          <w:rFonts w:ascii="Arial Narrow" w:hAnsi="Arial Narrow"/>
          <w:color w:val="000000" w:themeColor="text1"/>
        </w:rPr>
        <w:t xml:space="preserve"> (Borenstein et al., 2009): </w:t>
      </w:r>
      <m:oMath>
        <m:r>
          <w:rPr>
            <w:rFonts w:ascii="Cambria Math" w:eastAsia="Cambria Math" w:hAnsi="Cambria Math" w:cs="Cambria Math"/>
            <w:color w:val="000000" w:themeColor="text1"/>
          </w:rPr>
          <m:t>g=</m:t>
        </m:r>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1-</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3</m:t>
                </m:r>
              </m:num>
              <m:den>
                <m:r>
                  <w:rPr>
                    <w:rFonts w:ascii="Cambria Math" w:eastAsia="Cambria Math" w:hAnsi="Cambria Math" w:cs="Cambria Math"/>
                    <w:color w:val="000000" w:themeColor="text1"/>
                  </w:rPr>
                  <m:t>4</m:t>
                </m:r>
                <m:d>
                  <m:dPr>
                    <m:ctrlPr>
                      <w:rPr>
                        <w:rFonts w:ascii="Cambria Math" w:eastAsia="Cambria Math" w:hAnsi="Cambria Math" w:cs="Cambria Math"/>
                        <w:color w:val="000000" w:themeColor="text1"/>
                      </w:rPr>
                    </m:ctrlPr>
                  </m:d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n</m:t>
                        </m:r>
                      </m:e>
                      <m:sub>
                        <m:r>
                          <w:rPr>
                            <w:rFonts w:ascii="Cambria Math" w:eastAsia="Cambria Math" w:hAnsi="Cambria Math" w:cs="Cambria Math"/>
                            <w:color w:val="000000" w:themeColor="text1"/>
                          </w:rPr>
                          <m:t>1</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n</m:t>
                        </m:r>
                      </m:e>
                      <m:sub>
                        <m:r>
                          <w:rPr>
                            <w:rFonts w:ascii="Cambria Math" w:eastAsia="Cambria Math" w:hAnsi="Cambria Math" w:cs="Cambria Math"/>
                            <w:color w:val="000000" w:themeColor="text1"/>
                          </w:rPr>
                          <m:t>2</m:t>
                        </m:r>
                      </m:sub>
                    </m:sSub>
                  </m:e>
                </m:d>
                <m:r>
                  <w:rPr>
                    <w:rFonts w:ascii="Cambria Math" w:eastAsia="Cambria Math" w:hAnsi="Cambria Math" w:cs="Cambria Math"/>
                    <w:color w:val="000000" w:themeColor="text1"/>
                  </w:rPr>
                  <m:t>-9</m:t>
                </m:r>
              </m:den>
            </m:f>
          </m:e>
        </m:d>
        <m:r>
          <w:rPr>
            <w:rFonts w:ascii="Cambria Math" w:eastAsia="Cambria Math" w:hAnsi="Cambria Math" w:cs="Cambria Math"/>
            <w:color w:val="000000" w:themeColor="text1"/>
          </w:rPr>
          <m:t>d</m:t>
        </m:r>
      </m:oMath>
      <w:r w:rsidRPr="009F70FE">
        <w:rPr>
          <w:rFonts w:ascii="Arial Narrow" w:hAnsi="Arial Narrow"/>
          <w:color w:val="000000" w:themeColor="text1"/>
        </w:rPr>
        <w:t>.</w:t>
      </w:r>
    </w:p>
    <w:p w14:paraId="293BCB35" w14:textId="24FDC0A9" w:rsidR="004A1C28" w:rsidRPr="009F70FE" w:rsidRDefault="002B452B">
      <w:pPr>
        <w:spacing w:line="480" w:lineRule="auto"/>
        <w:ind w:firstLine="567"/>
        <w:rPr>
          <w:rFonts w:ascii="Arial Narrow" w:hAnsi="Arial Narrow"/>
          <w:color w:val="000000" w:themeColor="text1"/>
        </w:rPr>
      </w:pPr>
      <w:r w:rsidRPr="009F70FE">
        <w:rPr>
          <w:rFonts w:ascii="Arial Narrow" w:hAnsi="Arial Narrow"/>
          <w:color w:val="000000" w:themeColor="text1"/>
        </w:rPr>
        <w:t xml:space="preserve">The inverse variance weight </w:t>
      </w:r>
      <w:r w:rsidRPr="009F70FE">
        <w:rPr>
          <w:rFonts w:ascii="Arial Narrow" w:hAnsi="Arial Narrow"/>
          <w:i/>
          <w:color w:val="000000" w:themeColor="text1"/>
        </w:rPr>
        <w:t>w</w:t>
      </w:r>
      <w:r w:rsidRPr="009F70FE">
        <w:rPr>
          <w:rFonts w:ascii="Arial Narrow" w:hAnsi="Arial Narrow"/>
          <w:color w:val="000000" w:themeColor="text1"/>
        </w:rPr>
        <w:t xml:space="preserve"> is calculated as follows (Hedges &amp; Olkin, 1985): </w:t>
      </w:r>
      <w:r w:rsidRPr="009F70FE">
        <w:rPr>
          <w:rFonts w:ascii="Arial Narrow" w:hAnsi="Arial Narrow"/>
          <w:noProof/>
          <w:color w:val="000000" w:themeColor="text1"/>
          <w:position w:val="-40"/>
          <w:lang w:val="en-IN" w:eastAsia="en-IN"/>
        </w:rPr>
        <w:drawing>
          <wp:inline distT="0" distB="0" distL="0" distR="0" wp14:anchorId="75ED486D" wp14:editId="2B006633">
            <wp:extent cx="679450" cy="381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9450" cy="381000"/>
                    </a:xfrm>
                    <a:prstGeom prst="rect">
                      <a:avLst/>
                    </a:prstGeom>
                    <a:noFill/>
                    <a:ln>
                      <a:noFill/>
                    </a:ln>
                  </pic:spPr>
                </pic:pic>
              </a:graphicData>
            </a:graphic>
          </wp:inline>
        </w:drawing>
      </w:r>
      <w:r w:rsidRPr="009F70FE">
        <w:rPr>
          <w:rFonts w:ascii="Arial Narrow" w:hAnsi="Arial Narrow"/>
          <w:color w:val="000000" w:themeColor="text1"/>
        </w:rPr>
        <w:t xml:space="preserve">, where </w:t>
      </w:r>
      <w:r w:rsidRPr="009F70FE">
        <w:rPr>
          <w:rFonts w:ascii="Arial Narrow" w:hAnsi="Arial Narrow"/>
          <w:i/>
          <w:color w:val="000000" w:themeColor="text1"/>
        </w:rPr>
        <w:t>SE</w:t>
      </w:r>
      <w:r w:rsidRPr="009F70FE">
        <w:rPr>
          <w:rFonts w:ascii="Arial Narrow" w:hAnsi="Arial Narrow"/>
          <w:color w:val="000000" w:themeColor="text1"/>
        </w:rPr>
        <w:t xml:space="preserve"> is the standard error of the effect size and </w:t>
      </w:r>
      <w:r w:rsidRPr="009F70FE">
        <w:rPr>
          <w:rFonts w:ascii="Arial Narrow" w:hAnsi="Arial Narrow"/>
          <w:noProof/>
          <w:color w:val="000000" w:themeColor="text1"/>
          <w:position w:val="-14"/>
          <w:lang w:val="en-IN" w:eastAsia="en-IN"/>
        </w:rPr>
        <w:drawing>
          <wp:inline distT="0" distB="0" distL="0" distR="0" wp14:anchorId="495D7BE2" wp14:editId="22666046">
            <wp:extent cx="146050" cy="285750"/>
            <wp:effectExtent l="0" t="0" r="635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050" cy="285750"/>
                    </a:xfrm>
                    <a:prstGeom prst="rect">
                      <a:avLst/>
                    </a:prstGeom>
                    <a:noFill/>
                    <a:ln>
                      <a:noFill/>
                    </a:ln>
                  </pic:spPr>
                </pic:pic>
              </a:graphicData>
            </a:graphic>
          </wp:inline>
        </w:drawing>
      </w:r>
      <w:r w:rsidRPr="009F70FE">
        <w:rPr>
          <w:rFonts w:ascii="Arial Narrow" w:hAnsi="Arial Narrow"/>
          <w:color w:val="000000" w:themeColor="text1"/>
        </w:rPr>
        <w:t xml:space="preserve"> is the random effect variance component. SE is calculated as </w:t>
      </w:r>
      <w:r w:rsidRPr="009F70FE">
        <w:rPr>
          <w:rFonts w:ascii="Arial Narrow" w:hAnsi="Arial Narrow"/>
          <w:noProof/>
          <w:color w:val="000000" w:themeColor="text1"/>
          <w:position w:val="-28"/>
          <w:lang w:val="en-IN" w:eastAsia="en-IN"/>
        </w:rPr>
        <w:drawing>
          <wp:inline distT="0" distB="0" distL="0" distR="0" wp14:anchorId="4C8828BB" wp14:editId="1E8F7CD4">
            <wp:extent cx="869950" cy="361950"/>
            <wp:effectExtent l="0" t="0" r="635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9950" cy="361950"/>
                    </a:xfrm>
                    <a:prstGeom prst="rect">
                      <a:avLst/>
                    </a:prstGeom>
                    <a:noFill/>
                    <a:ln>
                      <a:noFill/>
                    </a:ln>
                  </pic:spPr>
                </pic:pic>
              </a:graphicData>
            </a:graphic>
          </wp:inline>
        </w:drawing>
      </w:r>
      <w:r w:rsidRPr="009F70FE">
        <w:rPr>
          <w:rFonts w:ascii="Arial Narrow" w:hAnsi="Arial Narrow"/>
          <w:color w:val="000000" w:themeColor="text1"/>
        </w:rPr>
        <w:t xml:space="preserve"> and the random effect variance is calculated as </w:t>
      </w:r>
      <w:r w:rsidRPr="009F70FE">
        <w:rPr>
          <w:rFonts w:ascii="Arial Narrow" w:hAnsi="Arial Narrow"/>
          <w:noProof/>
          <w:color w:val="000000" w:themeColor="text1"/>
          <w:position w:val="-68"/>
          <w:lang w:val="en-IN" w:eastAsia="en-IN"/>
        </w:rPr>
        <w:drawing>
          <wp:inline distT="0" distB="0" distL="0" distR="0" wp14:anchorId="01B4A444" wp14:editId="0A0E709D">
            <wp:extent cx="1009650" cy="5143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r w:rsidRPr="009F70FE">
        <w:rPr>
          <w:rFonts w:ascii="Arial Narrow" w:hAnsi="Arial Narrow"/>
          <w:color w:val="000000" w:themeColor="text1"/>
        </w:rPr>
        <w:t>. We used these weights to calculate the meta-analytic mean effect size, standard error, and the corresponding confidence interval. The meta-analytic mean is calculated as follows (Lipsey &amp; Wilson, 2001):</w:t>
      </w:r>
      <w:r w:rsidRPr="009F70FE">
        <w:rPr>
          <w:rFonts w:ascii="Arial Narrow" w:hAnsi="Arial Narrow"/>
          <w:noProof/>
          <w:color w:val="000000" w:themeColor="text1"/>
          <w:position w:val="-32"/>
          <w:lang w:val="en-IN" w:eastAsia="en-IN"/>
        </w:rPr>
        <w:drawing>
          <wp:inline distT="0" distB="0" distL="0" distR="0" wp14:anchorId="6702FB72" wp14:editId="78752F06">
            <wp:extent cx="869950" cy="36195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9950" cy="361950"/>
                    </a:xfrm>
                    <a:prstGeom prst="rect">
                      <a:avLst/>
                    </a:prstGeom>
                    <a:noFill/>
                    <a:ln>
                      <a:noFill/>
                    </a:ln>
                  </pic:spPr>
                </pic:pic>
              </a:graphicData>
            </a:graphic>
          </wp:inline>
        </w:drawing>
      </w:r>
      <w:r w:rsidRPr="009F70FE">
        <w:rPr>
          <w:rFonts w:ascii="Arial Narrow" w:hAnsi="Arial Narrow"/>
          <w:color w:val="000000" w:themeColor="text1"/>
        </w:rPr>
        <w:t xml:space="preserve">. The standard errors are calculated as </w:t>
      </w:r>
      <w:r w:rsidRPr="009F70FE">
        <w:rPr>
          <w:rFonts w:ascii="Arial Narrow" w:hAnsi="Arial Narrow"/>
          <w:noProof/>
          <w:color w:val="000000" w:themeColor="text1"/>
          <w:position w:val="-34"/>
          <w:lang w:val="en-IN" w:eastAsia="en-IN"/>
        </w:rPr>
        <w:drawing>
          <wp:inline distT="0" distB="0" distL="0" distR="0" wp14:anchorId="4299FC4E" wp14:editId="28711162">
            <wp:extent cx="704850" cy="3619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361950"/>
                    </a:xfrm>
                    <a:prstGeom prst="rect">
                      <a:avLst/>
                    </a:prstGeom>
                    <a:noFill/>
                    <a:ln>
                      <a:noFill/>
                    </a:ln>
                  </pic:spPr>
                </pic:pic>
              </a:graphicData>
            </a:graphic>
          </wp:inline>
        </w:drawing>
      </w:r>
      <w:r w:rsidRPr="009F70FE">
        <w:rPr>
          <w:rFonts w:ascii="Arial Narrow" w:hAnsi="Arial Narrow"/>
          <w:color w:val="000000" w:themeColor="text1"/>
        </w:rPr>
        <w:t xml:space="preserve"> and the 95% confidence intervals are calculated as </w:t>
      </w:r>
      <w:r w:rsidRPr="009F70FE">
        <w:rPr>
          <w:rFonts w:ascii="Arial Narrow" w:hAnsi="Arial Narrow"/>
          <w:noProof/>
          <w:color w:val="000000" w:themeColor="text1"/>
          <w:position w:val="-14"/>
          <w:lang w:val="en-IN" w:eastAsia="en-IN"/>
        </w:rPr>
        <w:drawing>
          <wp:inline distT="0" distB="0" distL="0" distR="0" wp14:anchorId="14B4964D" wp14:editId="6EF6B633">
            <wp:extent cx="1200150" cy="209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0150" cy="209550"/>
                    </a:xfrm>
                    <a:prstGeom prst="rect">
                      <a:avLst/>
                    </a:prstGeom>
                    <a:noFill/>
                    <a:ln>
                      <a:noFill/>
                    </a:ln>
                  </pic:spPr>
                </pic:pic>
              </a:graphicData>
            </a:graphic>
          </wp:inline>
        </w:drawing>
      </w:r>
      <w:r w:rsidRPr="009F70FE">
        <w:rPr>
          <w:rFonts w:ascii="Arial Narrow" w:hAnsi="Arial Narrow"/>
          <w:color w:val="000000" w:themeColor="text1"/>
        </w:rPr>
        <w:t xml:space="preserve">, </w:t>
      </w:r>
      <w:r w:rsidRPr="009F70FE">
        <w:rPr>
          <w:rFonts w:ascii="Arial Narrow" w:hAnsi="Arial Narrow"/>
          <w:noProof/>
          <w:color w:val="000000" w:themeColor="text1"/>
          <w:position w:val="-14"/>
          <w:lang w:val="en-IN" w:eastAsia="en-IN"/>
        </w:rPr>
        <w:drawing>
          <wp:inline distT="0" distB="0" distL="0" distR="0" wp14:anchorId="09B8C581" wp14:editId="107DACD3">
            <wp:extent cx="1238250" cy="209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0" cy="209550"/>
                    </a:xfrm>
                    <a:prstGeom prst="rect">
                      <a:avLst/>
                    </a:prstGeom>
                    <a:noFill/>
                    <a:ln>
                      <a:noFill/>
                    </a:ln>
                  </pic:spPr>
                </pic:pic>
              </a:graphicData>
            </a:graphic>
          </wp:inline>
        </w:drawing>
      </w:r>
      <w:r w:rsidRPr="009F70FE">
        <w:rPr>
          <w:rFonts w:ascii="Arial Narrow" w:hAnsi="Arial Narrow"/>
          <w:color w:val="000000" w:themeColor="text1"/>
        </w:rPr>
        <w:t>.</w:t>
      </w:r>
    </w:p>
    <w:p w14:paraId="75EF8B24" w14:textId="77777777" w:rsidR="004A1C28" w:rsidRPr="009F70FE" w:rsidRDefault="002B452B">
      <w:pPr>
        <w:spacing w:line="480" w:lineRule="auto"/>
        <w:rPr>
          <w:rFonts w:ascii="Arial Narrow" w:hAnsi="Arial Narrow"/>
          <w:color w:val="000000" w:themeColor="text1"/>
        </w:rPr>
      </w:pPr>
      <w:r w:rsidRPr="009F70FE">
        <w:rPr>
          <w:rFonts w:ascii="Arial Narrow" w:hAnsi="Arial Narrow"/>
          <w:color w:val="000000" w:themeColor="text1"/>
        </w:rPr>
        <w:t>References:</w:t>
      </w:r>
    </w:p>
    <w:p w14:paraId="01B9CA96" w14:textId="77777777" w:rsidR="004A1C28" w:rsidRPr="009F70FE" w:rsidRDefault="002B452B">
      <w:pPr>
        <w:tabs>
          <w:tab w:val="left" w:pos="284"/>
        </w:tabs>
        <w:ind w:left="284" w:hanging="284"/>
        <w:rPr>
          <w:rFonts w:ascii="Arial Narrow" w:hAnsi="Arial Narrow"/>
          <w:color w:val="000000" w:themeColor="text1"/>
        </w:rPr>
      </w:pPr>
      <w:r w:rsidRPr="009F70FE">
        <w:rPr>
          <w:rFonts w:ascii="Arial Narrow" w:hAnsi="Arial Narrow"/>
          <w:color w:val="000000" w:themeColor="text1"/>
        </w:rPr>
        <w:t xml:space="preserve">Borenstein, M., Hedges, L. V., Higgins, J. P. T., &amp; Rothstein, H. R. (2009). </w:t>
      </w:r>
      <w:r w:rsidRPr="009F70FE">
        <w:rPr>
          <w:rFonts w:ascii="Arial Narrow" w:hAnsi="Arial Narrow"/>
          <w:i/>
          <w:color w:val="000000" w:themeColor="text1"/>
        </w:rPr>
        <w:t>Introduction to meta-analysis</w:t>
      </w:r>
      <w:r w:rsidRPr="009F70FE">
        <w:rPr>
          <w:rFonts w:ascii="Arial Narrow" w:hAnsi="Arial Narrow"/>
          <w:color w:val="000000" w:themeColor="text1"/>
        </w:rPr>
        <w:t>. John Wiley &amp; Sons.</w:t>
      </w:r>
    </w:p>
    <w:p w14:paraId="4F9D7C30" w14:textId="77777777" w:rsidR="004A1C28" w:rsidRPr="009F70FE" w:rsidRDefault="002B452B">
      <w:pPr>
        <w:tabs>
          <w:tab w:val="left" w:pos="284"/>
        </w:tabs>
        <w:ind w:left="284" w:hanging="284"/>
        <w:rPr>
          <w:rFonts w:ascii="Arial Narrow" w:hAnsi="Arial Narrow"/>
          <w:color w:val="000000" w:themeColor="text1"/>
        </w:rPr>
      </w:pPr>
      <w:r w:rsidRPr="009F70FE">
        <w:rPr>
          <w:rFonts w:ascii="Arial Narrow" w:hAnsi="Arial Narrow"/>
          <w:color w:val="000000" w:themeColor="text1"/>
        </w:rPr>
        <w:t xml:space="preserve">Cohen, J. (1960). A coefficient of agreement for nominal scales. </w:t>
      </w:r>
      <w:r w:rsidRPr="009F70FE">
        <w:rPr>
          <w:rFonts w:ascii="Arial Narrow" w:hAnsi="Arial Narrow"/>
          <w:i/>
          <w:iCs/>
          <w:color w:val="000000" w:themeColor="text1"/>
        </w:rPr>
        <w:t>Educational and Psychological Measurement</w:t>
      </w:r>
      <w:r w:rsidRPr="009F70FE">
        <w:rPr>
          <w:rFonts w:ascii="Arial Narrow" w:hAnsi="Arial Narrow"/>
          <w:color w:val="000000" w:themeColor="text1"/>
        </w:rPr>
        <w:t>, 20(1), 37-46.</w:t>
      </w:r>
    </w:p>
    <w:p w14:paraId="67B210E8" w14:textId="77777777" w:rsidR="004A1C28" w:rsidRPr="009F70FE" w:rsidRDefault="002B452B">
      <w:pPr>
        <w:tabs>
          <w:tab w:val="left" w:pos="284"/>
        </w:tabs>
        <w:ind w:left="284" w:hanging="284"/>
        <w:rPr>
          <w:rFonts w:ascii="Arial Narrow" w:hAnsi="Arial Narrow"/>
          <w:color w:val="000000" w:themeColor="text1"/>
        </w:rPr>
      </w:pPr>
      <w:r w:rsidRPr="009F70FE">
        <w:rPr>
          <w:rFonts w:ascii="Arial Narrow" w:hAnsi="Arial Narrow"/>
          <w:color w:val="000000" w:themeColor="text1"/>
        </w:rPr>
        <w:t xml:space="preserve">Hedges, L.V. &amp; Olkin, I. (1985). </w:t>
      </w:r>
      <w:r w:rsidRPr="009F70FE">
        <w:rPr>
          <w:rFonts w:ascii="Arial Narrow" w:hAnsi="Arial Narrow"/>
          <w:i/>
          <w:color w:val="000000" w:themeColor="text1"/>
        </w:rPr>
        <w:t>Statistical methods for meta-analysis</w:t>
      </w:r>
      <w:r w:rsidRPr="009F70FE">
        <w:rPr>
          <w:rFonts w:ascii="Arial Narrow" w:hAnsi="Arial Narrow"/>
          <w:color w:val="000000" w:themeColor="text1"/>
        </w:rPr>
        <w:t>. Academic Press.</w:t>
      </w:r>
    </w:p>
    <w:p w14:paraId="353F9276" w14:textId="77777777" w:rsidR="004A1C28" w:rsidRPr="009F70FE" w:rsidRDefault="002B452B">
      <w:pPr>
        <w:tabs>
          <w:tab w:val="left" w:pos="284"/>
        </w:tabs>
        <w:ind w:left="284" w:hanging="284"/>
        <w:rPr>
          <w:rFonts w:ascii="Arial Narrow" w:hAnsi="Arial Narrow"/>
          <w:color w:val="000000" w:themeColor="text1"/>
        </w:rPr>
      </w:pPr>
      <w:r w:rsidRPr="009F70FE">
        <w:rPr>
          <w:rFonts w:ascii="Arial Narrow" w:hAnsi="Arial Narrow"/>
          <w:color w:val="000000" w:themeColor="text1"/>
        </w:rPr>
        <w:t xml:space="preserve">Lipsey, M. W., &amp; Wilson, D. B. (2001). </w:t>
      </w:r>
      <w:r w:rsidRPr="009F70FE">
        <w:rPr>
          <w:rFonts w:ascii="Arial Narrow" w:hAnsi="Arial Narrow"/>
          <w:i/>
          <w:color w:val="000000" w:themeColor="text1"/>
        </w:rPr>
        <w:t>Practical Meta-analysis</w:t>
      </w:r>
      <w:r w:rsidRPr="009F70FE">
        <w:rPr>
          <w:rFonts w:ascii="Arial Narrow" w:hAnsi="Arial Narrow"/>
          <w:color w:val="000000" w:themeColor="text1"/>
        </w:rPr>
        <w:t>. Sage Publications.</w:t>
      </w:r>
    </w:p>
    <w:p w14:paraId="62E28E35" w14:textId="77777777" w:rsidR="004A1C28" w:rsidRPr="009F70FE" w:rsidRDefault="002B452B">
      <w:pPr>
        <w:rPr>
          <w:rFonts w:ascii="Arial Narrow" w:hAnsi="Arial Narrow"/>
          <w:color w:val="000000" w:themeColor="text1"/>
        </w:rPr>
      </w:pPr>
      <w:r w:rsidRPr="009F70FE">
        <w:rPr>
          <w:rFonts w:ascii="Arial Narrow" w:hAnsi="Arial Narrow"/>
          <w:b/>
          <w:bCs/>
          <w:color w:val="000000" w:themeColor="text1"/>
        </w:rPr>
        <w:br w:type="page"/>
        <w:t xml:space="preserve">APPENDIX 4: </w:t>
      </w:r>
      <w:r w:rsidRPr="009F70FE">
        <w:rPr>
          <w:rFonts w:ascii="Arial Narrow" w:hAnsi="Arial Narrow"/>
          <w:color w:val="000000" w:themeColor="text1"/>
        </w:rPr>
        <w:t>Computation of Effect Sizes and Economic Effects</w:t>
      </w:r>
    </w:p>
    <w:p w14:paraId="28768330" w14:textId="77777777" w:rsidR="004A1C28" w:rsidRPr="009F70FE" w:rsidRDefault="004A1C28">
      <w:pPr>
        <w:spacing w:line="480" w:lineRule="auto"/>
        <w:rPr>
          <w:rFonts w:ascii="Arial Narrow" w:hAnsi="Arial Narrow"/>
          <w:color w:val="000000" w:themeColor="text1"/>
        </w:rPr>
      </w:pPr>
    </w:p>
    <w:p w14:paraId="65938C8C" w14:textId="77777777" w:rsidR="004A1C28" w:rsidRPr="009F70FE" w:rsidRDefault="002B452B">
      <w:pPr>
        <w:spacing w:line="480" w:lineRule="auto"/>
        <w:rPr>
          <w:rFonts w:ascii="Arial Narrow" w:hAnsi="Arial Narrow"/>
          <w:color w:val="000000" w:themeColor="text1"/>
        </w:rPr>
      </w:pPr>
      <w:r w:rsidRPr="009F70FE">
        <w:rPr>
          <w:rFonts w:ascii="Arial Narrow" w:hAnsi="Arial Narrow"/>
          <w:color w:val="000000" w:themeColor="text1"/>
        </w:rPr>
        <w:t>We used the online calculator “Standardized mean differences” by Campbell Collaboration, which is based on Lipsey and Wilson’s (2001) Practical Meta-Analysis.</w:t>
      </w:r>
      <w:r w:rsidRPr="009F70FE">
        <w:rPr>
          <w:rFonts w:ascii="Arial Narrow" w:hAnsi="Arial Narrow"/>
          <w:color w:val="000000" w:themeColor="text1"/>
          <w:lang w:eastAsia="de-DE"/>
        </w:rPr>
        <w:t xml:space="preserve"> To illustrate the procedure, we provide the following examples</w:t>
      </w:r>
      <w:r w:rsidRPr="009F70FE">
        <w:rPr>
          <w:rFonts w:ascii="Arial Narrow" w:hAnsi="Arial Narrow"/>
          <w:color w:val="000000" w:themeColor="text1"/>
        </w:rPr>
        <w:t xml:space="preserve">. </w:t>
      </w:r>
    </w:p>
    <w:p w14:paraId="6883B4F8" w14:textId="77777777" w:rsidR="004A1C28" w:rsidRPr="009F70FE" w:rsidRDefault="002B452B">
      <w:pPr>
        <w:spacing w:line="480" w:lineRule="auto"/>
        <w:rPr>
          <w:rFonts w:ascii="Arial Narrow" w:hAnsi="Arial Narrow"/>
          <w:b/>
          <w:bCs/>
          <w:color w:val="000000" w:themeColor="text1"/>
        </w:rPr>
      </w:pPr>
      <w:r w:rsidRPr="009F70FE">
        <w:rPr>
          <w:rFonts w:ascii="Arial Narrow" w:hAnsi="Arial Narrow"/>
          <w:b/>
          <w:bCs/>
          <w:color w:val="000000" w:themeColor="text1"/>
        </w:rPr>
        <w:t xml:space="preserve">Example 1: </w:t>
      </w:r>
    </w:p>
    <w:p w14:paraId="1FC26D54" w14:textId="60ED1D5D" w:rsidR="004A1C28" w:rsidRPr="009F70FE" w:rsidRDefault="002B452B">
      <w:pPr>
        <w:spacing w:line="480" w:lineRule="auto"/>
        <w:rPr>
          <w:rFonts w:ascii="Arial Narrow" w:hAnsi="Arial Narrow"/>
          <w:color w:val="000000" w:themeColor="text1"/>
        </w:rPr>
      </w:pPr>
      <w:r w:rsidRPr="009F70FE">
        <w:rPr>
          <w:rFonts w:ascii="Arial Narrow" w:hAnsi="Arial Narrow"/>
          <w:color w:val="000000" w:themeColor="text1"/>
        </w:rPr>
        <w:t xml:space="preserve">The study by Pham and Talavera (2018) provided the following information to calculate the standardized mean differences between women entrepreneurs and interest rates. For the female sample, the mean interest rate was 15.890, the standard deviation was 5.384, and the number of observations was 809. For the male sample, the mean was 15.236, the standard deviation was 5.360, and the number of observations was 251. We calculated the effect size between women entrepreneurs and interest rate using the “Means, Standard Deviations, and Sample Sizes” calculator from the Campbell Collaboration website. The calculator provided an effect size of 0.122. We then transformed Cohen’s </w:t>
      </w:r>
      <w:r w:rsidRPr="009F70FE">
        <w:rPr>
          <w:rFonts w:ascii="Arial Narrow" w:hAnsi="Arial Narrow"/>
          <w:i/>
          <w:color w:val="000000" w:themeColor="text1"/>
        </w:rPr>
        <w:t xml:space="preserve">d </w:t>
      </w:r>
      <w:r w:rsidRPr="009F70FE">
        <w:rPr>
          <w:rFonts w:ascii="Arial Narrow" w:hAnsi="Arial Narrow"/>
          <w:color w:val="000000" w:themeColor="text1"/>
        </w:rPr>
        <w:t xml:space="preserve">to Hedges’ </w:t>
      </w:r>
      <w:r w:rsidRPr="009F70FE">
        <w:rPr>
          <w:rFonts w:ascii="Arial Narrow" w:hAnsi="Arial Narrow"/>
          <w:i/>
          <w:color w:val="000000" w:themeColor="text1"/>
        </w:rPr>
        <w:t>g</w:t>
      </w:r>
      <w:r w:rsidRPr="009F70FE">
        <w:rPr>
          <w:rFonts w:ascii="Arial Narrow" w:hAnsi="Arial Narrow"/>
          <w:color w:val="000000" w:themeColor="text1"/>
        </w:rPr>
        <w:t xml:space="preserve">. </w:t>
      </w:r>
    </w:p>
    <w:p w14:paraId="00E90430" w14:textId="77777777" w:rsidR="004A1C28" w:rsidRPr="009F70FE" w:rsidRDefault="002B452B">
      <w:pPr>
        <w:spacing w:line="480" w:lineRule="auto"/>
        <w:rPr>
          <w:rFonts w:ascii="Arial Narrow" w:hAnsi="Arial Narrow"/>
          <w:b/>
          <w:bCs/>
          <w:color w:val="000000" w:themeColor="text1"/>
        </w:rPr>
      </w:pPr>
      <w:r w:rsidRPr="009F70FE">
        <w:rPr>
          <w:rFonts w:ascii="Arial Narrow" w:hAnsi="Arial Narrow"/>
          <w:b/>
          <w:bCs/>
          <w:color w:val="000000" w:themeColor="text1"/>
        </w:rPr>
        <w:t xml:space="preserve">Example 2: </w:t>
      </w:r>
    </w:p>
    <w:p w14:paraId="065262A8" w14:textId="77777777" w:rsidR="004A1C28" w:rsidRPr="009F70FE" w:rsidRDefault="002B452B">
      <w:pPr>
        <w:spacing w:line="480" w:lineRule="auto"/>
        <w:rPr>
          <w:rFonts w:ascii="Arial Narrow" w:hAnsi="Arial Narrow"/>
          <w:b/>
          <w:bCs/>
          <w:color w:val="000000" w:themeColor="text1"/>
        </w:rPr>
      </w:pPr>
      <w:r w:rsidRPr="009F70FE">
        <w:rPr>
          <w:rFonts w:ascii="Arial Narrow" w:hAnsi="Arial Narrow"/>
          <w:color w:val="000000" w:themeColor="text1"/>
        </w:rPr>
        <w:t>The study by Asiedu et al. (2012) provided the following information to calculate the standardized mean differences. The beta coefficient for the interest rates charged for white women was -0.707</w:t>
      </w:r>
      <w:r w:rsidRPr="009F70FE">
        <w:rPr>
          <w:rFonts w:ascii="Arial Narrow" w:hAnsi="Arial Narrow"/>
          <w:color w:val="000000" w:themeColor="text1"/>
          <w:lang w:eastAsia="de-DE"/>
        </w:rPr>
        <w:t xml:space="preserve"> </w:t>
      </w:r>
      <w:r w:rsidRPr="009F70FE">
        <w:rPr>
          <w:rFonts w:ascii="Arial Narrow" w:hAnsi="Arial Narrow"/>
          <w:color w:val="000000" w:themeColor="text1"/>
        </w:rPr>
        <w:t xml:space="preserve">(Table 2) </w:t>
      </w:r>
      <w:r w:rsidRPr="009F70FE">
        <w:rPr>
          <w:rFonts w:ascii="Arial Narrow" w:hAnsi="Arial Narrow"/>
          <w:color w:val="000000" w:themeColor="text1"/>
          <w:lang w:eastAsia="de-DE"/>
        </w:rPr>
        <w:t xml:space="preserve">and the sample size for women was 605 and for males 2190 (Table 1). We used a standard deviation of one because of the standardized regression coefficients. We calculated the </w:t>
      </w:r>
      <w:r w:rsidRPr="009F70FE">
        <w:rPr>
          <w:rFonts w:ascii="Arial Narrow" w:hAnsi="Arial Narrow"/>
          <w:color w:val="000000" w:themeColor="text1"/>
        </w:rPr>
        <w:t xml:space="preserve">effect size between women entrepreneurs and interest rate using the “Standardized Regression Coefficient” calculator from the Campbell Collaboration website. The calculator provided an effect size of -2.428. We then transformed Cohen’s </w:t>
      </w:r>
      <w:r w:rsidRPr="009F70FE">
        <w:rPr>
          <w:rFonts w:ascii="Arial Narrow" w:hAnsi="Arial Narrow"/>
          <w:i/>
          <w:color w:val="000000" w:themeColor="text1"/>
        </w:rPr>
        <w:t xml:space="preserve">d </w:t>
      </w:r>
      <w:r w:rsidRPr="009F70FE">
        <w:rPr>
          <w:rFonts w:ascii="Arial Narrow" w:hAnsi="Arial Narrow"/>
          <w:color w:val="000000" w:themeColor="text1"/>
        </w:rPr>
        <w:t xml:space="preserve">to Hedges’ </w:t>
      </w:r>
      <w:r w:rsidRPr="009F70FE">
        <w:rPr>
          <w:rFonts w:ascii="Arial Narrow" w:hAnsi="Arial Narrow"/>
          <w:i/>
          <w:color w:val="000000" w:themeColor="text1"/>
        </w:rPr>
        <w:t>g</w:t>
      </w:r>
      <w:r w:rsidRPr="009F70FE">
        <w:rPr>
          <w:rFonts w:ascii="Arial Narrow" w:hAnsi="Arial Narrow"/>
          <w:color w:val="000000" w:themeColor="text1"/>
        </w:rPr>
        <w:t>.</w:t>
      </w:r>
    </w:p>
    <w:p w14:paraId="219F89DF" w14:textId="77777777" w:rsidR="004A1C28" w:rsidRPr="009F70FE" w:rsidRDefault="002B452B">
      <w:pPr>
        <w:spacing w:after="200" w:line="276" w:lineRule="auto"/>
        <w:rPr>
          <w:rFonts w:ascii="Arial Narrow" w:hAnsi="Arial Narrow"/>
          <w:b/>
          <w:bCs/>
          <w:color w:val="000000" w:themeColor="text1"/>
        </w:rPr>
      </w:pPr>
      <w:r w:rsidRPr="009F70FE">
        <w:rPr>
          <w:rFonts w:ascii="Arial Narrow" w:hAnsi="Arial Narrow"/>
          <w:b/>
          <w:bCs/>
          <w:color w:val="000000" w:themeColor="text1"/>
        </w:rPr>
        <w:t xml:space="preserve">Economic effects: </w:t>
      </w:r>
    </w:p>
    <w:p w14:paraId="0078EFE3" w14:textId="35D4D7F4" w:rsidR="004A1C28" w:rsidRPr="009F70FE" w:rsidRDefault="002B452B">
      <w:pPr>
        <w:spacing w:line="480" w:lineRule="auto"/>
        <w:rPr>
          <w:rFonts w:ascii="Arial Narrow" w:hAnsi="Arial Narrow"/>
          <w:color w:val="000000" w:themeColor="text1"/>
        </w:rPr>
      </w:pPr>
      <w:bookmarkStart w:id="1" w:name="_Hlk102910574"/>
      <w:r w:rsidRPr="009F70FE">
        <w:rPr>
          <w:rFonts w:ascii="Arial Narrow" w:hAnsi="Arial Narrow"/>
          <w:i/>
          <w:iCs/>
          <w:color w:val="000000" w:themeColor="text1"/>
        </w:rPr>
        <w:t xml:space="preserve">For the relationship between entrepreneurs’ gender and loan rejection: </w:t>
      </w:r>
      <w:r w:rsidRPr="009F70FE">
        <w:rPr>
          <w:rFonts w:ascii="Arial Narrow" w:hAnsi="Arial Narrow"/>
          <w:color w:val="000000" w:themeColor="text1"/>
        </w:rPr>
        <w:t>Keeping other variables constant, an increase of two standard deviations of the proportion of women in management is associated with a 0.938 increase in the effect size between entrepreneurs’ gender and loan rejection</w:t>
      </w:r>
      <w:r w:rsidR="007023F6" w:rsidRPr="009F70FE">
        <w:rPr>
          <w:rFonts w:ascii="Arial Narrow" w:hAnsi="Arial Narrow"/>
          <w:color w:val="000000" w:themeColor="text1"/>
        </w:rPr>
        <w:t>. In comparison,</w:t>
      </w:r>
      <w:r w:rsidRPr="009F70FE">
        <w:rPr>
          <w:rFonts w:ascii="Arial Narrow" w:hAnsi="Arial Narrow"/>
          <w:color w:val="000000" w:themeColor="text1"/>
        </w:rPr>
        <w:t xml:space="preserve"> an increase in two standard deviations of the proportion of women in politics is associated with a 0.331 increase in effect size. Moreover, keeping other variables constant, the effect size of the relationship between entrepreneurs’ gender and loan rejection from the lowest to the highest observed value of the proportion of women in management increases by 2.635; the effect size increased by 1.504 from the lowest to the highest observed value of the proportion of women in politics. </w:t>
      </w:r>
    </w:p>
    <w:p w14:paraId="212FF04C" w14:textId="7905E3CB" w:rsidR="00006BDA" w:rsidRPr="009F70FE" w:rsidRDefault="002B452B" w:rsidP="00806F04">
      <w:pPr>
        <w:spacing w:after="160" w:line="480" w:lineRule="auto"/>
        <w:rPr>
          <w:rFonts w:ascii="Arial Narrow" w:hAnsi="Arial Narrow"/>
          <w:color w:val="000000" w:themeColor="text1"/>
        </w:rPr>
        <w:sectPr w:rsidR="00006BDA" w:rsidRPr="009F70FE" w:rsidSect="009F70FE">
          <w:pgSz w:w="12240" w:h="15840" w:code="1"/>
          <w:pgMar w:top="1440" w:right="1440" w:bottom="1440" w:left="1440" w:header="708" w:footer="708" w:gutter="0"/>
          <w:cols w:space="708"/>
          <w:docGrid w:linePitch="360"/>
        </w:sectPr>
      </w:pPr>
      <w:r w:rsidRPr="009F70FE">
        <w:rPr>
          <w:rFonts w:ascii="Arial Narrow" w:hAnsi="Arial Narrow"/>
          <w:i/>
          <w:iCs/>
          <w:color w:val="000000" w:themeColor="text1"/>
        </w:rPr>
        <w:t>For the relationship between entrepreneurs’ gender and loan interest rate:</w:t>
      </w:r>
      <w:r w:rsidRPr="009F70FE">
        <w:rPr>
          <w:rFonts w:ascii="Arial Narrow" w:hAnsi="Arial Narrow"/>
          <w:color w:val="000000" w:themeColor="text1"/>
        </w:rPr>
        <w:t xml:space="preserve"> Keeping other variables constant, an increase of two standard deviations of the proportion of women in management is associated with a 0.392 increase in the effect size between entrepreneurs’ gender and interest rate</w:t>
      </w:r>
      <w:r w:rsidR="007023F6" w:rsidRPr="009F70FE">
        <w:rPr>
          <w:rFonts w:ascii="Arial Narrow" w:hAnsi="Arial Narrow"/>
          <w:color w:val="000000" w:themeColor="text1"/>
        </w:rPr>
        <w:t>. In comparison,</w:t>
      </w:r>
      <w:r w:rsidRPr="009F70FE">
        <w:rPr>
          <w:rFonts w:ascii="Arial Narrow" w:hAnsi="Arial Narrow"/>
          <w:color w:val="000000" w:themeColor="text1"/>
        </w:rPr>
        <w:t xml:space="preserve"> an increase of two standard deviations </w:t>
      </w:r>
      <w:r w:rsidR="007023F6" w:rsidRPr="009F70FE">
        <w:rPr>
          <w:rFonts w:ascii="Arial Narrow" w:hAnsi="Arial Narrow"/>
          <w:color w:val="000000" w:themeColor="text1"/>
        </w:rPr>
        <w:t xml:space="preserve">in </w:t>
      </w:r>
      <w:r w:rsidRPr="009F70FE">
        <w:rPr>
          <w:rFonts w:ascii="Arial Narrow" w:hAnsi="Arial Narrow"/>
          <w:color w:val="000000" w:themeColor="text1"/>
        </w:rPr>
        <w:t xml:space="preserve">the proportion of women in politics is associated with a 0.101 increase. Moreover, keeping other variables constant, the effect size of the relationship between entrepreneurs’ gender and loan interest rate from the lowest to the highest observed value of the proportion of women in management increases by 1.811; the effect size increased by 0.520 from the lowest to the highest observed value of the proportion of women in politics. </w:t>
      </w:r>
    </w:p>
    <w:p w14:paraId="04CCDA5D" w14:textId="65AD5A62" w:rsidR="00006BDA" w:rsidRPr="009F70FE" w:rsidRDefault="00184F99" w:rsidP="00006BDA">
      <w:pPr>
        <w:spacing w:after="160" w:line="259" w:lineRule="auto"/>
        <w:rPr>
          <w:rFonts w:ascii="Arial Narrow" w:hAnsi="Arial Narrow"/>
          <w:color w:val="000000" w:themeColor="text1"/>
        </w:rPr>
      </w:pPr>
      <w:r w:rsidRPr="009F70FE">
        <w:rPr>
          <w:rFonts w:ascii="Arial Narrow" w:hAnsi="Arial Narrow"/>
          <w:b/>
          <w:color w:val="000000" w:themeColor="text1"/>
        </w:rPr>
        <w:t>APPENDIX 5</w:t>
      </w:r>
      <w:r w:rsidRPr="009F70FE">
        <w:rPr>
          <w:rFonts w:ascii="Arial Narrow" w:hAnsi="Arial Narrow"/>
          <w:b/>
          <w:bCs/>
          <w:color w:val="000000" w:themeColor="text1"/>
        </w:rPr>
        <w:t>:</w:t>
      </w:r>
      <w:r w:rsidRPr="009F70FE">
        <w:rPr>
          <w:rFonts w:ascii="Arial Narrow" w:hAnsi="Arial Narrow"/>
          <w:color w:val="000000" w:themeColor="text1"/>
        </w:rPr>
        <w:t xml:space="preserve"> </w:t>
      </w:r>
      <w:r w:rsidR="00006BDA" w:rsidRPr="009F70FE">
        <w:rPr>
          <w:rFonts w:ascii="Arial Narrow" w:hAnsi="Arial Narrow"/>
          <w:color w:val="000000" w:themeColor="text1"/>
        </w:rPr>
        <w:t>Comparison of the effect size of the relationship between entrepreneurs’ gender and loan interest rate in different contexts</w:t>
      </w:r>
    </w:p>
    <w:tbl>
      <w:tblPr>
        <w:tblStyle w:val="TableGrid"/>
        <w:tblW w:w="0" w:type="auto"/>
        <w:tblLook w:val="04A0" w:firstRow="1" w:lastRow="0" w:firstColumn="1" w:lastColumn="0" w:noHBand="0" w:noVBand="1"/>
      </w:tblPr>
      <w:tblGrid>
        <w:gridCol w:w="2881"/>
        <w:gridCol w:w="1741"/>
        <w:gridCol w:w="1678"/>
        <w:gridCol w:w="2519"/>
        <w:gridCol w:w="4131"/>
      </w:tblGrid>
      <w:tr w:rsidR="009F70FE" w:rsidRPr="009F70FE" w14:paraId="08144BF6" w14:textId="77777777" w:rsidTr="00911B86">
        <w:trPr>
          <w:trHeight w:val="335"/>
        </w:trPr>
        <w:tc>
          <w:tcPr>
            <w:tcW w:w="2923" w:type="dxa"/>
            <w:vAlign w:val="center"/>
          </w:tcPr>
          <w:p w14:paraId="41E1E3CC" w14:textId="77777777" w:rsidR="00006BDA" w:rsidRPr="009F70FE" w:rsidRDefault="00006BDA" w:rsidP="00911B86">
            <w:pPr>
              <w:jc w:val="center"/>
              <w:rPr>
                <w:rFonts w:ascii="Arial Narrow" w:hAnsi="Arial Narrow"/>
                <w:b/>
                <w:bCs/>
                <w:color w:val="000000" w:themeColor="text1"/>
              </w:rPr>
            </w:pPr>
            <w:r w:rsidRPr="009F70FE">
              <w:rPr>
                <w:rFonts w:ascii="Arial Narrow" w:hAnsi="Arial Narrow"/>
                <w:b/>
                <w:bCs/>
                <w:color w:val="000000" w:themeColor="text1"/>
              </w:rPr>
              <w:t>Proportion of women in management</w:t>
            </w:r>
          </w:p>
        </w:tc>
        <w:tc>
          <w:tcPr>
            <w:tcW w:w="1750" w:type="dxa"/>
            <w:vAlign w:val="center"/>
          </w:tcPr>
          <w:p w14:paraId="11ECE3ED" w14:textId="77777777" w:rsidR="00006BDA" w:rsidRPr="009F70FE" w:rsidRDefault="00006BDA" w:rsidP="00911B86">
            <w:pPr>
              <w:jc w:val="center"/>
              <w:rPr>
                <w:rFonts w:ascii="Arial Narrow" w:hAnsi="Arial Narrow"/>
                <w:b/>
                <w:bCs/>
                <w:color w:val="000000" w:themeColor="text1"/>
              </w:rPr>
            </w:pPr>
            <w:r w:rsidRPr="009F70FE">
              <w:rPr>
                <w:rFonts w:ascii="Arial Narrow" w:hAnsi="Arial Narrow"/>
                <w:b/>
                <w:bCs/>
                <w:color w:val="000000" w:themeColor="text1"/>
              </w:rPr>
              <w:t>Conservative context</w:t>
            </w:r>
          </w:p>
        </w:tc>
        <w:tc>
          <w:tcPr>
            <w:tcW w:w="1701" w:type="dxa"/>
            <w:vAlign w:val="center"/>
          </w:tcPr>
          <w:p w14:paraId="47F0B445" w14:textId="77777777" w:rsidR="00006BDA" w:rsidRPr="009F70FE" w:rsidRDefault="00006BDA" w:rsidP="00911B86">
            <w:pPr>
              <w:jc w:val="center"/>
              <w:rPr>
                <w:rFonts w:ascii="Arial Narrow" w:hAnsi="Arial Narrow"/>
                <w:b/>
                <w:bCs/>
                <w:color w:val="000000" w:themeColor="text1"/>
              </w:rPr>
            </w:pPr>
            <w:r w:rsidRPr="009F70FE">
              <w:rPr>
                <w:rFonts w:ascii="Arial Narrow" w:hAnsi="Arial Narrow"/>
                <w:b/>
                <w:bCs/>
                <w:color w:val="000000" w:themeColor="text1"/>
              </w:rPr>
              <w:t xml:space="preserve">Liberal </w:t>
            </w:r>
            <w:r w:rsidRPr="009F70FE">
              <w:rPr>
                <w:rFonts w:ascii="Arial Narrow" w:hAnsi="Arial Narrow"/>
                <w:b/>
                <w:bCs/>
                <w:color w:val="000000" w:themeColor="text1"/>
              </w:rPr>
              <w:br/>
              <w:t>context</w:t>
            </w:r>
          </w:p>
        </w:tc>
        <w:tc>
          <w:tcPr>
            <w:tcW w:w="2552" w:type="dxa"/>
            <w:vAlign w:val="center"/>
          </w:tcPr>
          <w:p w14:paraId="7840853E" w14:textId="77777777" w:rsidR="00006BDA" w:rsidRPr="009F70FE" w:rsidRDefault="00006BDA" w:rsidP="00911B86">
            <w:pPr>
              <w:jc w:val="center"/>
              <w:rPr>
                <w:rFonts w:ascii="Arial Narrow" w:hAnsi="Arial Narrow"/>
                <w:b/>
                <w:bCs/>
                <w:color w:val="000000" w:themeColor="text1"/>
              </w:rPr>
            </w:pPr>
            <w:r w:rsidRPr="009F70FE">
              <w:rPr>
                <w:rFonts w:ascii="Arial Narrow" w:hAnsi="Arial Narrow"/>
                <w:b/>
                <w:bCs/>
                <w:color w:val="000000" w:themeColor="text1"/>
              </w:rPr>
              <w:t>Q test for group comparison: conservative vs. liberal</w:t>
            </w:r>
          </w:p>
        </w:tc>
        <w:tc>
          <w:tcPr>
            <w:tcW w:w="4210" w:type="dxa"/>
            <w:vAlign w:val="center"/>
          </w:tcPr>
          <w:p w14:paraId="5E4494FB" w14:textId="77777777" w:rsidR="00006BDA" w:rsidRPr="009F70FE" w:rsidRDefault="00006BDA" w:rsidP="00911B86">
            <w:pPr>
              <w:jc w:val="center"/>
              <w:rPr>
                <w:rFonts w:ascii="Arial Narrow" w:hAnsi="Arial Narrow"/>
                <w:b/>
                <w:bCs/>
                <w:color w:val="000000" w:themeColor="text1"/>
              </w:rPr>
            </w:pPr>
            <w:r w:rsidRPr="009F70FE">
              <w:rPr>
                <w:rFonts w:ascii="Arial Narrow" w:hAnsi="Arial Narrow"/>
                <w:b/>
                <w:bCs/>
                <w:color w:val="000000" w:themeColor="text1"/>
              </w:rPr>
              <w:t>Interpretation of the Q test</w:t>
            </w:r>
          </w:p>
        </w:tc>
      </w:tr>
      <w:tr w:rsidR="009F70FE" w:rsidRPr="009F70FE" w14:paraId="73F48BD1" w14:textId="77777777" w:rsidTr="00911B86">
        <w:trPr>
          <w:trHeight w:val="167"/>
        </w:trPr>
        <w:tc>
          <w:tcPr>
            <w:tcW w:w="2923" w:type="dxa"/>
          </w:tcPr>
          <w:p w14:paraId="0DB2C9A1" w14:textId="77777777" w:rsidR="00006BDA" w:rsidRPr="009F70FE" w:rsidRDefault="00006BDA" w:rsidP="00911B86">
            <w:pPr>
              <w:rPr>
                <w:rFonts w:ascii="Arial Narrow" w:hAnsi="Arial Narrow"/>
                <w:color w:val="000000" w:themeColor="text1"/>
              </w:rPr>
            </w:pPr>
            <w:r w:rsidRPr="009F70FE">
              <w:rPr>
                <w:rFonts w:ascii="Arial Narrow" w:hAnsi="Arial Narrow"/>
                <w:color w:val="000000" w:themeColor="text1"/>
              </w:rPr>
              <w:t>Low proportion of women in management</w:t>
            </w:r>
          </w:p>
        </w:tc>
        <w:tc>
          <w:tcPr>
            <w:tcW w:w="1750" w:type="dxa"/>
          </w:tcPr>
          <w:p w14:paraId="1EEDCDE1"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ES = 0.166</w:t>
            </w:r>
          </w:p>
          <w:p w14:paraId="23FFE08B"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p = 0.000</w:t>
            </w:r>
          </w:p>
          <w:p w14:paraId="2A5609FE"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k = 44</w:t>
            </w:r>
          </w:p>
        </w:tc>
        <w:tc>
          <w:tcPr>
            <w:tcW w:w="1701" w:type="dxa"/>
          </w:tcPr>
          <w:p w14:paraId="41CA126A"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ES = -0.168</w:t>
            </w:r>
          </w:p>
          <w:p w14:paraId="00314EBE"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p = 0.446</w:t>
            </w:r>
          </w:p>
          <w:p w14:paraId="7EA68784"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k = 23</w:t>
            </w:r>
          </w:p>
        </w:tc>
        <w:tc>
          <w:tcPr>
            <w:tcW w:w="2552" w:type="dxa"/>
          </w:tcPr>
          <w:p w14:paraId="55A9D182" w14:textId="77777777" w:rsidR="00006BDA" w:rsidRPr="009F70FE" w:rsidRDefault="00006BDA" w:rsidP="00911B86">
            <w:pPr>
              <w:jc w:val="center"/>
              <w:rPr>
                <w:rFonts w:ascii="Arial Narrow" w:hAnsi="Arial Narrow"/>
                <w:color w:val="000000" w:themeColor="text1"/>
              </w:rPr>
            </w:pPr>
            <w:r w:rsidRPr="009F70FE">
              <w:rPr>
                <w:rFonts w:ascii="Arial Narrow" w:hAnsi="Arial Narrow"/>
                <w:i/>
                <w:iCs/>
                <w:color w:val="000000" w:themeColor="text1"/>
              </w:rPr>
              <w:t>Q</w:t>
            </w:r>
            <w:r w:rsidRPr="009F70FE">
              <w:rPr>
                <w:rFonts w:ascii="Arial Narrow" w:hAnsi="Arial Narrow"/>
                <w:i/>
                <w:iCs/>
                <w:color w:val="000000" w:themeColor="text1"/>
                <w:vertAlign w:val="subscript"/>
              </w:rPr>
              <w:t xml:space="preserve">between </w:t>
            </w:r>
            <w:r w:rsidRPr="009F70FE">
              <w:rPr>
                <w:rFonts w:ascii="Arial Narrow" w:hAnsi="Arial Narrow"/>
                <w:color w:val="000000" w:themeColor="text1"/>
              </w:rPr>
              <w:t>= 45981.036</w:t>
            </w:r>
          </w:p>
          <w:p w14:paraId="6ED74882" w14:textId="77777777" w:rsidR="00006BDA" w:rsidRPr="009F70FE" w:rsidRDefault="00006BDA" w:rsidP="00911B86">
            <w:pPr>
              <w:jc w:val="center"/>
              <w:rPr>
                <w:rFonts w:ascii="Arial Narrow" w:hAnsi="Arial Narrow"/>
                <w:color w:val="000000" w:themeColor="text1"/>
              </w:rPr>
            </w:pPr>
            <w:r w:rsidRPr="009F70FE">
              <w:rPr>
                <w:rFonts w:ascii="Arial Narrow" w:hAnsi="Arial Narrow"/>
                <w:i/>
                <w:iCs/>
                <w:color w:val="000000" w:themeColor="text1"/>
              </w:rPr>
              <w:t>p</w:t>
            </w:r>
            <w:r w:rsidRPr="009F70FE">
              <w:rPr>
                <w:rFonts w:ascii="Arial Narrow" w:hAnsi="Arial Narrow"/>
                <w:color w:val="000000" w:themeColor="text1"/>
              </w:rPr>
              <w:t xml:space="preserve"> = 0.000</w:t>
            </w:r>
          </w:p>
        </w:tc>
        <w:tc>
          <w:tcPr>
            <w:tcW w:w="4210" w:type="dxa"/>
          </w:tcPr>
          <w:p w14:paraId="54058CBA" w14:textId="2DFD092D" w:rsidR="00006BDA" w:rsidRPr="009F70FE" w:rsidRDefault="00006BDA" w:rsidP="00911B86">
            <w:pPr>
              <w:rPr>
                <w:rFonts w:ascii="Arial Narrow" w:hAnsi="Arial Narrow"/>
                <w:color w:val="000000" w:themeColor="text1"/>
              </w:rPr>
            </w:pPr>
            <w:r w:rsidRPr="009F70FE">
              <w:rPr>
                <w:rFonts w:ascii="Arial Narrow" w:hAnsi="Arial Narrow"/>
                <w:color w:val="000000" w:themeColor="text1"/>
              </w:rPr>
              <w:t xml:space="preserve">The effect size of the relationship between gender and loan interest rate significantly differs between conservative and liberal contexts under </w:t>
            </w:r>
            <w:r w:rsidR="007023F6" w:rsidRPr="009F70FE">
              <w:rPr>
                <w:rFonts w:ascii="Arial Narrow" w:hAnsi="Arial Narrow"/>
                <w:color w:val="000000" w:themeColor="text1"/>
              </w:rPr>
              <w:t xml:space="preserve">a </w:t>
            </w:r>
            <w:r w:rsidRPr="009F70FE">
              <w:rPr>
                <w:rFonts w:ascii="Arial Narrow" w:hAnsi="Arial Narrow"/>
                <w:color w:val="000000" w:themeColor="text1"/>
              </w:rPr>
              <w:t xml:space="preserve">low proportion of women in management. </w:t>
            </w:r>
          </w:p>
        </w:tc>
      </w:tr>
      <w:tr w:rsidR="00006BDA" w:rsidRPr="009F70FE" w14:paraId="318596DE" w14:textId="77777777" w:rsidTr="00911B86">
        <w:trPr>
          <w:trHeight w:val="167"/>
        </w:trPr>
        <w:tc>
          <w:tcPr>
            <w:tcW w:w="2923" w:type="dxa"/>
          </w:tcPr>
          <w:p w14:paraId="07A4BF60" w14:textId="77777777" w:rsidR="00006BDA" w:rsidRPr="009F70FE" w:rsidRDefault="00006BDA" w:rsidP="00911B86">
            <w:pPr>
              <w:rPr>
                <w:rFonts w:ascii="Arial Narrow" w:hAnsi="Arial Narrow"/>
                <w:color w:val="000000" w:themeColor="text1"/>
              </w:rPr>
            </w:pPr>
            <w:r w:rsidRPr="009F70FE">
              <w:rPr>
                <w:rFonts w:ascii="Arial Narrow" w:hAnsi="Arial Narrow"/>
                <w:color w:val="000000" w:themeColor="text1"/>
              </w:rPr>
              <w:t>High proportion of women in management</w:t>
            </w:r>
          </w:p>
        </w:tc>
        <w:tc>
          <w:tcPr>
            <w:tcW w:w="1750" w:type="dxa"/>
          </w:tcPr>
          <w:p w14:paraId="564E6F76"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ES = 0.113</w:t>
            </w:r>
          </w:p>
          <w:p w14:paraId="1A16D471"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p = 0.528</w:t>
            </w:r>
          </w:p>
          <w:p w14:paraId="78E0ACF8"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k = 14</w:t>
            </w:r>
          </w:p>
        </w:tc>
        <w:tc>
          <w:tcPr>
            <w:tcW w:w="1701" w:type="dxa"/>
          </w:tcPr>
          <w:p w14:paraId="5E588F97"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ES = 0.034</w:t>
            </w:r>
          </w:p>
          <w:p w14:paraId="06898A79"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p = 0.873</w:t>
            </w:r>
          </w:p>
          <w:p w14:paraId="6591E5AC" w14:textId="77777777" w:rsidR="00006BDA" w:rsidRPr="009F70FE" w:rsidRDefault="00006BDA" w:rsidP="00911B86">
            <w:pPr>
              <w:jc w:val="center"/>
              <w:rPr>
                <w:rFonts w:ascii="Arial Narrow" w:hAnsi="Arial Narrow"/>
                <w:color w:val="000000" w:themeColor="text1"/>
              </w:rPr>
            </w:pPr>
            <w:r w:rsidRPr="009F70FE">
              <w:rPr>
                <w:rFonts w:ascii="Arial Narrow" w:hAnsi="Arial Narrow"/>
                <w:color w:val="000000" w:themeColor="text1"/>
              </w:rPr>
              <w:t>k = 19</w:t>
            </w:r>
          </w:p>
        </w:tc>
        <w:tc>
          <w:tcPr>
            <w:tcW w:w="2552" w:type="dxa"/>
          </w:tcPr>
          <w:p w14:paraId="2924EDA6" w14:textId="77777777" w:rsidR="00006BDA" w:rsidRPr="009F70FE" w:rsidRDefault="00006BDA" w:rsidP="00911B86">
            <w:pPr>
              <w:jc w:val="center"/>
              <w:rPr>
                <w:rFonts w:ascii="Arial Narrow" w:hAnsi="Arial Narrow"/>
                <w:color w:val="000000" w:themeColor="text1"/>
              </w:rPr>
            </w:pPr>
            <w:r w:rsidRPr="009F70FE">
              <w:rPr>
                <w:rFonts w:ascii="Arial Narrow" w:hAnsi="Arial Narrow"/>
                <w:i/>
                <w:iCs/>
                <w:color w:val="000000" w:themeColor="text1"/>
              </w:rPr>
              <w:t>Q</w:t>
            </w:r>
            <w:r w:rsidRPr="009F70FE">
              <w:rPr>
                <w:rFonts w:ascii="Arial Narrow" w:hAnsi="Arial Narrow"/>
                <w:i/>
                <w:iCs/>
                <w:color w:val="000000" w:themeColor="text1"/>
                <w:vertAlign w:val="subscript"/>
              </w:rPr>
              <w:t xml:space="preserve">between </w:t>
            </w:r>
            <w:r w:rsidRPr="009F70FE">
              <w:rPr>
                <w:rFonts w:ascii="Arial Narrow" w:hAnsi="Arial Narrow"/>
                <w:color w:val="000000" w:themeColor="text1"/>
              </w:rPr>
              <w:t>= 3158.902</w:t>
            </w:r>
          </w:p>
          <w:p w14:paraId="08BDBDF1" w14:textId="77777777" w:rsidR="00006BDA" w:rsidRPr="009F70FE" w:rsidRDefault="00006BDA" w:rsidP="00911B86">
            <w:pPr>
              <w:jc w:val="center"/>
              <w:rPr>
                <w:rFonts w:ascii="Arial Narrow" w:hAnsi="Arial Narrow"/>
                <w:color w:val="000000" w:themeColor="text1"/>
              </w:rPr>
            </w:pPr>
            <w:r w:rsidRPr="009F70FE">
              <w:rPr>
                <w:rFonts w:ascii="Arial Narrow" w:hAnsi="Arial Narrow"/>
                <w:i/>
                <w:iCs/>
                <w:color w:val="000000" w:themeColor="text1"/>
              </w:rPr>
              <w:t>p</w:t>
            </w:r>
            <w:r w:rsidRPr="009F70FE">
              <w:rPr>
                <w:rFonts w:ascii="Arial Narrow" w:hAnsi="Arial Narrow"/>
                <w:color w:val="000000" w:themeColor="text1"/>
              </w:rPr>
              <w:t xml:space="preserve"> = 0.000</w:t>
            </w:r>
          </w:p>
        </w:tc>
        <w:tc>
          <w:tcPr>
            <w:tcW w:w="4210" w:type="dxa"/>
          </w:tcPr>
          <w:p w14:paraId="722C88B6" w14:textId="5F55C9EE" w:rsidR="00006BDA" w:rsidRPr="009F70FE" w:rsidRDefault="00006BDA" w:rsidP="00911B86">
            <w:pPr>
              <w:rPr>
                <w:rFonts w:ascii="Arial Narrow" w:hAnsi="Arial Narrow"/>
                <w:color w:val="000000" w:themeColor="text1"/>
              </w:rPr>
            </w:pPr>
            <w:r w:rsidRPr="009F70FE">
              <w:rPr>
                <w:rFonts w:ascii="Arial Narrow" w:hAnsi="Arial Narrow"/>
                <w:color w:val="000000" w:themeColor="text1"/>
              </w:rPr>
              <w:t xml:space="preserve">The effect size of the relationship between gender and loan interest rate significantly differs between conservative and liberal contexts under </w:t>
            </w:r>
            <w:r w:rsidR="007023F6" w:rsidRPr="009F70FE">
              <w:rPr>
                <w:rFonts w:ascii="Arial Narrow" w:hAnsi="Arial Narrow"/>
                <w:color w:val="000000" w:themeColor="text1"/>
              </w:rPr>
              <w:t xml:space="preserve">a </w:t>
            </w:r>
            <w:r w:rsidRPr="009F70FE">
              <w:rPr>
                <w:rFonts w:ascii="Arial Narrow" w:hAnsi="Arial Narrow"/>
                <w:color w:val="000000" w:themeColor="text1"/>
              </w:rPr>
              <w:t>high proportion of women in management.</w:t>
            </w:r>
          </w:p>
        </w:tc>
      </w:tr>
    </w:tbl>
    <w:p w14:paraId="6CF99A16" w14:textId="77777777" w:rsidR="00006BDA" w:rsidRPr="009F70FE" w:rsidRDefault="00006BDA" w:rsidP="00006BDA">
      <w:pPr>
        <w:rPr>
          <w:rFonts w:ascii="Arial Narrow" w:hAnsi="Arial Narrow"/>
          <w:i/>
          <w:iCs/>
          <w:color w:val="000000" w:themeColor="text1"/>
        </w:rPr>
      </w:pPr>
    </w:p>
    <w:p w14:paraId="3E993D39" w14:textId="77777777" w:rsidR="00006BDA" w:rsidRPr="009F70FE" w:rsidRDefault="00006BDA" w:rsidP="00006BDA">
      <w:pPr>
        <w:rPr>
          <w:rFonts w:ascii="Arial Narrow" w:hAnsi="Arial Narrow"/>
          <w:i/>
          <w:iCs/>
          <w:color w:val="000000" w:themeColor="text1"/>
        </w:rPr>
      </w:pPr>
      <w:r w:rsidRPr="009F70FE">
        <w:rPr>
          <w:rFonts w:ascii="Arial Narrow" w:hAnsi="Arial Narrow"/>
          <w:i/>
          <w:iCs/>
          <w:color w:val="000000" w:themeColor="text1"/>
        </w:rPr>
        <w:t xml:space="preserve">Note: ES = </w:t>
      </w:r>
      <w:r w:rsidRPr="009F70FE">
        <w:rPr>
          <w:rFonts w:ascii="Arial Narrow" w:hAnsi="Arial Narrow"/>
          <w:color w:val="000000" w:themeColor="text1"/>
        </w:rPr>
        <w:t>effect size;</w:t>
      </w:r>
      <w:r w:rsidRPr="009F70FE">
        <w:rPr>
          <w:rFonts w:ascii="Arial Narrow" w:hAnsi="Arial Narrow"/>
          <w:i/>
          <w:iCs/>
          <w:color w:val="000000" w:themeColor="text1"/>
        </w:rPr>
        <w:t xml:space="preserve"> p = </w:t>
      </w:r>
      <w:r w:rsidRPr="009F70FE">
        <w:rPr>
          <w:rFonts w:ascii="Arial Narrow" w:hAnsi="Arial Narrow"/>
          <w:color w:val="000000" w:themeColor="text1"/>
        </w:rPr>
        <w:t xml:space="preserve">p-value; </w:t>
      </w:r>
      <w:r w:rsidRPr="009F70FE">
        <w:rPr>
          <w:rFonts w:ascii="Arial Narrow" w:hAnsi="Arial Narrow"/>
          <w:i/>
          <w:iCs/>
          <w:color w:val="000000" w:themeColor="text1"/>
        </w:rPr>
        <w:t xml:space="preserve">k </w:t>
      </w:r>
      <w:r w:rsidRPr="009F70FE">
        <w:rPr>
          <w:rFonts w:ascii="Arial Narrow" w:hAnsi="Arial Narrow"/>
          <w:color w:val="000000" w:themeColor="text1"/>
        </w:rPr>
        <w:t>= number of effect sizes</w:t>
      </w:r>
    </w:p>
    <w:p w14:paraId="23960923" w14:textId="77777777" w:rsidR="00006BDA" w:rsidRPr="009F70FE" w:rsidRDefault="00006BDA" w:rsidP="006762E4">
      <w:pPr>
        <w:spacing w:after="160" w:line="259" w:lineRule="auto"/>
        <w:rPr>
          <w:rFonts w:ascii="Arial Narrow" w:hAnsi="Arial Narrow"/>
          <w:b/>
          <w:color w:val="000000" w:themeColor="text1"/>
        </w:rPr>
      </w:pPr>
    </w:p>
    <w:p w14:paraId="76908E17" w14:textId="77777777" w:rsidR="0056315D" w:rsidRPr="009F70FE" w:rsidRDefault="00006BDA">
      <w:pPr>
        <w:spacing w:after="160" w:line="259" w:lineRule="auto"/>
        <w:rPr>
          <w:rFonts w:ascii="Arial Narrow" w:hAnsi="Arial Narrow"/>
          <w:b/>
          <w:color w:val="000000" w:themeColor="text1"/>
        </w:rPr>
        <w:sectPr w:rsidR="0056315D" w:rsidRPr="009F70FE" w:rsidSect="009F70FE">
          <w:pgSz w:w="15840" w:h="12240" w:orient="landscape" w:code="1"/>
          <w:pgMar w:top="1440" w:right="1440" w:bottom="1440" w:left="1440" w:header="708" w:footer="708" w:gutter="0"/>
          <w:cols w:space="708"/>
          <w:docGrid w:linePitch="360"/>
        </w:sectPr>
      </w:pPr>
      <w:r w:rsidRPr="009F70FE">
        <w:rPr>
          <w:rFonts w:ascii="Arial Narrow" w:hAnsi="Arial Narrow"/>
          <w:b/>
          <w:color w:val="000000" w:themeColor="text1"/>
        </w:rPr>
        <w:br w:type="page"/>
      </w:r>
    </w:p>
    <w:p w14:paraId="0B3E413D" w14:textId="3D00841A" w:rsidR="004A1C28" w:rsidRPr="009F70FE" w:rsidRDefault="00184F99">
      <w:pPr>
        <w:spacing w:line="480" w:lineRule="auto"/>
        <w:rPr>
          <w:rFonts w:ascii="Arial Narrow" w:hAnsi="Arial Narrow"/>
          <w:b/>
          <w:color w:val="000000" w:themeColor="text1"/>
        </w:rPr>
      </w:pPr>
      <w:r w:rsidRPr="009F70FE">
        <w:rPr>
          <w:rFonts w:ascii="Arial Narrow" w:hAnsi="Arial Narrow"/>
          <w:b/>
          <w:color w:val="000000" w:themeColor="text1"/>
        </w:rPr>
        <w:t xml:space="preserve">APPENDIX </w:t>
      </w:r>
      <w:r w:rsidR="00006BDA" w:rsidRPr="009F70FE">
        <w:rPr>
          <w:rFonts w:ascii="Arial Narrow" w:hAnsi="Arial Narrow"/>
          <w:b/>
          <w:color w:val="000000" w:themeColor="text1"/>
        </w:rPr>
        <w:t>6</w:t>
      </w:r>
      <w:r w:rsidRPr="009F70FE">
        <w:rPr>
          <w:rFonts w:ascii="Arial Narrow" w:hAnsi="Arial Narrow"/>
          <w:b/>
          <w:color w:val="000000" w:themeColor="text1"/>
        </w:rPr>
        <w:t xml:space="preserve">: </w:t>
      </w:r>
      <w:r w:rsidR="004C318D" w:rsidRPr="009F70FE">
        <w:rPr>
          <w:rFonts w:ascii="Arial Narrow" w:hAnsi="Arial Narrow"/>
          <w:b/>
          <w:color w:val="000000" w:themeColor="text1"/>
        </w:rPr>
        <w:t xml:space="preserve">Supplemental </w:t>
      </w:r>
      <w:r w:rsidRPr="009F70FE">
        <w:rPr>
          <w:rFonts w:ascii="Arial Narrow" w:hAnsi="Arial Narrow"/>
          <w:b/>
          <w:color w:val="000000" w:themeColor="text1"/>
        </w:rPr>
        <w:t>Analyses</w:t>
      </w:r>
    </w:p>
    <w:p w14:paraId="6E596DF7" w14:textId="3565B9C8" w:rsidR="004A1C28" w:rsidRPr="009F70FE" w:rsidRDefault="002B452B">
      <w:pPr>
        <w:spacing w:line="480" w:lineRule="auto"/>
        <w:ind w:firstLine="709"/>
        <w:rPr>
          <w:rFonts w:ascii="Arial Narrow" w:hAnsi="Arial Narrow"/>
          <w:color w:val="000000" w:themeColor="text1"/>
        </w:rPr>
      </w:pPr>
      <w:bookmarkStart w:id="2" w:name="_Hlk102910699"/>
      <w:r w:rsidRPr="009F70FE">
        <w:rPr>
          <w:rFonts w:ascii="Arial Narrow" w:hAnsi="Arial Narrow"/>
          <w:color w:val="000000" w:themeColor="text1"/>
        </w:rPr>
        <w:t xml:space="preserve">First, we tested the possible non-linear moderating role of women’s empowerment on the entrepreneurs’ gender and loan rejection and interest rate relationship to examine an argument that there is a threshold for women’s empowerment (Chang et al., 2019; Torchia et al., 2011). We calculated the squared terms for each women’s empowerment indicator, which we included in the meta-regressions. We did not find support for a non-linear moderating role of women’s empowerment on the relationship between entrepreneurs’ gender and loan rejection (proportion of women in politics: β = 0.002, </w:t>
      </w:r>
      <w:r w:rsidRPr="009F70FE">
        <w:rPr>
          <w:rFonts w:ascii="Arial Narrow" w:hAnsi="Arial Narrow"/>
          <w:i/>
          <w:iCs/>
          <w:color w:val="000000" w:themeColor="text1"/>
        </w:rPr>
        <w:t>p</w:t>
      </w:r>
      <w:r w:rsidRPr="009F70FE">
        <w:rPr>
          <w:rFonts w:ascii="Arial Narrow" w:hAnsi="Arial Narrow"/>
          <w:color w:val="000000" w:themeColor="text1"/>
        </w:rPr>
        <w:t xml:space="preserve"> = 173; proportion of women in management β = -0.029, </w:t>
      </w:r>
      <w:r w:rsidRPr="009F70FE">
        <w:rPr>
          <w:rFonts w:ascii="Arial Narrow" w:hAnsi="Arial Narrow"/>
          <w:i/>
          <w:iCs/>
          <w:color w:val="000000" w:themeColor="text1"/>
        </w:rPr>
        <w:t>p</w:t>
      </w:r>
      <w:r w:rsidRPr="009F70FE">
        <w:rPr>
          <w:rFonts w:ascii="Arial Narrow" w:hAnsi="Arial Narrow"/>
          <w:color w:val="000000" w:themeColor="text1"/>
        </w:rPr>
        <w:t xml:space="preserve"> = 0.146). However, the squared terms for both the moderating role of women’s empowerment variables—proportion of women in politics (β = 0.004, </w:t>
      </w:r>
      <w:r w:rsidRPr="009F70FE">
        <w:rPr>
          <w:rFonts w:ascii="Arial Narrow" w:hAnsi="Arial Narrow"/>
          <w:i/>
          <w:iCs/>
          <w:color w:val="000000" w:themeColor="text1"/>
        </w:rPr>
        <w:t>p</w:t>
      </w:r>
      <w:r w:rsidRPr="009F70FE">
        <w:rPr>
          <w:rFonts w:ascii="Arial Narrow" w:hAnsi="Arial Narrow"/>
          <w:color w:val="000000" w:themeColor="text1"/>
        </w:rPr>
        <w:t xml:space="preserve"> = 000) and management (β = 0.002, </w:t>
      </w:r>
      <w:r w:rsidRPr="009F70FE">
        <w:rPr>
          <w:rFonts w:ascii="Arial Narrow" w:hAnsi="Arial Narrow"/>
          <w:i/>
          <w:iCs/>
          <w:color w:val="000000" w:themeColor="text1"/>
        </w:rPr>
        <w:t>p</w:t>
      </w:r>
      <w:r w:rsidRPr="009F70FE">
        <w:rPr>
          <w:rFonts w:ascii="Arial Narrow" w:hAnsi="Arial Narrow"/>
          <w:color w:val="000000" w:themeColor="text1"/>
        </w:rPr>
        <w:t xml:space="preserve"> = 000)—on the relationship between entrepreneurs’ gender and loan interest rate are statistically significant, indicating a non-linear relationship. The positive beta coefficient for the curvilinear terms indicates that the relationships are U-shaped, contrary to the expected inverse U-shaped relationships. That is, the link between the entrepreneur’s gender and loan interest rate is weaker for moderate women’s empowerment than for low and high levels. However, the effect sizes are small. Thus, the reader must be careful not to read too much into this non-linear moderation. </w:t>
      </w:r>
    </w:p>
    <w:bookmarkEnd w:id="2"/>
    <w:p w14:paraId="4FB74237" w14:textId="776B2563" w:rsidR="00A11DE5" w:rsidRPr="009F70FE" w:rsidRDefault="002B452B" w:rsidP="005C7767">
      <w:pPr>
        <w:spacing w:line="480" w:lineRule="auto"/>
        <w:ind w:firstLine="709"/>
        <w:rPr>
          <w:rFonts w:ascii="Arial Narrow" w:hAnsi="Arial Narrow"/>
          <w:color w:val="000000" w:themeColor="text1"/>
        </w:rPr>
      </w:pPr>
      <w:r w:rsidRPr="009F70FE">
        <w:rPr>
          <w:rFonts w:ascii="Arial Narrow" w:hAnsi="Arial Narrow"/>
          <w:color w:val="000000" w:themeColor="text1"/>
        </w:rPr>
        <w:t xml:space="preserve">Second, </w:t>
      </w:r>
      <w:r w:rsidR="005C7767" w:rsidRPr="009F70FE">
        <w:rPr>
          <w:rFonts w:ascii="Arial Narrow" w:hAnsi="Arial Narrow"/>
          <w:color w:val="000000" w:themeColor="text1"/>
        </w:rPr>
        <w:t xml:space="preserve">to reduce the concern that our results are driven by women’s higher application rate (i.e., higher application rates lead to </w:t>
      </w:r>
      <w:r w:rsidR="007023F6" w:rsidRPr="009F70FE">
        <w:rPr>
          <w:rFonts w:ascii="Arial Narrow" w:hAnsi="Arial Narrow"/>
          <w:color w:val="000000" w:themeColor="text1"/>
        </w:rPr>
        <w:t>more</w:t>
      </w:r>
      <w:r w:rsidR="005C7767" w:rsidRPr="009F70FE">
        <w:rPr>
          <w:rFonts w:ascii="Arial Narrow" w:hAnsi="Arial Narrow"/>
          <w:color w:val="000000" w:themeColor="text1"/>
        </w:rPr>
        <w:t xml:space="preserve"> loan rejections), we went back to the primary studies and compared the application rate between women and men entrepreneurs. </w:t>
      </w:r>
      <w:r w:rsidR="007023F6" w:rsidRPr="009F70FE">
        <w:rPr>
          <w:rFonts w:ascii="Arial Narrow" w:hAnsi="Arial Narrow"/>
          <w:color w:val="000000" w:themeColor="text1"/>
        </w:rPr>
        <w:t>In</w:t>
      </w:r>
      <w:r w:rsidR="005C7767" w:rsidRPr="009F70FE">
        <w:rPr>
          <w:rFonts w:ascii="Arial Narrow" w:hAnsi="Arial Narrow"/>
          <w:color w:val="000000" w:themeColor="text1"/>
        </w:rPr>
        <w:t xml:space="preserve"> all studies that reported the necessary information (11 studies), men entrepreneurs applied for loans more often than women entrepreneurs. This finding aligns with prior literature suggesting that women entrepreneurs are less likely than men to ask for external financing because they are discouraged from applying through high rejection (e.g., Rostamkalaei et al., 2020; Storey, 2004). Thus, the concern that women’s higher application rate drives our results is mitigated.</w:t>
      </w:r>
    </w:p>
    <w:p w14:paraId="36AB16A1" w14:textId="1880891C" w:rsidR="00A11DE5" w:rsidRPr="009F70FE" w:rsidRDefault="00A11DE5">
      <w:pPr>
        <w:spacing w:line="480" w:lineRule="auto"/>
        <w:ind w:firstLine="720"/>
        <w:rPr>
          <w:rFonts w:ascii="Arial Narrow" w:hAnsi="Arial Narrow"/>
          <w:color w:val="000000" w:themeColor="text1"/>
        </w:rPr>
      </w:pPr>
      <w:r w:rsidRPr="009F70FE">
        <w:rPr>
          <w:rFonts w:ascii="Arial Narrow" w:hAnsi="Arial Narrow"/>
          <w:color w:val="000000" w:themeColor="text1"/>
        </w:rPr>
        <w:t>Furthermore, to rule out the possibility that our results are driven by less collateral being offered by women entrepreneurs, we collected data provided by the World Bank’s (2021) Women, Business, and the Law dataset on legal constraints on women's ownership rights to immovable properties and equal rights to inherit and administer assets (assets indicator). Out of the 177 effect sizes included in our moderation analyses, only five effect sizes had an asset indicator score of 40. All others had the highest possible score of 100, meaning that in our sample, women are on an equal asset standing with men. Because of the limited variance in ownership rights across countries in our study, it was unnecessary to include this as a control variable</w:t>
      </w:r>
      <w:r w:rsidR="007023F6" w:rsidRPr="009F70FE">
        <w:rPr>
          <w:rFonts w:ascii="Arial Narrow" w:hAnsi="Arial Narrow"/>
          <w:color w:val="000000" w:themeColor="text1"/>
        </w:rPr>
        <w:t>.</w:t>
      </w:r>
    </w:p>
    <w:p w14:paraId="01DFD8B0" w14:textId="7179A564" w:rsidR="004A1C28" w:rsidRPr="009F70FE" w:rsidRDefault="002B452B">
      <w:pPr>
        <w:spacing w:line="480" w:lineRule="auto"/>
        <w:ind w:firstLine="709"/>
        <w:rPr>
          <w:rFonts w:ascii="Arial Narrow" w:hAnsi="Arial Narrow"/>
          <w:color w:val="000000" w:themeColor="text1"/>
        </w:rPr>
      </w:pPr>
      <w:r w:rsidRPr="009F70FE">
        <w:rPr>
          <w:rFonts w:ascii="Arial Narrow" w:hAnsi="Arial Narrow"/>
          <w:color w:val="000000" w:themeColor="text1"/>
        </w:rPr>
        <w:t>Finally, we conducted a robustness test to further control for macroeconomic factors. Specifically, we included two variables</w:t>
      </w:r>
      <w:r w:rsidR="007023F6" w:rsidRPr="009F70FE">
        <w:rPr>
          <w:rFonts w:ascii="Arial Narrow" w:hAnsi="Arial Narrow"/>
          <w:color w:val="000000" w:themeColor="text1"/>
        </w:rPr>
        <w:t>–lending interest rate and broad money. The lending interest rate is the bank rate that usually meets the private sector's short- and medium-term financing needs</w:t>
      </w:r>
      <w:r w:rsidRPr="009F70FE">
        <w:rPr>
          <w:rFonts w:ascii="Arial Narrow" w:hAnsi="Arial Narrow"/>
          <w:color w:val="000000" w:themeColor="text1"/>
        </w:rPr>
        <w:t xml:space="preserve">. Broad money measures the sum of currency outside banks, or in other words, the amount of money circulating in an economy. We retrieved the data of these two variables from the World Bank. The results show that the coefficient estimates for both the proportion of women in politics (β = 0.823; p = 0.015) and the proportion of women in management (β = 3.341; p = 0.027) are positive and statistically significant. Thus, these findings provide support for Hypothesis 1a. The results further show that the product terms for both the proportion of women in politics x political ideology (β = -2.246; p = 0.039) and the proportion of women in management x political ideology (β = 3.376; p = 0.040) are significant, providing support for Hypothesis 2a.  Overall, the results show that our results remained stable and even </w:t>
      </w:r>
      <w:r w:rsidR="009A1448" w:rsidRPr="009F70FE">
        <w:rPr>
          <w:rFonts w:ascii="Arial Narrow" w:hAnsi="Arial Narrow"/>
          <w:color w:val="000000" w:themeColor="text1"/>
        </w:rPr>
        <w:t xml:space="preserve">increased our results' statistical significance </w:t>
      </w:r>
      <w:r w:rsidRPr="009F70FE">
        <w:rPr>
          <w:rFonts w:ascii="Arial Narrow" w:hAnsi="Arial Narrow"/>
          <w:color w:val="000000" w:themeColor="text1"/>
        </w:rPr>
        <w:t>when controlling for these two macroeconomic factors.</w:t>
      </w:r>
    </w:p>
    <w:p w14:paraId="27A41B55" w14:textId="77777777" w:rsidR="004A1C28" w:rsidRPr="009F70FE" w:rsidRDefault="002B452B">
      <w:pPr>
        <w:spacing w:line="480" w:lineRule="auto"/>
        <w:rPr>
          <w:rFonts w:ascii="Arial Narrow" w:hAnsi="Arial Narrow"/>
          <w:color w:val="000000" w:themeColor="text1"/>
        </w:rPr>
      </w:pPr>
      <w:r w:rsidRPr="009F70FE">
        <w:rPr>
          <w:rFonts w:ascii="Arial Narrow" w:hAnsi="Arial Narrow"/>
          <w:color w:val="000000" w:themeColor="text1"/>
        </w:rPr>
        <w:t xml:space="preserve">References: </w:t>
      </w:r>
    </w:p>
    <w:bookmarkEnd w:id="1"/>
    <w:p w14:paraId="5DB94CFB" w14:textId="77777777" w:rsidR="004A1C28" w:rsidRPr="009F70FE" w:rsidRDefault="002B452B">
      <w:pPr>
        <w:ind w:left="720" w:hanging="720"/>
        <w:rPr>
          <w:rFonts w:ascii="Arial Narrow" w:hAnsi="Arial Narrow"/>
          <w:color w:val="000000" w:themeColor="text1"/>
        </w:rPr>
      </w:pPr>
      <w:r w:rsidRPr="009F70FE">
        <w:rPr>
          <w:rFonts w:ascii="Arial Narrow" w:hAnsi="Arial Narrow"/>
          <w:color w:val="000000" w:themeColor="text1"/>
        </w:rPr>
        <w:t xml:space="preserve">Rostamkalaei, A., Nitani, M., &amp; Riding, A. (2020). Borrower discouragement: the role of informal turndowns. </w:t>
      </w:r>
      <w:r w:rsidRPr="009F70FE">
        <w:rPr>
          <w:rFonts w:ascii="Arial Narrow" w:hAnsi="Arial Narrow"/>
          <w:i/>
          <w:iCs/>
          <w:color w:val="000000" w:themeColor="text1"/>
        </w:rPr>
        <w:t>Small Business Economics</w:t>
      </w:r>
      <w:r w:rsidRPr="009F70FE">
        <w:rPr>
          <w:rFonts w:ascii="Arial Narrow" w:hAnsi="Arial Narrow"/>
          <w:color w:val="000000" w:themeColor="text1"/>
        </w:rPr>
        <w:t>, 54(1), 173-188.</w:t>
      </w:r>
    </w:p>
    <w:p w14:paraId="28CB2438" w14:textId="77777777" w:rsidR="004A1C28" w:rsidRPr="009F70FE" w:rsidRDefault="002B452B">
      <w:pPr>
        <w:ind w:left="720" w:hanging="720"/>
        <w:rPr>
          <w:rFonts w:ascii="Arial Narrow" w:hAnsi="Arial Narrow"/>
          <w:color w:val="000000" w:themeColor="text1"/>
        </w:rPr>
      </w:pPr>
      <w:r w:rsidRPr="009F70FE">
        <w:rPr>
          <w:rFonts w:ascii="Arial Narrow" w:hAnsi="Arial Narrow"/>
          <w:color w:val="000000" w:themeColor="text1"/>
        </w:rPr>
        <w:t xml:space="preserve">Storey, D. J. (2004). Racial and gender discrimination in the micro firms credit market?: Evidence from Trinidad and Tobago. </w:t>
      </w:r>
      <w:r w:rsidRPr="009F70FE">
        <w:rPr>
          <w:rFonts w:ascii="Arial Narrow" w:hAnsi="Arial Narrow"/>
          <w:i/>
          <w:iCs/>
          <w:color w:val="000000" w:themeColor="text1"/>
        </w:rPr>
        <w:t>Small Business Economics</w:t>
      </w:r>
      <w:r w:rsidRPr="009F70FE">
        <w:rPr>
          <w:rFonts w:ascii="Arial Narrow" w:hAnsi="Arial Narrow"/>
          <w:color w:val="000000" w:themeColor="text1"/>
        </w:rPr>
        <w:t>, 23(5), 401-422.</w:t>
      </w:r>
    </w:p>
    <w:p w14:paraId="14395136" w14:textId="77777777" w:rsidR="004A1C28" w:rsidRPr="009F70FE" w:rsidRDefault="004A1C28">
      <w:pPr>
        <w:rPr>
          <w:color w:val="000000" w:themeColor="text1"/>
        </w:rPr>
      </w:pPr>
    </w:p>
    <w:sectPr w:rsidR="004A1C28" w:rsidRPr="009F70FE" w:rsidSect="009F70FE">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CAC37" w14:textId="77777777" w:rsidR="00476E38" w:rsidRDefault="00476E38">
      <w:r>
        <w:separator/>
      </w:r>
    </w:p>
  </w:endnote>
  <w:endnote w:type="continuationSeparator" w:id="0">
    <w:p w14:paraId="50C89A33" w14:textId="77777777" w:rsidR="00476E38" w:rsidRDefault="00476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38103" w14:textId="77777777" w:rsidR="00476E38" w:rsidRDefault="00476E38">
      <w:r>
        <w:separator/>
      </w:r>
    </w:p>
  </w:footnote>
  <w:footnote w:type="continuationSeparator" w:id="0">
    <w:p w14:paraId="2A98EBFF" w14:textId="77777777" w:rsidR="00476E38" w:rsidRDefault="00476E38">
      <w:r>
        <w:continuationSeparator/>
      </w:r>
    </w:p>
  </w:footnote>
  <w:footnote w:id="1">
    <w:p w14:paraId="26B710F7" w14:textId="77777777" w:rsidR="004A1C28" w:rsidRDefault="002B452B">
      <w:pPr>
        <w:pStyle w:val="FootnoteText"/>
        <w:rPr>
          <w:b/>
          <w:bCs/>
          <w:lang w:val="en-US"/>
        </w:rPr>
      </w:pPr>
      <w:r>
        <w:rPr>
          <w:rStyle w:val="FootnoteReference"/>
        </w:rPr>
        <w:footnoteRef/>
      </w:r>
      <w:r>
        <w:rPr>
          <w:lang w:val="en-US"/>
        </w:rPr>
        <w:t xml:space="preserve"> </w:t>
      </w:r>
      <w:r>
        <w:rPr>
          <w:rFonts w:ascii="Arial Narrow" w:hAnsi="Arial Narrow"/>
          <w:lang w:val="en-US"/>
        </w:rPr>
        <w:t>Formal institutions is an index retrieved from Berrone et al. (2020), capturing the countries’ general regulatory and policy environment. In countries with less enforced formal institutions, individuals often have more difficulty accessing capital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F4E8B"/>
    <w:multiLevelType w:val="hybridMultilevel"/>
    <w:tmpl w:val="2B42FF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7575B9"/>
    <w:multiLevelType w:val="hybridMultilevel"/>
    <w:tmpl w:val="350A4244"/>
    <w:lvl w:ilvl="0" w:tplc="F9165966">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 w15:restartNumberingAfterBreak="0">
    <w:nsid w:val="32B46444"/>
    <w:multiLevelType w:val="hybridMultilevel"/>
    <w:tmpl w:val="DAC2F0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CF1117"/>
    <w:multiLevelType w:val="hybridMultilevel"/>
    <w:tmpl w:val="C4AA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805267"/>
    <w:multiLevelType w:val="hybridMultilevel"/>
    <w:tmpl w:val="CDEC8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C28"/>
    <w:rsid w:val="00006BDA"/>
    <w:rsid w:val="00080BD4"/>
    <w:rsid w:val="00083265"/>
    <w:rsid w:val="00184F99"/>
    <w:rsid w:val="00274C19"/>
    <w:rsid w:val="00294E58"/>
    <w:rsid w:val="002B452B"/>
    <w:rsid w:val="002D1D22"/>
    <w:rsid w:val="00476E38"/>
    <w:rsid w:val="00497758"/>
    <w:rsid w:val="004A1C28"/>
    <w:rsid w:val="004C318D"/>
    <w:rsid w:val="00504148"/>
    <w:rsid w:val="0056315D"/>
    <w:rsid w:val="005C7767"/>
    <w:rsid w:val="00622618"/>
    <w:rsid w:val="006762E4"/>
    <w:rsid w:val="006A2980"/>
    <w:rsid w:val="006B4A97"/>
    <w:rsid w:val="006E55A2"/>
    <w:rsid w:val="007023F6"/>
    <w:rsid w:val="00717251"/>
    <w:rsid w:val="007E48C8"/>
    <w:rsid w:val="00806F04"/>
    <w:rsid w:val="008D2BEF"/>
    <w:rsid w:val="009A1448"/>
    <w:rsid w:val="009F70FE"/>
    <w:rsid w:val="00A11DE5"/>
    <w:rsid w:val="00AF58C3"/>
    <w:rsid w:val="00B67D68"/>
    <w:rsid w:val="00CC47B8"/>
    <w:rsid w:val="00CE5F3E"/>
    <w:rsid w:val="00D87EB4"/>
    <w:rsid w:val="00DC4423"/>
    <w:rsid w:val="00DC5CCA"/>
    <w:rsid w:val="00DE0DCA"/>
    <w:rsid w:val="00EB5204"/>
    <w:rsid w:val="00FC1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641B5"/>
  <w15:chartTrackingRefBased/>
  <w15:docId w15:val="{930A8EAF-CEF2-400C-B5D6-CD662B04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sv-SE"/>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lang w:eastAsia="en-US"/>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sz w:val="36"/>
      <w:szCs w:val="36"/>
      <w:lang w:eastAsia="sv-SE"/>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
      <w:sz w:val="28"/>
      <w:szCs w:val="28"/>
      <w:lang w:eastAsia="sv-SE"/>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
      <w:sz w:val="24"/>
      <w:szCs w:val="24"/>
      <w:lang w:eastAsia="sv-SE"/>
    </w:rPr>
  </w:style>
  <w:style w:type="character" w:customStyle="1" w:styleId="Heading5Char">
    <w:name w:val="Heading 5 Char"/>
    <w:basedOn w:val="DefaultParagraphFont"/>
    <w:link w:val="Heading5"/>
    <w:uiPriority w:val="9"/>
    <w:semiHidden/>
    <w:rPr>
      <w:rFonts w:ascii="Times New Roman" w:eastAsia="Times New Roman" w:hAnsi="Times New Roman" w:cs="Times New Roman"/>
      <w:b/>
      <w:lang w:eastAsia="sv-SE"/>
    </w:rPr>
  </w:style>
  <w:style w:type="character" w:customStyle="1" w:styleId="Heading6Char">
    <w:name w:val="Heading 6 Char"/>
    <w:basedOn w:val="DefaultParagraphFont"/>
    <w:link w:val="Heading6"/>
    <w:uiPriority w:val="9"/>
    <w:semiHidden/>
    <w:rPr>
      <w:rFonts w:ascii="Times New Roman" w:eastAsia="Times New Roman" w:hAnsi="Times New Roman" w:cs="Times New Roman"/>
      <w:b/>
      <w:sz w:val="20"/>
      <w:szCs w:val="20"/>
      <w:lang w:eastAsia="sv-SE"/>
    </w:r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TitleChar">
    <w:name w:val="Title Char"/>
    <w:basedOn w:val="DefaultParagraphFont"/>
    <w:link w:val="Title"/>
    <w:uiPriority w:val="10"/>
    <w:rPr>
      <w:rFonts w:ascii="Times New Roman" w:eastAsia="Times New Roman" w:hAnsi="Times New Roman" w:cs="Times New Roman"/>
      <w:b/>
      <w:sz w:val="72"/>
      <w:szCs w:val="72"/>
      <w:lang w:eastAsia="sv-S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eastAsia="sv-SE"/>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sv-S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sv-SE"/>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sv-SE"/>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val="de-CH" w:eastAsia="en-US"/>
    </w:rPr>
  </w:style>
  <w:style w:type="character" w:customStyle="1" w:styleId="FootnoteTextChar">
    <w:name w:val="Footnote Text Char"/>
    <w:basedOn w:val="DefaultParagraphFont"/>
    <w:link w:val="FootnoteText"/>
    <w:uiPriority w:val="99"/>
    <w:rPr>
      <w:sz w:val="20"/>
      <w:szCs w:val="20"/>
      <w:lang w:val="de-CH"/>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sv-SE"/>
    </w:rPr>
  </w:style>
  <w:style w:type="character" w:styleId="FollowedHyperlink">
    <w:name w:val="FollowedHyperlink"/>
    <w:basedOn w:val="DefaultParagraphFont"/>
    <w:uiPriority w:val="99"/>
    <w:semiHidden/>
    <w:unhideWhenUsed/>
    <w:rPr>
      <w:color w:val="954F72" w:themeColor="followedHyperlink"/>
      <w:u w:val="single"/>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AU" w:eastAsia="en-US"/>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en-AU"/>
    </w:rPr>
  </w:style>
  <w:style w:type="character" w:customStyle="1" w:styleId="NichtaufgelsteErwhnung1">
    <w:name w:val="Nicht aufgelöste Erwähnung1"/>
    <w:basedOn w:val="DefaultParagraphFont"/>
    <w:uiPriority w:val="99"/>
    <w:semiHidden/>
    <w:unhideWhenUsed/>
    <w:rPr>
      <w:color w:val="605E5C"/>
      <w:shd w:val="clear" w:color="auto" w:fill="E1DFDD"/>
    </w:rPr>
  </w:style>
  <w:style w:type="character" w:styleId="Emphasis">
    <w:name w:val="Emphasis"/>
    <w:basedOn w:val="DefaultParagraphFont"/>
    <w:uiPriority w:val="20"/>
    <w:qFormat/>
    <w:rPr>
      <w:i/>
      <w:iCs/>
    </w:rPr>
  </w:style>
  <w:style w:type="character" w:customStyle="1" w:styleId="nlmarticle-title">
    <w:name w:val="nlm_article-title"/>
    <w:basedOn w:val="DefaultParagraphFont"/>
  </w:style>
  <w:style w:type="table" w:styleId="TableGrid">
    <w:name w:val="Table Grid"/>
    <w:basedOn w:val="TableNormal"/>
    <w:uiPriority w:val="59"/>
    <w:pPr>
      <w:spacing w:after="0" w:line="240" w:lineRule="auto"/>
    </w:pPr>
    <w:rPr>
      <w:rFonts w:ascii="Times New Roman" w:eastAsia="Times New Roman" w:hAnsi="Times New Roman" w:cs="Times New Roman"/>
      <w:sz w:val="24"/>
      <w:szCs w:val="24"/>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lstomnmnande1">
    <w:name w:val="Olöst omnämnande1"/>
    <w:basedOn w:val="DefaultParagraphFont"/>
    <w:uiPriority w:val="99"/>
    <w:semiHidden/>
    <w:unhideWhenUsed/>
    <w:rPr>
      <w:color w:val="605E5C"/>
      <w:shd w:val="clear" w:color="auto" w:fill="E1DFDD"/>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Pr>
      <w:rFonts w:ascii="Georgia" w:eastAsia="Georgia" w:hAnsi="Georgia" w:cs="Georgia"/>
      <w:i/>
      <w:color w:val="666666"/>
      <w:sz w:val="48"/>
      <w:szCs w:val="48"/>
      <w:lang w:eastAsia="sv-S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eastAsia="sv-SE"/>
    </w:rPr>
  </w:style>
  <w:style w:type="character" w:styleId="EndnoteReference">
    <w:name w:val="endnote reference"/>
    <w:basedOn w:val="DefaultParagraphFont"/>
    <w:uiPriority w:val="99"/>
    <w:semiHidden/>
    <w:unhideWhenUsed/>
    <w:rPr>
      <w:vertAlign w:val="superscript"/>
    </w:rPr>
  </w:style>
  <w:style w:type="character" w:customStyle="1" w:styleId="Olstomnmnande2">
    <w:name w:val="Olöst omnämnande2"/>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pPr>
    <w:rPr>
      <w:lang w:eastAsia="en-US"/>
    </w:rPr>
  </w:style>
  <w:style w:type="character" w:styleId="PlaceholderText">
    <w:name w:val="Placeholder Text"/>
    <w:basedOn w:val="DefaultParagraphFont"/>
    <w:uiPriority w:val="99"/>
    <w:semiHidden/>
    <w:rPr>
      <w:color w:val="808080"/>
    </w:rPr>
  </w:style>
  <w:style w:type="character" w:customStyle="1" w:styleId="Olstomnmnande3">
    <w:name w:val="Olöst omnämnande3"/>
    <w:basedOn w:val="DefaultParagraphFont"/>
    <w:uiPriority w:val="99"/>
    <w:semiHidden/>
    <w:unhideWhenUsed/>
    <w:rPr>
      <w:color w:val="605E5C"/>
      <w:shd w:val="clear" w:color="auto" w:fill="E1DFDD"/>
    </w:rPr>
  </w:style>
  <w:style w:type="paragraph" w:customStyle="1" w:styleId="EndNoteBibliography">
    <w:name w:val="EndNote Bibliography"/>
    <w:basedOn w:val="Normal"/>
    <w:link w:val="EndNoteBibliographyChar"/>
    <w:pPr>
      <w:ind w:firstLine="567"/>
      <w:jc w:val="both"/>
    </w:pPr>
    <w:rPr>
      <w:rFonts w:eastAsiaTheme="minorHAnsi"/>
      <w:noProof/>
      <w:lang w:val="de-DE" w:eastAsia="de-DE"/>
    </w:rPr>
  </w:style>
  <w:style w:type="character" w:customStyle="1" w:styleId="EndNoteBibliographyChar">
    <w:name w:val="EndNote Bibliography Char"/>
    <w:basedOn w:val="DefaultParagraphFont"/>
    <w:link w:val="EndNoteBibliography"/>
    <w:rPr>
      <w:rFonts w:ascii="Times New Roman" w:hAnsi="Times New Roman" w:cs="Times New Roman"/>
      <w:noProof/>
      <w:sz w:val="24"/>
      <w:szCs w:val="24"/>
      <w:lang w:val="de-DE" w:eastAsia="de-D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52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FEF8B-8262-4413-8C5B-1FA5D534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2024</Words>
  <Characters>11541</Characters>
  <Application>Microsoft Office Word</Application>
  <DocSecurity>0</DocSecurity>
  <Lines>96</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Reshma Velan</cp:lastModifiedBy>
  <cp:revision>5</cp:revision>
  <dcterms:created xsi:type="dcterms:W3CDTF">2023-09-13T14:56:00Z</dcterms:created>
  <dcterms:modified xsi:type="dcterms:W3CDTF">2023-10-11T01:15:00Z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01b0710b1548a30aa10ea71fef50491059349ca70d8c6659daefd6aa433c4549</vt:lpwstr>
  </property>
</Properties>
</file>