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21B80" w14:textId="77777777" w:rsidR="0097010B" w:rsidRPr="0097010B" w:rsidRDefault="0097010B" w:rsidP="0097010B">
      <w:pPr>
        <w:pStyle w:val="Heading1"/>
        <w:spacing w:after="240" w:line="360" w:lineRule="auto"/>
        <w:contextualSpacing/>
        <w:rPr>
          <w:rFonts w:ascii="Times New Roman" w:hAnsi="Times New Roman" w:cs="Times New Roman"/>
          <w:b/>
          <w:bCs/>
          <w:color w:val="auto"/>
          <w:sz w:val="24"/>
          <w:szCs w:val="24"/>
        </w:rPr>
      </w:pPr>
      <w:r w:rsidRPr="0097010B">
        <w:rPr>
          <w:rFonts w:ascii="Times New Roman" w:eastAsiaTheme="minorEastAsia" w:hAnsi="Times New Roman" w:cs="Times New Roman"/>
          <w:b/>
          <w:bCs/>
          <w:color w:val="auto"/>
          <w:sz w:val="24"/>
          <w:szCs w:val="24"/>
        </w:rPr>
        <w:t>Web Appendix A</w:t>
      </w:r>
      <w:bookmarkStart w:id="0" w:name="_Toc150449211"/>
    </w:p>
    <w:p w14:paraId="44C5E4C0"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A1: Multidisciplinary Evidence on the Association Between a Firm’s Environmental Footprint and Its Performance Outcomes</w:t>
      </w:r>
      <w:bookmarkEnd w:id="0"/>
    </w:p>
    <w:p w14:paraId="76E57F46"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Note: EV = explanatory variable; DV = dependent variable; ROA = return on assets, ROE = return on equity; ROS = return on sales; EBIT = earnings before interest and taxes; EBITDA = earnings before interest, taxes, depreciation, and amortization; KLD = Kinder, Lydenberg, Domini and Company; MVE = market val</w:t>
      </w:r>
      <w:bookmarkStart w:id="1" w:name="_GoBack"/>
      <w:bookmarkEnd w:id="1"/>
      <w:r w:rsidRPr="0097010B">
        <w:rPr>
          <w:rFonts w:ascii="Times New Roman" w:hAnsi="Times New Roman" w:cs="Times New Roman"/>
          <w:sz w:val="24"/>
          <w:szCs w:val="24"/>
        </w:rPr>
        <w:t>ue of equity; CAR = cumulative abnormal returns; AT = total assets; LIWC = Linguistic Inquiry and Word Count</w:t>
      </w:r>
    </w:p>
    <w:tbl>
      <w:tblPr>
        <w:tblStyle w:val="PlainTable1"/>
        <w:tblW w:w="109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4361"/>
        <w:gridCol w:w="4707"/>
      </w:tblGrid>
      <w:tr w:rsidR="0097010B" w:rsidRPr="0097010B" w14:paraId="50197F78" w14:textId="77777777" w:rsidTr="00340E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auto"/>
            </w:tcBorders>
            <w:vAlign w:val="center"/>
          </w:tcPr>
          <w:p w14:paraId="5D50A55A"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Citation</w:t>
            </w:r>
          </w:p>
        </w:tc>
        <w:tc>
          <w:tcPr>
            <w:tcW w:w="4481" w:type="dxa"/>
            <w:tcBorders>
              <w:top w:val="single" w:sz="4" w:space="0" w:color="auto"/>
            </w:tcBorders>
            <w:vAlign w:val="center"/>
          </w:tcPr>
          <w:p w14:paraId="79E45086"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EV(s) and DV(s)</w:t>
            </w:r>
          </w:p>
        </w:tc>
        <w:tc>
          <w:tcPr>
            <w:tcW w:w="4819" w:type="dxa"/>
            <w:tcBorders>
              <w:top w:val="single" w:sz="4" w:space="0" w:color="auto"/>
            </w:tcBorders>
            <w:vAlign w:val="center"/>
          </w:tcPr>
          <w:p w14:paraId="46F214EC"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Key Finding(s)</w:t>
            </w:r>
          </w:p>
        </w:tc>
      </w:tr>
      <w:tr w:rsidR="0097010B" w:rsidRPr="0097010B" w14:paraId="4139A284"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7D3C015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Aghion et al. (2023)</w:t>
            </w:r>
          </w:p>
        </w:tc>
        <w:tc>
          <w:tcPr>
            <w:tcW w:w="4481" w:type="dxa"/>
            <w:vAlign w:val="center"/>
          </w:tcPr>
          <w:p w14:paraId="020C9C9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EV1: Product-market competition (Lerner index)</w:t>
            </w:r>
          </w:p>
          <w:p w14:paraId="38E0C81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68F5C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EV2: Citizens’ willingness to pay for the environment, where citizens are from the focal firm’s country of headquarters</w:t>
            </w:r>
          </w:p>
          <w:p w14:paraId="2FA9682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0C5A2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Number of “clean” (non-fossil-fuel-based propulsion) patents a car manufacturer filed in a year minus the number of “dirty” (internal combustion engine) patents it filed</w:t>
            </w:r>
          </w:p>
        </w:tc>
        <w:tc>
          <w:tcPr>
            <w:tcW w:w="4819" w:type="dxa"/>
            <w:vAlign w:val="center"/>
          </w:tcPr>
          <w:p w14:paraId="21EAA14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more willing citizens are to pay for the environment, the greater a firm’s focus on clean innovations.</w:t>
            </w:r>
          </w:p>
        </w:tc>
      </w:tr>
      <w:tr w:rsidR="0097010B" w:rsidRPr="0097010B" w14:paraId="37D8C244"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5B1C829C"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Aswani, Raghunandan, and Rajgopal (2023)</w:t>
            </w:r>
          </w:p>
        </w:tc>
        <w:tc>
          <w:tcPr>
            <w:tcW w:w="4481" w:type="dxa"/>
            <w:vAlign w:val="center"/>
          </w:tcPr>
          <w:p w14:paraId="6FCB80A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Carbon emissions and their intensity</w:t>
            </w:r>
          </w:p>
          <w:p w14:paraId="6D13424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6E3C10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ROA, ROS, EBIT margin, EBITDA margin, stock returns</w:t>
            </w:r>
          </w:p>
        </w:tc>
        <w:tc>
          <w:tcPr>
            <w:tcW w:w="4819" w:type="dxa"/>
            <w:vAlign w:val="center"/>
          </w:tcPr>
          <w:p w14:paraId="3A709B1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Scope 1 carbon emissions, the higher its ROA, ROS, EBIT margin, and EBITDA margin.</w:t>
            </w:r>
          </w:p>
          <w:p w14:paraId="0CFA4C4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94DC70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 xml:space="preserve">However, the firm’s carbon </w:t>
            </w:r>
            <w:r w:rsidRPr="0097010B">
              <w:rPr>
                <w:rFonts w:ascii="Times New Roman" w:hAnsi="Times New Roman" w:cs="Times New Roman"/>
                <w:i/>
                <w:iCs/>
                <w:sz w:val="24"/>
                <w:szCs w:val="24"/>
              </w:rPr>
              <w:t>intensity</w:t>
            </w:r>
            <w:r w:rsidRPr="0097010B">
              <w:rPr>
                <w:rFonts w:ascii="Times New Roman" w:hAnsi="Times New Roman" w:cs="Times New Roman"/>
                <w:sz w:val="24"/>
                <w:szCs w:val="24"/>
              </w:rPr>
              <w:t xml:space="preserve"> is unrelated to these four performance measures.</w:t>
            </w:r>
          </w:p>
        </w:tc>
      </w:tr>
      <w:tr w:rsidR="0097010B" w:rsidRPr="0097010B" w14:paraId="3CD9243F"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11A16E11"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Barrage, Chyn, and Hastings (2020)</w:t>
            </w:r>
          </w:p>
        </w:tc>
        <w:tc>
          <w:tcPr>
            <w:tcW w:w="4481" w:type="dxa"/>
            <w:vAlign w:val="center"/>
          </w:tcPr>
          <w:p w14:paraId="790840F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2010 BP oil spill</w:t>
            </w:r>
          </w:p>
          <w:p w14:paraId="4CB125D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046D8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Price, profit margin, and volume of BP’s gasoline sales in the month after the spill</w:t>
            </w:r>
          </w:p>
        </w:tc>
        <w:tc>
          <w:tcPr>
            <w:tcW w:w="4819" w:type="dxa"/>
            <w:vAlign w:val="center"/>
          </w:tcPr>
          <w:p w14:paraId="1BEBEE5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In the aftermath of the 2010 BP oil spill, BP gas stations’ gasoline prices, profit margins, and sales volumes dropped.</w:t>
            </w:r>
          </w:p>
          <w:p w14:paraId="4523BFA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7C0BB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BP’s pre-spill advertising dampened the customer response.</w:t>
            </w:r>
          </w:p>
        </w:tc>
      </w:tr>
      <w:tr w:rsidR="0097010B" w:rsidRPr="0097010B" w14:paraId="75A4E98F"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71505F66"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Berkman, Jona, and Sodestrom (2021)</w:t>
            </w:r>
          </w:p>
        </w:tc>
        <w:tc>
          <w:tcPr>
            <w:tcW w:w="4481" w:type="dxa"/>
            <w:vAlign w:val="center"/>
          </w:tcPr>
          <w:p w14:paraId="3368B61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disclosure of environmental risk in its 10-K</w:t>
            </w:r>
          </w:p>
          <w:p w14:paraId="531DF80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FC016E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Firm’s market value</w:t>
            </w:r>
          </w:p>
        </w:tc>
        <w:tc>
          <w:tcPr>
            <w:tcW w:w="4819" w:type="dxa"/>
            <w:vAlign w:val="center"/>
          </w:tcPr>
          <w:p w14:paraId="473C76C3" w14:textId="17DE92E5"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more a firm discloses its environmental risk, the lower its market value.</w:t>
            </w:r>
          </w:p>
        </w:tc>
      </w:tr>
      <w:tr w:rsidR="0097010B" w:rsidRPr="0097010B" w14:paraId="38CF71EF"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52A1012B"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Bolton and Kacperczyk (2021)</w:t>
            </w:r>
          </w:p>
        </w:tc>
        <w:tc>
          <w:tcPr>
            <w:tcW w:w="4481" w:type="dxa"/>
            <w:vAlign w:val="center"/>
          </w:tcPr>
          <w:p w14:paraId="05B6AFF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Carbon emissions and their intensity</w:t>
            </w:r>
          </w:p>
          <w:p w14:paraId="4C88FB9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294C9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 MVE</w:t>
            </w:r>
          </w:p>
        </w:tc>
        <w:tc>
          <w:tcPr>
            <w:tcW w:w="4819" w:type="dxa"/>
            <w:vAlign w:val="center"/>
          </w:tcPr>
          <w:p w14:paraId="516C0A2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Scope 1 emissions, the higher its stock returns. Same association for Scope 2 and Scope 3 emissions and change (from the previous year) in Scope 1, 2, and 3 emissions. However, emissions intensity is unrelated to stock returns.</w:t>
            </w:r>
          </w:p>
        </w:tc>
      </w:tr>
      <w:tr w:rsidR="0097010B" w:rsidRPr="0097010B" w14:paraId="5A22B632"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0952B4E5"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Delmas and Nairn-Birch (</w:t>
            </w:r>
            <w:hyperlink r:id="rId8" w:history="1">
              <w:r w:rsidRPr="0097010B">
                <w:rPr>
                  <w:rStyle w:val="Hyperlink"/>
                  <w:rFonts w:ascii="Times New Roman" w:hAnsi="Times New Roman" w:cs="Times New Roman"/>
                  <w:b w:val="0"/>
                  <w:color w:val="auto"/>
                  <w:sz w:val="24"/>
                  <w:szCs w:val="24"/>
                  <w:u w:val="none"/>
                </w:rPr>
                <w:t>2011</w:t>
              </w:r>
            </w:hyperlink>
            <w:r w:rsidRPr="0097010B">
              <w:rPr>
                <w:rFonts w:ascii="Times New Roman" w:hAnsi="Times New Roman" w:cs="Times New Roman"/>
                <w:b w:val="0"/>
                <w:sz w:val="24"/>
                <w:szCs w:val="24"/>
              </w:rPr>
              <w:t>)</w:t>
            </w:r>
          </w:p>
        </w:tc>
        <w:tc>
          <w:tcPr>
            <w:tcW w:w="4481" w:type="dxa"/>
            <w:vAlign w:val="center"/>
          </w:tcPr>
          <w:p w14:paraId="44F26B3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Scope 1, Scope 2, and Scope 3 emissions</w:t>
            </w:r>
          </w:p>
          <w:p w14:paraId="2307F56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35E0A6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DV1: Short-term performance, ROA (earnings before interest divided by SALE)</w:t>
            </w:r>
          </w:p>
          <w:p w14:paraId="49C285D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69529D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DV2: Long-term performance, Tobin’s q</w:t>
            </w:r>
          </w:p>
        </w:tc>
        <w:tc>
          <w:tcPr>
            <w:tcW w:w="4819" w:type="dxa"/>
            <w:vAlign w:val="center"/>
          </w:tcPr>
          <w:p w14:paraId="6373522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GHG emissions are positively associated with its return on assets but negatively associated with its Tobin’s q.</w:t>
            </w:r>
          </w:p>
        </w:tc>
      </w:tr>
      <w:tr w:rsidR="0097010B" w:rsidRPr="0097010B" w14:paraId="6DFB959C"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00B47FD3"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Delmas, Etzion, and Nairn-Birch (</w:t>
            </w:r>
            <w:hyperlink r:id="rId9" w:history="1">
              <w:r w:rsidRPr="0097010B">
                <w:rPr>
                  <w:rStyle w:val="Hyperlink"/>
                  <w:rFonts w:ascii="Times New Roman" w:hAnsi="Times New Roman" w:cs="Times New Roman"/>
                  <w:b w:val="0"/>
                  <w:color w:val="auto"/>
                  <w:sz w:val="24"/>
                  <w:szCs w:val="24"/>
                  <w:u w:val="none"/>
                </w:rPr>
                <w:t>2013</w:t>
              </w:r>
            </w:hyperlink>
            <w:r w:rsidRPr="0097010B">
              <w:rPr>
                <w:rFonts w:ascii="Times New Roman" w:hAnsi="Times New Roman" w:cs="Times New Roman"/>
                <w:b w:val="0"/>
                <w:sz w:val="24"/>
                <w:szCs w:val="24"/>
              </w:rPr>
              <w:t>)</w:t>
            </w:r>
          </w:p>
        </w:tc>
        <w:tc>
          <w:tcPr>
            <w:tcW w:w="4481" w:type="dxa"/>
            <w:vAlign w:val="center"/>
          </w:tcPr>
          <w:p w14:paraId="2798651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EVs: The authors convert five variables into two principal components. The five variables are (1) Trucost’s total environmental damage, KLD’s (2) total environmental strengths and (3) total environmental concerns, and Sustainable Asset Management’s (SAM’s) (4) eco-efficiency and (5) environmental reporting. The authors label the components as environmental processes and environmental outcomes.</w:t>
            </w:r>
          </w:p>
          <w:p w14:paraId="1C6B205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C467A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w:t>
            </w:r>
          </w:p>
        </w:tc>
        <w:tc>
          <w:tcPr>
            <w:tcW w:w="4819" w:type="dxa"/>
            <w:vAlign w:val="center"/>
          </w:tcPr>
          <w:p w14:paraId="0DCA7E0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environmental processes, the higher its Tobin’s q, whereas the firm’s environmental outcomes are unrelated to its Tobin’s q.</w:t>
            </w:r>
          </w:p>
          <w:p w14:paraId="2C50AAD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B759C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Among the five variables, only SAM’s eco-efficiency is positively associated with the firm’s Tobin’s q.</w:t>
            </w:r>
          </w:p>
        </w:tc>
      </w:tr>
      <w:tr w:rsidR="0097010B" w:rsidRPr="0097010B" w14:paraId="72547E49"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67A7609B"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Fernando, Sharfman, and Uysal (2017)</w:t>
            </w:r>
          </w:p>
        </w:tc>
        <w:tc>
          <w:tcPr>
            <w:tcW w:w="4481" w:type="dxa"/>
            <w:vAlign w:val="center"/>
          </w:tcPr>
          <w:p w14:paraId="1B31F98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Number of KLD environmental strengths minus number of environmental concerns</w:t>
            </w:r>
          </w:p>
          <w:p w14:paraId="673F1E2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B7514D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w:t>
            </w:r>
          </w:p>
        </w:tc>
        <w:tc>
          <w:tcPr>
            <w:tcW w:w="4819" w:type="dxa"/>
            <w:vAlign w:val="center"/>
          </w:tcPr>
          <w:p w14:paraId="55AD3EF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the net strength of a firm’s environmental score, the higher its Tobin’s q.</w:t>
            </w:r>
          </w:p>
        </w:tc>
      </w:tr>
      <w:tr w:rsidR="0097010B" w:rsidRPr="0097010B" w14:paraId="2323379B"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2E7DB573" w14:textId="50B62AEA"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Fisher-Vanden and Thorburn (2011)</w:t>
            </w:r>
          </w:p>
        </w:tc>
        <w:tc>
          <w:tcPr>
            <w:tcW w:w="4481" w:type="dxa"/>
            <w:vAlign w:val="center"/>
          </w:tcPr>
          <w:p w14:paraId="27A6CB3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announcement of membership in the EPA’s Climate Leaders program</w:t>
            </w:r>
          </w:p>
          <w:p w14:paraId="44CF50B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058D58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CAR</w:t>
            </w:r>
          </w:p>
        </w:tc>
        <w:tc>
          <w:tcPr>
            <w:tcW w:w="4819" w:type="dxa"/>
            <w:vAlign w:val="center"/>
          </w:tcPr>
          <w:p w14:paraId="4B053DD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voluntary environmental initiative elicits a penalty from its investors.</w:t>
            </w:r>
          </w:p>
        </w:tc>
      </w:tr>
      <w:tr w:rsidR="0097010B" w:rsidRPr="0097010B" w14:paraId="171C72DC"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1918F380"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Ghoul, Guedhami, Kim, and Park (2018)</w:t>
            </w:r>
          </w:p>
        </w:tc>
        <w:tc>
          <w:tcPr>
            <w:tcW w:w="4481" w:type="dxa"/>
            <w:vAlign w:val="center"/>
          </w:tcPr>
          <w:p w14:paraId="6D42463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Environmental costs divided by AT</w:t>
            </w:r>
          </w:p>
          <w:p w14:paraId="228BDE0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AD29C8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Four measures of cost of equity capital</w:t>
            </w:r>
          </w:p>
        </w:tc>
        <w:tc>
          <w:tcPr>
            <w:tcW w:w="4819" w:type="dxa"/>
            <w:vAlign w:val="center"/>
          </w:tcPr>
          <w:p w14:paraId="2CCB879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environmental responsibility, the lower its cost of equity capital.</w:t>
            </w:r>
          </w:p>
        </w:tc>
      </w:tr>
      <w:tr w:rsidR="0097010B" w:rsidRPr="0097010B" w14:paraId="327E8015"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396F29B4"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Gilley et al. (2000)</w:t>
            </w:r>
          </w:p>
        </w:tc>
        <w:tc>
          <w:tcPr>
            <w:tcW w:w="4481" w:type="dxa"/>
            <w:vAlign w:val="center"/>
          </w:tcPr>
          <w:p w14:paraId="789FB8A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Whether a firm’s announced environmental initiative is product-driven or process-driven</w:t>
            </w:r>
          </w:p>
          <w:p w14:paraId="227CC05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6EB3D8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Cumulative abnormal stock returns in the (−1,0) event window</w:t>
            </w:r>
          </w:p>
        </w:tc>
        <w:tc>
          <w:tcPr>
            <w:tcW w:w="4819" w:type="dxa"/>
            <w:vAlign w:val="center"/>
          </w:tcPr>
          <w:p w14:paraId="29A4CDF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announcement of a process-driven environmental initiative elicits a penalty from investors. Announcement of a product-driven environmental initiative elicits no reaction.</w:t>
            </w:r>
          </w:p>
        </w:tc>
      </w:tr>
      <w:tr w:rsidR="0097010B" w:rsidRPr="0097010B" w14:paraId="0A02BA38"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3A046911" w14:textId="77777777" w:rsidR="0097010B" w:rsidRPr="0097010B" w:rsidRDefault="0097010B" w:rsidP="0097010B">
            <w:pPr>
              <w:spacing w:line="360" w:lineRule="auto"/>
              <w:rPr>
                <w:rFonts w:ascii="Times New Roman" w:hAnsi="Times New Roman" w:cs="Times New Roman"/>
                <w:b w:val="0"/>
                <w:i/>
                <w:sz w:val="24"/>
                <w:szCs w:val="24"/>
              </w:rPr>
            </w:pPr>
            <w:r w:rsidRPr="0097010B">
              <w:rPr>
                <w:rFonts w:ascii="Times New Roman" w:hAnsi="Times New Roman" w:cs="Times New Roman"/>
                <w:b w:val="0"/>
                <w:sz w:val="24"/>
                <w:szCs w:val="24"/>
              </w:rPr>
              <w:t>Haney (</w:t>
            </w:r>
            <w:hyperlink r:id="rId10" w:history="1">
              <w:r w:rsidRPr="0097010B">
                <w:rPr>
                  <w:rStyle w:val="Hyperlink"/>
                  <w:rFonts w:ascii="Times New Roman" w:hAnsi="Times New Roman" w:cs="Times New Roman"/>
                  <w:b w:val="0"/>
                  <w:bCs w:val="0"/>
                  <w:color w:val="auto"/>
                  <w:sz w:val="24"/>
                  <w:szCs w:val="24"/>
                  <w:u w:val="none"/>
                </w:rPr>
                <w:t>2017</w:t>
              </w:r>
            </w:hyperlink>
            <w:r w:rsidRPr="0097010B">
              <w:rPr>
                <w:rFonts w:ascii="Times New Roman" w:hAnsi="Times New Roman" w:cs="Times New Roman"/>
                <w:b w:val="0"/>
                <w:sz w:val="24"/>
                <w:szCs w:val="24"/>
              </w:rPr>
              <w:t>)</w:t>
            </w:r>
          </w:p>
        </w:tc>
        <w:tc>
          <w:tcPr>
            <w:tcW w:w="4481" w:type="dxa"/>
            <w:vAlign w:val="center"/>
          </w:tcPr>
          <w:p w14:paraId="563F76E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EVs: LIWC variables—positive, negative, positive minus negative—measured the firm’s perceptions as threats versus opportunities. The input text was the firm’s answer to an open-ended question of the Carbon Disclosure Project (CDP) questionnaire.</w:t>
            </w:r>
          </w:p>
          <w:p w14:paraId="5BC28CC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19FCC5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 xml:space="preserve">DVs 1 and 2: The extent to which a firm develops new-to-the-firm </w:t>
            </w:r>
            <w:r w:rsidRPr="0097010B">
              <w:rPr>
                <w:rFonts w:ascii="Times New Roman" w:hAnsi="Times New Roman" w:cs="Times New Roman"/>
                <w:i/>
                <w:sz w:val="24"/>
                <w:szCs w:val="24"/>
              </w:rPr>
              <w:t>products</w:t>
            </w:r>
            <w:r w:rsidRPr="0097010B">
              <w:rPr>
                <w:rFonts w:ascii="Times New Roman" w:hAnsi="Times New Roman" w:cs="Times New Roman"/>
                <w:sz w:val="24"/>
                <w:szCs w:val="24"/>
              </w:rPr>
              <w:t xml:space="preserve"> (DV1) and </w:t>
            </w:r>
            <w:r w:rsidRPr="0097010B">
              <w:rPr>
                <w:rFonts w:ascii="Times New Roman" w:hAnsi="Times New Roman" w:cs="Times New Roman"/>
                <w:i/>
                <w:sz w:val="24"/>
                <w:szCs w:val="24"/>
              </w:rPr>
              <w:t xml:space="preserve">services </w:t>
            </w:r>
            <w:r w:rsidRPr="0097010B">
              <w:rPr>
                <w:rFonts w:ascii="Times New Roman" w:hAnsi="Times New Roman" w:cs="Times New Roman"/>
                <w:iCs/>
                <w:sz w:val="24"/>
                <w:szCs w:val="24"/>
              </w:rPr>
              <w:t>(DV2</w:t>
            </w:r>
            <w:r w:rsidRPr="0097010B">
              <w:rPr>
                <w:rFonts w:ascii="Times New Roman" w:hAnsi="Times New Roman" w:cs="Times New Roman"/>
                <w:sz w:val="24"/>
                <w:szCs w:val="24"/>
              </w:rPr>
              <w:t>), reported in the CDP questionnaire.</w:t>
            </w:r>
          </w:p>
          <w:p w14:paraId="7A6E1C5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D41F21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3 and 4: The extent to which a firm is improving its products (DV3) and services (DV4), reported in the CDP questionnaire</w:t>
            </w:r>
          </w:p>
        </w:tc>
        <w:tc>
          <w:tcPr>
            <w:tcW w:w="4819" w:type="dxa"/>
            <w:vAlign w:val="center"/>
          </w:tcPr>
          <w:p w14:paraId="15F08CDC" w14:textId="77993709"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interpretation of environmental challenges as threats (vs. opportunities) encourages firm innovation.</w:t>
            </w:r>
          </w:p>
          <w:p w14:paraId="4858923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8ED131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underlying mechanisms are the firm’s perceived responsibility toward society and moral legitimacy.</w:t>
            </w:r>
          </w:p>
        </w:tc>
      </w:tr>
      <w:tr w:rsidR="0097010B" w:rsidRPr="0097010B" w14:paraId="40AD49F5"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25AEADCB"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Hart and Ahuja (1996)</w:t>
            </w:r>
          </w:p>
        </w:tc>
        <w:tc>
          <w:tcPr>
            <w:tcW w:w="4481" w:type="dxa"/>
            <w:vAlign w:val="center"/>
          </w:tcPr>
          <w:p w14:paraId="394E081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Emissions reduction</w:t>
            </w:r>
          </w:p>
          <w:p w14:paraId="0199D8F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253774"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Operating performance (ROS, ROA) and financial performance (ROE)</w:t>
            </w:r>
          </w:p>
        </w:tc>
        <w:tc>
          <w:tcPr>
            <w:tcW w:w="4819" w:type="dxa"/>
            <w:vAlign w:val="center"/>
          </w:tcPr>
          <w:p w14:paraId="5CCD07B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emissions reduction is positively associated with its operating and financial performance.</w:t>
            </w:r>
          </w:p>
        </w:tc>
      </w:tr>
      <w:tr w:rsidR="0097010B" w:rsidRPr="0097010B" w14:paraId="483FFA7C"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52FB141E"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Hora and Subramanian (2018)</w:t>
            </w:r>
          </w:p>
        </w:tc>
        <w:tc>
          <w:tcPr>
            <w:tcW w:w="4481" w:type="dxa"/>
            <w:vAlign w:val="center"/>
          </w:tcPr>
          <w:p w14:paraId="053FB41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Whether the firm announced undertaking environmental efforts beyond regulatory compliance</w:t>
            </w:r>
          </w:p>
          <w:p w14:paraId="77EDA7F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352342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Relative reduction in the firm’s annual toxic releases into nature (i.e., air, water, and land)</w:t>
            </w:r>
          </w:p>
        </w:tc>
        <w:tc>
          <w:tcPr>
            <w:tcW w:w="4819" w:type="dxa"/>
            <w:vAlign w:val="center"/>
          </w:tcPr>
          <w:p w14:paraId="33A7B2A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announcement of voluntary environmental efforts, the greater its relative reduction in toxic releases.</w:t>
            </w:r>
          </w:p>
          <w:p w14:paraId="437CAB1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0BBB08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Whether the announcement is of intent or achievement does not matter.</w:t>
            </w:r>
          </w:p>
          <w:p w14:paraId="5B70D0F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20E437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firm’s announcements of “wide” (vs. narrow) initiatives are positively associated with its emissions reduction.</w:t>
            </w:r>
          </w:p>
        </w:tc>
      </w:tr>
      <w:tr w:rsidR="0097010B" w:rsidRPr="0097010B" w14:paraId="40ABB7D8"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59794C5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Hsu, Li, and Tsou (2021)</w:t>
            </w:r>
          </w:p>
        </w:tc>
        <w:tc>
          <w:tcPr>
            <w:tcW w:w="4481" w:type="dxa"/>
            <w:vAlign w:val="center"/>
          </w:tcPr>
          <w:p w14:paraId="1D72E25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Intensity of toxic emissions</w:t>
            </w:r>
          </w:p>
          <w:p w14:paraId="5B625F6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F1C70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Stock returns</w:t>
            </w:r>
          </w:p>
        </w:tc>
        <w:tc>
          <w:tcPr>
            <w:tcW w:w="4819" w:type="dxa"/>
            <w:vAlign w:val="center"/>
          </w:tcPr>
          <w:p w14:paraId="416E547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intensity of toxic emissions, the higher its stock returns.</w:t>
            </w:r>
          </w:p>
        </w:tc>
      </w:tr>
      <w:tr w:rsidR="0097010B" w:rsidRPr="0097010B" w14:paraId="1F15B480"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16B8A60C"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In, Park, and Monk (</w:t>
            </w:r>
            <w:hyperlink r:id="rId11" w:history="1">
              <w:r w:rsidRPr="0097010B">
                <w:rPr>
                  <w:rStyle w:val="Hyperlink"/>
                  <w:rFonts w:ascii="Times New Roman" w:hAnsi="Times New Roman" w:cs="Times New Roman"/>
                  <w:b w:val="0"/>
                  <w:bCs w:val="0"/>
                  <w:color w:val="auto"/>
                  <w:sz w:val="24"/>
                  <w:szCs w:val="24"/>
                  <w:u w:val="none"/>
                </w:rPr>
                <w:t>2017</w:t>
              </w:r>
            </w:hyperlink>
            <w:r w:rsidRPr="0097010B">
              <w:rPr>
                <w:rFonts w:ascii="Times New Roman" w:hAnsi="Times New Roman" w:cs="Times New Roman"/>
                <w:b w:val="0"/>
                <w:sz w:val="24"/>
                <w:szCs w:val="24"/>
              </w:rPr>
              <w:t>)</w:t>
            </w:r>
          </w:p>
        </w:tc>
        <w:tc>
          <w:tcPr>
            <w:tcW w:w="4481" w:type="dxa"/>
            <w:vAlign w:val="center"/>
          </w:tcPr>
          <w:p w14:paraId="44C6E64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EVs: Several accounting variables</w:t>
            </w:r>
          </w:p>
          <w:p w14:paraId="1D7C724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A38004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Carbon efficiency: Firm’s GHG emissions from Scopes 1 (own operations), 2 (purchased electricity), and 3 (suppliers’ operations)</w:t>
            </w:r>
          </w:p>
        </w:tc>
        <w:tc>
          <w:tcPr>
            <w:tcW w:w="4819" w:type="dxa"/>
            <w:vAlign w:val="center"/>
          </w:tcPr>
          <w:p w14:paraId="616E92E1" w14:textId="4BE140EA"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Firms with the following characteristics are more carbon efficient:</w:t>
            </w:r>
          </w:p>
          <w:p w14:paraId="6A05B6B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83EDF9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Lower book-to-market ratios, higher ROA, higher Tobin’s q, higher cash flows and cash holdings, higher coverage ratios, lower leverage ratios, and higher dividend payout ratios</w:t>
            </w:r>
          </w:p>
        </w:tc>
      </w:tr>
      <w:tr w:rsidR="0097010B" w:rsidRPr="0097010B" w14:paraId="17CCD6EE"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1EBA4EF8"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Jacobs, Singhal, and Subramaniam (2010)</w:t>
            </w:r>
          </w:p>
        </w:tc>
        <w:tc>
          <w:tcPr>
            <w:tcW w:w="4481" w:type="dxa"/>
            <w:vAlign w:val="center"/>
          </w:tcPr>
          <w:p w14:paraId="6C7449F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Firm announcement of (1) its environmental efforts/initiatives and (2) environmental awards and certifications granted to the firm by third parties</w:t>
            </w:r>
          </w:p>
          <w:p w14:paraId="4446B30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4F81E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CAR</w:t>
            </w:r>
          </w:p>
        </w:tc>
        <w:tc>
          <w:tcPr>
            <w:tcW w:w="4819" w:type="dxa"/>
            <w:vAlign w:val="center"/>
          </w:tcPr>
          <w:p w14:paraId="7036D9F2"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On average, investors react neither to a firm’s announcement of environmental initiatives nor to its granting of awards/certifications. However, they react to subcategories of such announcements.</w:t>
            </w:r>
          </w:p>
          <w:p w14:paraId="03541C1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C7607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philanthropic gifts to environmental causes elicit a reward from investors. Same reaction for ISO 14001 certification. However, the firm’s voluntary effort to reduce emissions elicits a penalty.</w:t>
            </w:r>
          </w:p>
        </w:tc>
      </w:tr>
      <w:tr w:rsidR="0097010B" w:rsidRPr="0097010B" w14:paraId="44C69147"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285E3231"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Jo, Kim, and Park (</w:t>
            </w:r>
            <w:hyperlink r:id="rId12" w:history="1">
              <w:r w:rsidRPr="0097010B">
                <w:rPr>
                  <w:rStyle w:val="Hyperlink"/>
                  <w:rFonts w:ascii="Times New Roman" w:hAnsi="Times New Roman" w:cs="Times New Roman"/>
                  <w:b w:val="0"/>
                  <w:bCs w:val="0"/>
                  <w:color w:val="auto"/>
                  <w:sz w:val="24"/>
                  <w:szCs w:val="24"/>
                  <w:u w:val="none"/>
                </w:rPr>
                <w:t>2015</w:t>
              </w:r>
            </w:hyperlink>
            <w:r w:rsidRPr="0097010B">
              <w:rPr>
                <w:rFonts w:ascii="Times New Roman" w:hAnsi="Times New Roman" w:cs="Times New Roman"/>
                <w:b w:val="0"/>
                <w:sz w:val="24"/>
                <w:szCs w:val="24"/>
              </w:rPr>
              <w:t>)</w:t>
            </w:r>
          </w:p>
        </w:tc>
        <w:tc>
          <w:tcPr>
            <w:tcW w:w="4481" w:type="dxa"/>
            <w:vAlign w:val="center"/>
          </w:tcPr>
          <w:p w14:paraId="40B8517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Total environmental costs</w:t>
            </w:r>
          </w:p>
          <w:p w14:paraId="7A1985D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030538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ROA</w:t>
            </w:r>
          </w:p>
        </w:tc>
        <w:tc>
          <w:tcPr>
            <w:tcW w:w="4819" w:type="dxa"/>
            <w:vAlign w:val="center"/>
          </w:tcPr>
          <w:p w14:paraId="19008A4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Environmental costs are negatively associated with ROA.</w:t>
            </w:r>
          </w:p>
        </w:tc>
      </w:tr>
      <w:tr w:rsidR="0097010B" w:rsidRPr="0097010B" w14:paraId="0465F132"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10C01A73"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Khanna and Damon (1999)</w:t>
            </w:r>
          </w:p>
        </w:tc>
        <w:tc>
          <w:tcPr>
            <w:tcW w:w="4481" w:type="dxa"/>
            <w:vAlign w:val="center"/>
          </w:tcPr>
          <w:p w14:paraId="34C3767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Whether a firm participates in the EPA’s 33/50 Releases Program</w:t>
            </w:r>
          </w:p>
          <w:p w14:paraId="49A447B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5EF4F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(1) Return on investment and (2) excess value ÷ sales</w:t>
            </w:r>
          </w:p>
        </w:tc>
        <w:tc>
          <w:tcPr>
            <w:tcW w:w="4819" w:type="dxa"/>
            <w:vAlign w:val="center"/>
          </w:tcPr>
          <w:p w14:paraId="5BE8934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Whether a firm participated in the 33/50 Program had no impact on either of the two economic performance outcomes.</w:t>
            </w:r>
          </w:p>
        </w:tc>
      </w:tr>
      <w:tr w:rsidR="0097010B" w:rsidRPr="0097010B" w14:paraId="74E7F0CE"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55E2B0B4"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King and Lenox (2001)</w:t>
            </w:r>
          </w:p>
        </w:tc>
        <w:tc>
          <w:tcPr>
            <w:tcW w:w="4481" w:type="dxa"/>
            <w:vAlign w:val="center"/>
          </w:tcPr>
          <w:p w14:paraId="74A1C34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emissions of toxic chemicals</w:t>
            </w:r>
          </w:p>
          <w:p w14:paraId="7CCE5FF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444CF2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w:t>
            </w:r>
          </w:p>
        </w:tc>
        <w:tc>
          <w:tcPr>
            <w:tcW w:w="4819" w:type="dxa"/>
            <w:vAlign w:val="center"/>
          </w:tcPr>
          <w:p w14:paraId="2ECC53E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association between a firm’s emissions and Tobin’s q is unclear.</w:t>
            </w:r>
          </w:p>
          <w:p w14:paraId="6FBB8FF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99003A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Also unclear are the associations between (1) the firm’s emissions relative to its industry peers and its Tobin’s q, and (2) the industry-level emissions and the firm’s Tobin’s q.</w:t>
            </w:r>
          </w:p>
        </w:tc>
      </w:tr>
      <w:tr w:rsidR="0097010B" w:rsidRPr="0097010B" w14:paraId="69A0E430"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010E0D52"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King and Lenox (2002)</w:t>
            </w:r>
          </w:p>
        </w:tc>
        <w:tc>
          <w:tcPr>
            <w:tcW w:w="4481" w:type="dxa"/>
            <w:vAlign w:val="center"/>
          </w:tcPr>
          <w:p w14:paraId="1321A74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Total emissions/waste, and waste prevention</w:t>
            </w:r>
          </w:p>
          <w:p w14:paraId="0D1B3A3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962DA2"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 and ROA</w:t>
            </w:r>
          </w:p>
        </w:tc>
        <w:tc>
          <w:tcPr>
            <w:tcW w:w="4819" w:type="dxa"/>
            <w:vAlign w:val="center"/>
          </w:tcPr>
          <w:p w14:paraId="64617E8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waste/emissions are negatively associated with its Tobin’s q and ROA.</w:t>
            </w:r>
          </w:p>
          <w:p w14:paraId="0B3FB49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60003D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However, the firm’s waste prevention (deviation of actual waste generated from its predicted value) is positively associated with its Tobin’s q and ROA.</w:t>
            </w:r>
          </w:p>
        </w:tc>
      </w:tr>
      <w:tr w:rsidR="0097010B" w:rsidRPr="0097010B" w14:paraId="370569DE"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5C5EFA66"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Klassen and McLaughlin (1996)</w:t>
            </w:r>
          </w:p>
        </w:tc>
        <w:tc>
          <w:tcPr>
            <w:tcW w:w="4481" w:type="dxa"/>
            <w:vAlign w:val="center"/>
          </w:tcPr>
          <w:p w14:paraId="42B909A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News about a firm (1) receiving an environmental award and (2) facing environmental crisis (e.g., oil spill)</w:t>
            </w:r>
          </w:p>
          <w:p w14:paraId="4FB4030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7E5796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CAR</w:t>
            </w:r>
          </w:p>
        </w:tc>
        <w:tc>
          <w:tcPr>
            <w:tcW w:w="4819" w:type="dxa"/>
            <w:vAlign w:val="center"/>
          </w:tcPr>
          <w:p w14:paraId="496EB43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News about a firm receiving an environmental award elicits a reward from its investors, whereas news about the firm being involved in an environmental crisis elicits a marginally significant penalty.</w:t>
            </w:r>
          </w:p>
        </w:tc>
      </w:tr>
      <w:tr w:rsidR="0097010B" w:rsidRPr="0097010B" w14:paraId="2337A733"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65BB3E17"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Konar and Cohen (2001)</w:t>
            </w:r>
          </w:p>
        </w:tc>
        <w:tc>
          <w:tcPr>
            <w:tcW w:w="4481" w:type="dxa"/>
            <w:vAlign w:val="center"/>
          </w:tcPr>
          <w:p w14:paraId="5B49ED64"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release of toxic chemicals, the number of environmental lawsuits</w:t>
            </w:r>
          </w:p>
          <w:p w14:paraId="3E250AE4"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E1FA672"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w:t>
            </w:r>
          </w:p>
        </w:tc>
        <w:tc>
          <w:tcPr>
            <w:tcW w:w="4819" w:type="dxa"/>
            <w:vAlign w:val="center"/>
          </w:tcPr>
          <w:p w14:paraId="0F41202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the firm’s toxic releases, the lower Tobin’s q.</w:t>
            </w:r>
          </w:p>
          <w:p w14:paraId="507C6A7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0D245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the firm’s environmental lawsuits, the lower Tobin’s q.</w:t>
            </w:r>
          </w:p>
        </w:tc>
      </w:tr>
      <w:tr w:rsidR="0097010B" w:rsidRPr="0097010B" w14:paraId="3874A9F1"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29160C98"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Kroes, Subramaniam, and Subramanyam (2012)</w:t>
            </w:r>
          </w:p>
        </w:tc>
        <w:tc>
          <w:tcPr>
            <w:tcW w:w="4481" w:type="dxa"/>
            <w:vAlign w:val="center"/>
          </w:tcPr>
          <w:p w14:paraId="4DEDFE7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at-source pollution prevention, end-of-pipe pollution control, and the use of allowances</w:t>
            </w:r>
          </w:p>
          <w:p w14:paraId="3E4897A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1EF2C9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Tobin’s q</w:t>
            </w:r>
          </w:p>
        </w:tc>
        <w:tc>
          <w:tcPr>
            <w:tcW w:w="4819" w:type="dxa"/>
            <w:vAlign w:val="center"/>
          </w:tcPr>
          <w:p w14:paraId="4F8DD8B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(1) at-source pollution prevention (i.e., use of subbituminous coal for heat) and (2) end-of-pipe pollution control (i.e., removing SO</w:t>
            </w:r>
            <w:r w:rsidRPr="0097010B">
              <w:rPr>
                <w:rFonts w:ascii="Times New Roman" w:hAnsi="Times New Roman" w:cs="Times New Roman"/>
                <w:sz w:val="24"/>
                <w:szCs w:val="24"/>
                <w:vertAlign w:val="subscript"/>
              </w:rPr>
              <w:t>2</w:t>
            </w:r>
            <w:r w:rsidRPr="0097010B">
              <w:rPr>
                <w:rFonts w:ascii="Times New Roman" w:hAnsi="Times New Roman" w:cs="Times New Roman"/>
                <w:sz w:val="24"/>
                <w:szCs w:val="24"/>
              </w:rPr>
              <w:t xml:space="preserve"> from exhaust gases), the lower its Tobin’s q.</w:t>
            </w:r>
          </w:p>
          <w:p w14:paraId="0FC0ECF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74F4E1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firm’s use of grandfathered allowances for SO</w:t>
            </w:r>
            <w:r w:rsidRPr="0097010B">
              <w:rPr>
                <w:rFonts w:ascii="Times New Roman" w:hAnsi="Times New Roman" w:cs="Times New Roman"/>
                <w:sz w:val="24"/>
                <w:szCs w:val="24"/>
                <w:vertAlign w:val="subscript"/>
              </w:rPr>
              <w:t>2</w:t>
            </w:r>
            <w:r w:rsidRPr="0097010B">
              <w:rPr>
                <w:rFonts w:ascii="Times New Roman" w:hAnsi="Times New Roman" w:cs="Times New Roman"/>
                <w:sz w:val="24"/>
                <w:szCs w:val="24"/>
              </w:rPr>
              <w:t>, the higher its Tobin’s q.</w:t>
            </w:r>
          </w:p>
        </w:tc>
      </w:tr>
      <w:tr w:rsidR="0097010B" w:rsidRPr="0097010B" w14:paraId="6B318234"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6EA862AE"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Li and Wu (2017)</w:t>
            </w:r>
          </w:p>
        </w:tc>
        <w:tc>
          <w:tcPr>
            <w:tcW w:w="4481" w:type="dxa"/>
            <w:vAlign w:val="center"/>
          </w:tcPr>
          <w:p w14:paraId="4CDEAF2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Announcement of environmental sustainability efforts/initiatives</w:t>
            </w:r>
          </w:p>
          <w:p w14:paraId="15F1AA5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213A5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CAR</w:t>
            </w:r>
          </w:p>
        </w:tc>
        <w:tc>
          <w:tcPr>
            <w:tcW w:w="4819" w:type="dxa"/>
            <w:vAlign w:val="center"/>
          </w:tcPr>
          <w:p w14:paraId="5CC7771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announcement of an environmental sustainability effort/initiative receives a penalty from its investors.</w:t>
            </w:r>
          </w:p>
        </w:tc>
      </w:tr>
      <w:tr w:rsidR="0097010B" w:rsidRPr="0097010B" w14:paraId="47ED618F"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655CE998"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Lyon and Shimshack (</w:t>
            </w:r>
            <w:hyperlink r:id="rId13" w:history="1">
              <w:r w:rsidRPr="0097010B">
                <w:rPr>
                  <w:rStyle w:val="Hyperlink"/>
                  <w:rFonts w:ascii="Times New Roman" w:hAnsi="Times New Roman" w:cs="Times New Roman"/>
                  <w:b w:val="0"/>
                  <w:color w:val="auto"/>
                  <w:sz w:val="24"/>
                  <w:szCs w:val="24"/>
                  <w:u w:val="none"/>
                </w:rPr>
                <w:t>2015</w:t>
              </w:r>
            </w:hyperlink>
            <w:r w:rsidRPr="0097010B">
              <w:rPr>
                <w:rFonts w:ascii="Times New Roman" w:hAnsi="Times New Roman" w:cs="Times New Roman"/>
                <w:b w:val="0"/>
                <w:sz w:val="24"/>
                <w:szCs w:val="24"/>
              </w:rPr>
              <w:t>)</w:t>
            </w:r>
          </w:p>
        </w:tc>
        <w:tc>
          <w:tcPr>
            <w:tcW w:w="4481" w:type="dxa"/>
            <w:vAlign w:val="center"/>
          </w:tcPr>
          <w:p w14:paraId="387A4AD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 xml:space="preserve">EV: </w:t>
            </w:r>
            <w:r w:rsidRPr="0097010B">
              <w:rPr>
                <w:rFonts w:ascii="Times New Roman" w:hAnsi="Times New Roman" w:cs="Times New Roman"/>
                <w:i/>
                <w:iCs/>
                <w:sz w:val="24"/>
                <w:szCs w:val="24"/>
              </w:rPr>
              <w:t>Newsweek</w:t>
            </w:r>
            <w:r w:rsidRPr="0097010B">
              <w:rPr>
                <w:rFonts w:ascii="Times New Roman" w:hAnsi="Times New Roman" w:cs="Times New Roman"/>
                <w:sz w:val="24"/>
                <w:szCs w:val="24"/>
              </w:rPr>
              <w:t xml:space="preserve"> rank</w:t>
            </w:r>
          </w:p>
          <w:p w14:paraId="469676D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55A1AA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Short-term CAR</w:t>
            </w:r>
          </w:p>
        </w:tc>
        <w:tc>
          <w:tcPr>
            <w:tcW w:w="4819" w:type="dxa"/>
            <w:vAlign w:val="center"/>
          </w:tcPr>
          <w:p w14:paraId="3CBD5ED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 xml:space="preserve">Being ranked in the top 100 of </w:t>
            </w:r>
            <w:r w:rsidRPr="0097010B">
              <w:rPr>
                <w:rFonts w:ascii="Times New Roman" w:hAnsi="Times New Roman" w:cs="Times New Roman"/>
                <w:i/>
                <w:iCs/>
                <w:sz w:val="24"/>
                <w:szCs w:val="24"/>
              </w:rPr>
              <w:t>Newsweek</w:t>
            </w:r>
            <w:r w:rsidRPr="0097010B">
              <w:rPr>
                <w:rFonts w:ascii="Times New Roman" w:hAnsi="Times New Roman" w:cs="Times New Roman"/>
                <w:sz w:val="24"/>
                <w:szCs w:val="24"/>
              </w:rPr>
              <w:t xml:space="preserve"> magazine’s Greenest Big Companies in America ranking increases short-term CAR in (1,3).</w:t>
            </w:r>
          </w:p>
        </w:tc>
      </w:tr>
      <w:tr w:rsidR="0097010B" w:rsidRPr="0097010B" w14:paraId="066C4C32"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78C48EE7"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Marquis, Toffel</w:t>
            </w:r>
            <w:r w:rsidRPr="0097010B">
              <w:rPr>
                <w:rFonts w:ascii="Times New Roman" w:hAnsi="Times New Roman" w:cs="Times New Roman"/>
                <w:sz w:val="24"/>
                <w:szCs w:val="24"/>
              </w:rPr>
              <w:t>,</w:t>
            </w:r>
            <w:r w:rsidRPr="0097010B">
              <w:rPr>
                <w:rFonts w:ascii="Times New Roman" w:hAnsi="Times New Roman" w:cs="Times New Roman"/>
                <w:b w:val="0"/>
                <w:sz w:val="24"/>
                <w:szCs w:val="24"/>
              </w:rPr>
              <w:t xml:space="preserve"> and Zhou (</w:t>
            </w:r>
            <w:hyperlink r:id="rId14" w:history="1">
              <w:r w:rsidRPr="0097010B">
                <w:rPr>
                  <w:rStyle w:val="Hyperlink"/>
                  <w:rFonts w:ascii="Times New Roman" w:hAnsi="Times New Roman" w:cs="Times New Roman"/>
                  <w:b w:val="0"/>
                  <w:color w:val="auto"/>
                  <w:sz w:val="24"/>
                  <w:szCs w:val="24"/>
                  <w:u w:val="none"/>
                </w:rPr>
                <w:t>2016</w:t>
              </w:r>
            </w:hyperlink>
            <w:r w:rsidRPr="0097010B">
              <w:rPr>
                <w:rFonts w:ascii="Times New Roman" w:hAnsi="Times New Roman" w:cs="Times New Roman"/>
                <w:b w:val="0"/>
                <w:sz w:val="24"/>
                <w:szCs w:val="24"/>
              </w:rPr>
              <w:t>)</w:t>
            </w:r>
          </w:p>
        </w:tc>
        <w:tc>
          <w:tcPr>
            <w:tcW w:w="4481" w:type="dxa"/>
            <w:vAlign w:val="center"/>
          </w:tcPr>
          <w:p w14:paraId="27AB199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Environmental damage</w:t>
            </w:r>
          </w:p>
          <w:p w14:paraId="6A01C8C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80CEC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Magnitude of selective disclosure (or greenwashing)</w:t>
            </w:r>
          </w:p>
          <w:p w14:paraId="2589FA52"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819" w:type="dxa"/>
            <w:vAlign w:val="center"/>
          </w:tcPr>
          <w:p w14:paraId="3954D49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more environmental damage a firm causes, the less selective its environmental disclosure.</w:t>
            </w:r>
          </w:p>
        </w:tc>
      </w:tr>
      <w:tr w:rsidR="0097010B" w:rsidRPr="0097010B" w14:paraId="11341F87"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03B3DB81"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Matsumura, Prakash, and Vera-Munoz (2014)</w:t>
            </w:r>
          </w:p>
        </w:tc>
        <w:tc>
          <w:tcPr>
            <w:tcW w:w="4481" w:type="dxa"/>
            <w:vAlign w:val="center"/>
          </w:tcPr>
          <w:p w14:paraId="25F8A65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Carbon emissions</w:t>
            </w:r>
          </w:p>
          <w:p w14:paraId="4F119C6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1AA555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Market value of equity</w:t>
            </w:r>
          </w:p>
        </w:tc>
        <w:tc>
          <w:tcPr>
            <w:tcW w:w="4819" w:type="dxa"/>
            <w:vAlign w:val="center"/>
          </w:tcPr>
          <w:p w14:paraId="2E97D0D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carbon emissions, the lower the market value of the firm’s equity.</w:t>
            </w:r>
          </w:p>
        </w:tc>
      </w:tr>
      <w:tr w:rsidR="0097010B" w:rsidRPr="0097010B" w14:paraId="14095B9F"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17AA39D7"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Russo and Fouts (1997)</w:t>
            </w:r>
          </w:p>
        </w:tc>
        <w:tc>
          <w:tcPr>
            <w:tcW w:w="4481" w:type="dxa"/>
            <w:vAlign w:val="center"/>
          </w:tcPr>
          <w:p w14:paraId="78799EA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environmental rating</w:t>
            </w:r>
          </w:p>
          <w:p w14:paraId="6CC7892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E5E1B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ROA</w:t>
            </w:r>
          </w:p>
        </w:tc>
        <w:tc>
          <w:tcPr>
            <w:tcW w:w="4819" w:type="dxa"/>
            <w:vAlign w:val="center"/>
          </w:tcPr>
          <w:p w14:paraId="3710A15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environmental rating, the higher its ROA.</w:t>
            </w:r>
          </w:p>
        </w:tc>
      </w:tr>
      <w:tr w:rsidR="0097010B" w:rsidRPr="0097010B" w14:paraId="538AA3C1"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460CA945"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Sharfman and Fernando (2006)</w:t>
            </w:r>
          </w:p>
        </w:tc>
        <w:tc>
          <w:tcPr>
            <w:tcW w:w="4481" w:type="dxa"/>
            <w:vAlign w:val="center"/>
          </w:tcPr>
          <w:p w14:paraId="6EC692F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emissions treated on-site, and emissions reused/recycled on-site</w:t>
            </w:r>
          </w:p>
          <w:p w14:paraId="53019BF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FCA665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Cost of (debt and equity) capital</w:t>
            </w:r>
          </w:p>
        </w:tc>
        <w:tc>
          <w:tcPr>
            <w:tcW w:w="4819" w:type="dxa"/>
            <w:vAlign w:val="center"/>
          </w:tcPr>
          <w:p w14:paraId="12C6111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higher a firm’s environmental risk management, the lower its cost of capital.</w:t>
            </w:r>
          </w:p>
        </w:tc>
      </w:tr>
      <w:tr w:rsidR="0097010B" w:rsidRPr="0097010B" w14:paraId="0CE30A0A"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0" w:type="dxa"/>
            <w:tcBorders>
              <w:bottom w:val="single" w:sz="4" w:space="0" w:color="auto"/>
            </w:tcBorders>
            <w:vAlign w:val="center"/>
          </w:tcPr>
          <w:p w14:paraId="08B8FB62"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Walker and Wan (2012)</w:t>
            </w:r>
          </w:p>
        </w:tc>
        <w:tc>
          <w:tcPr>
            <w:tcW w:w="4481" w:type="dxa"/>
            <w:tcBorders>
              <w:bottom w:val="single" w:sz="4" w:space="0" w:color="auto"/>
            </w:tcBorders>
            <w:vAlign w:val="center"/>
          </w:tcPr>
          <w:p w14:paraId="3B90910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 firm’s substantive and symbolic environmental actions</w:t>
            </w:r>
          </w:p>
          <w:p w14:paraId="34189CC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F42381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ROA</w:t>
            </w:r>
          </w:p>
        </w:tc>
        <w:tc>
          <w:tcPr>
            <w:tcW w:w="4819" w:type="dxa"/>
            <w:tcBorders>
              <w:bottom w:val="single" w:sz="4" w:space="0" w:color="auto"/>
            </w:tcBorders>
            <w:vAlign w:val="center"/>
          </w:tcPr>
          <w:p w14:paraId="1A6F532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symbolic environmental actions (“green talk”) are negatively unrelated to its ROA, but its substantive actions (“green walk”) are unrelated to its ROA.</w:t>
            </w:r>
          </w:p>
          <w:p w14:paraId="3BD5D5D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57A38D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While greenwashing (a discrepancy between talk and walk) is negatively associated with ROA, green highlighting is unrelated to ROA.</w:t>
            </w:r>
          </w:p>
        </w:tc>
      </w:tr>
    </w:tbl>
    <w:p w14:paraId="7D04E01F" w14:textId="77777777" w:rsidR="0097010B" w:rsidRPr="0097010B" w:rsidRDefault="0097010B" w:rsidP="0097010B">
      <w:pPr>
        <w:spacing w:after="0" w:line="360" w:lineRule="auto"/>
        <w:ind w:firstLine="720"/>
        <w:rPr>
          <w:rFonts w:ascii="Times New Roman" w:hAnsi="Times New Roman" w:cs="Times New Roman"/>
          <w:sz w:val="24"/>
          <w:szCs w:val="24"/>
        </w:rPr>
      </w:pPr>
    </w:p>
    <w:p w14:paraId="3F16F1D5" w14:textId="77777777" w:rsidR="0097010B" w:rsidRPr="0097010B" w:rsidRDefault="0097010B" w:rsidP="0097010B">
      <w:pPr>
        <w:spacing w:line="360" w:lineRule="auto"/>
        <w:rPr>
          <w:rFonts w:ascii="Times New Roman" w:eastAsiaTheme="majorEastAsia" w:hAnsi="Times New Roman" w:cs="Times New Roman"/>
          <w:b/>
          <w:bCs/>
          <w:sz w:val="24"/>
          <w:szCs w:val="24"/>
        </w:rPr>
      </w:pPr>
      <w:r w:rsidRPr="0097010B">
        <w:rPr>
          <w:rFonts w:ascii="Times New Roman" w:hAnsi="Times New Roman" w:cs="Times New Roman"/>
          <w:b/>
          <w:bCs/>
          <w:sz w:val="24"/>
          <w:szCs w:val="24"/>
        </w:rPr>
        <w:br w:type="page"/>
      </w:r>
    </w:p>
    <w:p w14:paraId="6E4859DC" w14:textId="77777777" w:rsidR="0097010B" w:rsidRPr="0097010B" w:rsidRDefault="0097010B" w:rsidP="0097010B">
      <w:pPr>
        <w:pStyle w:val="Heading3"/>
        <w:spacing w:line="360" w:lineRule="auto"/>
        <w:rPr>
          <w:rFonts w:ascii="Times New Roman" w:hAnsi="Times New Roman" w:cs="Times New Roman"/>
          <w:b/>
          <w:bCs/>
          <w:color w:val="auto"/>
        </w:rPr>
      </w:pPr>
      <w:bookmarkStart w:id="2" w:name="_Toc150449212"/>
      <w:r w:rsidRPr="0097010B">
        <w:rPr>
          <w:rFonts w:ascii="Times New Roman" w:hAnsi="Times New Roman" w:cs="Times New Roman"/>
          <w:b/>
          <w:bCs/>
          <w:color w:val="auto"/>
        </w:rPr>
        <w:t>References Not Included in the Main Manuscript</w:t>
      </w:r>
      <w:bookmarkEnd w:id="2"/>
    </w:p>
    <w:p w14:paraId="68AC32D2" w14:textId="77777777" w:rsidR="0097010B" w:rsidRPr="0097010B" w:rsidRDefault="0097010B" w:rsidP="0097010B">
      <w:pPr>
        <w:spacing w:before="240"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Berkman, Henk, Jonathan Jona, and Naomi S. Soderstrom (2021), “Firm-Specific Climate Risk and Market Valuation,” </w:t>
      </w:r>
      <w:hyperlink r:id="rId15" w:history="1">
        <w:r w:rsidRPr="0097010B">
          <w:rPr>
            <w:rStyle w:val="Hyperlink"/>
            <w:rFonts w:ascii="Times New Roman" w:hAnsi="Times New Roman" w:cs="Times New Roman"/>
            <w:color w:val="auto"/>
            <w:sz w:val="24"/>
            <w:szCs w:val="24"/>
            <w:shd w:val="clear" w:color="auto" w:fill="FFFFFF"/>
          </w:rPr>
          <w:t>https://papers.ssrn.com/sol3/papers.cfm?abstract_id=2775552</w:t>
        </w:r>
      </w:hyperlink>
    </w:p>
    <w:p w14:paraId="3126A3B1"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Delmas, M. A., Etzion, D., &amp; Nairn-Birch, N. (2013). Triangulating environmental performance: What do corporate social responsibility ratings really capture?. </w:t>
      </w:r>
      <w:r w:rsidRPr="0097010B">
        <w:rPr>
          <w:rFonts w:ascii="Times New Roman" w:hAnsi="Times New Roman" w:cs="Times New Roman"/>
          <w:i/>
          <w:iCs/>
          <w:sz w:val="24"/>
          <w:szCs w:val="24"/>
          <w:shd w:val="clear" w:color="auto" w:fill="FFFFFF"/>
        </w:rPr>
        <w:t>Academy of Management Perspectives</w:t>
      </w:r>
      <w:r w:rsidRPr="0097010B">
        <w:rPr>
          <w:rFonts w:ascii="Times New Roman" w:hAnsi="Times New Roman" w:cs="Times New Roman"/>
          <w:sz w:val="24"/>
          <w:szCs w:val="24"/>
          <w:shd w:val="clear" w:color="auto" w:fill="FFFFFF"/>
        </w:rPr>
        <w:t>, </w:t>
      </w:r>
      <w:r w:rsidRPr="0097010B">
        <w:rPr>
          <w:rFonts w:ascii="Times New Roman" w:hAnsi="Times New Roman" w:cs="Times New Roman"/>
          <w:i/>
          <w:iCs/>
          <w:sz w:val="24"/>
          <w:szCs w:val="24"/>
          <w:shd w:val="clear" w:color="auto" w:fill="FFFFFF"/>
        </w:rPr>
        <w:t>27</w:t>
      </w:r>
      <w:r w:rsidRPr="0097010B">
        <w:rPr>
          <w:rFonts w:ascii="Times New Roman" w:hAnsi="Times New Roman" w:cs="Times New Roman"/>
          <w:sz w:val="24"/>
          <w:szCs w:val="24"/>
          <w:shd w:val="clear" w:color="auto" w:fill="FFFFFF"/>
        </w:rPr>
        <w:t>(3), 255-267.</w:t>
      </w:r>
    </w:p>
    <w:p w14:paraId="32628B61"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Delmas, M. A., &amp; Nairn-Birch, N. S. (2011). Is the tail wagging the dog? An empirical analysis of corporate carbon footprints and financial performance. </w:t>
      </w:r>
      <w:hyperlink r:id="rId16" w:history="1">
        <w:r w:rsidRPr="0097010B">
          <w:rPr>
            <w:rStyle w:val="Hyperlink"/>
            <w:rFonts w:ascii="Times New Roman" w:hAnsi="Times New Roman" w:cs="Times New Roman"/>
            <w:color w:val="auto"/>
            <w:sz w:val="24"/>
            <w:szCs w:val="24"/>
            <w:shd w:val="clear" w:color="auto" w:fill="FFFFFF"/>
          </w:rPr>
          <w:t>https://escholarship.org/uc/item/3k89n5b7</w:t>
        </w:r>
      </w:hyperlink>
    </w:p>
    <w:p w14:paraId="0989C60F"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El Ghoul, Sadok, Omrane Guedhami, Hakkon Kim, and Kwangwoo Park (2018), “Corporate Environmental Responsibility and the Cost of Capital: International Evidence,” </w:t>
      </w:r>
      <w:r w:rsidRPr="0097010B">
        <w:rPr>
          <w:rFonts w:ascii="Times New Roman" w:hAnsi="Times New Roman" w:cs="Times New Roman"/>
          <w:i/>
          <w:iCs/>
          <w:sz w:val="24"/>
          <w:szCs w:val="24"/>
          <w:shd w:val="clear" w:color="auto" w:fill="FFFFFF"/>
        </w:rPr>
        <w:t>Journal of Business Ethics</w:t>
      </w:r>
      <w:r w:rsidRPr="0097010B">
        <w:rPr>
          <w:rFonts w:ascii="Times New Roman" w:hAnsi="Times New Roman" w:cs="Times New Roman"/>
          <w:sz w:val="24"/>
          <w:szCs w:val="24"/>
          <w:shd w:val="clear" w:color="auto" w:fill="FFFFFF"/>
        </w:rPr>
        <w:t>, 149, 335-361.</w:t>
      </w:r>
    </w:p>
    <w:p w14:paraId="057FDB4F"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Fernando, Chitru S., Mark P. Sharfman, and Vahap B. Uysal (2017), “Corporate Environmental Policy and Shareholder Value: Following the Smart Money,” </w:t>
      </w:r>
      <w:r w:rsidRPr="0097010B">
        <w:rPr>
          <w:rFonts w:ascii="Times New Roman" w:hAnsi="Times New Roman" w:cs="Times New Roman"/>
          <w:i/>
          <w:iCs/>
          <w:sz w:val="24"/>
          <w:szCs w:val="24"/>
          <w:shd w:val="clear" w:color="auto" w:fill="FFFFFF"/>
        </w:rPr>
        <w:t>Journal of Financial and Quantitative Analysis</w:t>
      </w:r>
      <w:r w:rsidRPr="0097010B">
        <w:rPr>
          <w:rFonts w:ascii="Times New Roman" w:hAnsi="Times New Roman" w:cs="Times New Roman"/>
          <w:sz w:val="24"/>
          <w:szCs w:val="24"/>
          <w:shd w:val="clear" w:color="auto" w:fill="FFFFFF"/>
        </w:rPr>
        <w:t>, 52 (5), 2023-2051.</w:t>
      </w:r>
    </w:p>
    <w:p w14:paraId="150D1F79"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Gilley, K. Matthew, Dan L. Worrell, Wallace N. Davidson III, and Abuzar El–Jelly (2006), “Corporate Environmental Initiatives and Anticipated Firm Performance: The Differential Effects of Process-Driven Versus Product-Driven Greening Initiatives,” </w:t>
      </w:r>
      <w:r w:rsidRPr="0097010B">
        <w:rPr>
          <w:rFonts w:ascii="Times New Roman" w:hAnsi="Times New Roman" w:cs="Times New Roman"/>
          <w:i/>
          <w:iCs/>
          <w:sz w:val="24"/>
          <w:szCs w:val="24"/>
          <w:shd w:val="clear" w:color="auto" w:fill="FFFFFF"/>
        </w:rPr>
        <w:t>Journal of Management</w:t>
      </w:r>
      <w:r w:rsidRPr="0097010B">
        <w:rPr>
          <w:rFonts w:ascii="Times New Roman" w:hAnsi="Times New Roman" w:cs="Times New Roman"/>
          <w:sz w:val="24"/>
          <w:szCs w:val="24"/>
          <w:shd w:val="clear" w:color="auto" w:fill="FFFFFF"/>
        </w:rPr>
        <w:t>, 26 (6), 1199-1216.</w:t>
      </w:r>
    </w:p>
    <w:p w14:paraId="337D1A28"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Haney, Aoife Brophy (2017), “Threat Interpretation and Innovation in the Context of Climate Change: An Ethical Perspective,” </w:t>
      </w:r>
      <w:r w:rsidRPr="0097010B">
        <w:rPr>
          <w:rFonts w:ascii="Times New Roman" w:hAnsi="Times New Roman" w:cs="Times New Roman"/>
          <w:i/>
          <w:iCs/>
          <w:sz w:val="24"/>
          <w:szCs w:val="24"/>
          <w:shd w:val="clear" w:color="auto" w:fill="FFFFFF"/>
        </w:rPr>
        <w:t>Journal of Business Ethics</w:t>
      </w:r>
      <w:r w:rsidRPr="0097010B">
        <w:rPr>
          <w:rFonts w:ascii="Times New Roman" w:hAnsi="Times New Roman" w:cs="Times New Roman"/>
          <w:sz w:val="24"/>
          <w:szCs w:val="24"/>
          <w:shd w:val="clear" w:color="auto" w:fill="FFFFFF"/>
        </w:rPr>
        <w:t>, 143, 261-276.</w:t>
      </w:r>
    </w:p>
    <w:p w14:paraId="61614905"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Hart, Stuart L., and Gautam Ahuja (1996), “Does It Pay to be Green? An Empirical Examination of the Relationship Between Emission Reduction and Firm Performance,” </w:t>
      </w:r>
      <w:r w:rsidRPr="0097010B">
        <w:rPr>
          <w:rFonts w:ascii="Times New Roman" w:hAnsi="Times New Roman" w:cs="Times New Roman"/>
          <w:i/>
          <w:iCs/>
          <w:sz w:val="24"/>
          <w:szCs w:val="24"/>
          <w:shd w:val="clear" w:color="auto" w:fill="FFFFFF"/>
        </w:rPr>
        <w:t>Business Strategy and the Environment</w:t>
      </w:r>
      <w:r w:rsidRPr="0097010B">
        <w:rPr>
          <w:rFonts w:ascii="Times New Roman" w:hAnsi="Times New Roman" w:cs="Times New Roman"/>
          <w:sz w:val="24"/>
          <w:szCs w:val="24"/>
          <w:shd w:val="clear" w:color="auto" w:fill="FFFFFF"/>
        </w:rPr>
        <w:t>, 5 (1), 30-37.</w:t>
      </w:r>
    </w:p>
    <w:p w14:paraId="6C3B3282"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Hora, Manpreet, and Ravi Subramanian (2019), “Relationship Between Positive Environmental Disclosures and Environmental Performance: An Empirical Investigation of the Greenwashing Sin of the Hidden Trade‐off,” </w:t>
      </w:r>
      <w:r w:rsidRPr="0097010B">
        <w:rPr>
          <w:rFonts w:ascii="Times New Roman" w:hAnsi="Times New Roman" w:cs="Times New Roman"/>
          <w:i/>
          <w:iCs/>
          <w:sz w:val="24"/>
          <w:szCs w:val="24"/>
          <w:shd w:val="clear" w:color="auto" w:fill="FFFFFF"/>
        </w:rPr>
        <w:t>Journal of Industrial Ecology</w:t>
      </w:r>
      <w:r w:rsidRPr="0097010B">
        <w:rPr>
          <w:rFonts w:ascii="Times New Roman" w:hAnsi="Times New Roman" w:cs="Times New Roman"/>
          <w:sz w:val="24"/>
          <w:szCs w:val="24"/>
          <w:shd w:val="clear" w:color="auto" w:fill="FFFFFF"/>
        </w:rPr>
        <w:t>, 23 (4), 855-868.</w:t>
      </w:r>
    </w:p>
    <w:p w14:paraId="360DA26F"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In, Soh Young, Ki Young Park, and Ashby Monk (2017), “Is ‘Being Green’ Rewarded in the Market? An Empirical Investigation of Decarbonization Risk and Stock Returns,” </w:t>
      </w:r>
      <w:r w:rsidRPr="0097010B">
        <w:rPr>
          <w:rFonts w:ascii="Times New Roman" w:hAnsi="Times New Roman" w:cs="Times New Roman"/>
          <w:i/>
          <w:iCs/>
          <w:sz w:val="24"/>
          <w:szCs w:val="24"/>
          <w:shd w:val="clear" w:color="auto" w:fill="FFFFFF"/>
        </w:rPr>
        <w:t>International Association for Energy Economics</w:t>
      </w:r>
      <w:r w:rsidRPr="0097010B">
        <w:rPr>
          <w:rFonts w:ascii="Times New Roman" w:hAnsi="Times New Roman" w:cs="Times New Roman"/>
          <w:sz w:val="24"/>
          <w:szCs w:val="24"/>
          <w:shd w:val="clear" w:color="auto" w:fill="FFFFFF"/>
        </w:rPr>
        <w:t>, Singapore Issue, 46-48."</w:t>
      </w:r>
    </w:p>
    <w:p w14:paraId="441D43E1"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Jacobs, Brian W., Vinod R. Singhal, and Ravi Subramanian (2010), “An Empirical Investigation of Environmental Performance and the Market Value of the Firm,” </w:t>
      </w:r>
      <w:r w:rsidRPr="0097010B">
        <w:rPr>
          <w:rFonts w:ascii="Times New Roman" w:hAnsi="Times New Roman" w:cs="Times New Roman"/>
          <w:i/>
          <w:iCs/>
          <w:sz w:val="24"/>
          <w:szCs w:val="24"/>
          <w:shd w:val="clear" w:color="auto" w:fill="FFFFFF"/>
        </w:rPr>
        <w:t>Journal of Operations Management</w:t>
      </w:r>
      <w:r w:rsidRPr="0097010B">
        <w:rPr>
          <w:rFonts w:ascii="Times New Roman" w:hAnsi="Times New Roman" w:cs="Times New Roman"/>
          <w:sz w:val="24"/>
          <w:szCs w:val="24"/>
          <w:shd w:val="clear" w:color="auto" w:fill="FFFFFF"/>
        </w:rPr>
        <w:t>, 28 (5), 430-441.</w:t>
      </w:r>
    </w:p>
    <w:p w14:paraId="31C1FA7D"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Jo, Hoje, Hakkon Kim, and Kwangwoo Park (2015), “Corporate Environmental Responsibility and Firm Performance in the Financial Services Sector,” </w:t>
      </w:r>
      <w:r w:rsidRPr="0097010B">
        <w:rPr>
          <w:rFonts w:ascii="Times New Roman" w:hAnsi="Times New Roman" w:cs="Times New Roman"/>
          <w:i/>
          <w:iCs/>
          <w:sz w:val="24"/>
          <w:szCs w:val="24"/>
          <w:shd w:val="clear" w:color="auto" w:fill="FFFFFF"/>
        </w:rPr>
        <w:t>Journal of Business Ethics</w:t>
      </w:r>
      <w:r w:rsidRPr="0097010B">
        <w:rPr>
          <w:rFonts w:ascii="Times New Roman" w:hAnsi="Times New Roman" w:cs="Times New Roman"/>
          <w:sz w:val="24"/>
          <w:szCs w:val="24"/>
          <w:shd w:val="clear" w:color="auto" w:fill="FFFFFF"/>
        </w:rPr>
        <w:t>, 131, 257-284.</w:t>
      </w:r>
    </w:p>
    <w:p w14:paraId="79B34886"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Khanna, Madhu, and Lisa A. Damon (1999), “EPA’s Voluntary 33/50 Program: Impact on Toxic Releases and Economic Performance of Firms,” </w:t>
      </w:r>
      <w:r w:rsidRPr="0097010B">
        <w:rPr>
          <w:rFonts w:ascii="Times New Roman" w:hAnsi="Times New Roman" w:cs="Times New Roman"/>
          <w:i/>
          <w:iCs/>
          <w:sz w:val="24"/>
          <w:szCs w:val="24"/>
          <w:shd w:val="clear" w:color="auto" w:fill="FFFFFF"/>
        </w:rPr>
        <w:t>Journal of Environmental Economics and Management</w:t>
      </w:r>
      <w:r w:rsidRPr="0097010B">
        <w:rPr>
          <w:rFonts w:ascii="Times New Roman" w:hAnsi="Times New Roman" w:cs="Times New Roman"/>
          <w:sz w:val="24"/>
          <w:szCs w:val="24"/>
          <w:shd w:val="clear" w:color="auto" w:fill="FFFFFF"/>
        </w:rPr>
        <w:t>, 37 (1), 1-25.</w:t>
      </w:r>
    </w:p>
    <w:p w14:paraId="6DF248F1"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King, Andrew, and Michael Lenox (2002), “Exploring the Locus of Profitable Pollution Reduction,” </w:t>
      </w:r>
      <w:r w:rsidRPr="0097010B">
        <w:rPr>
          <w:rFonts w:ascii="Times New Roman" w:hAnsi="Times New Roman" w:cs="Times New Roman"/>
          <w:i/>
          <w:iCs/>
          <w:sz w:val="24"/>
          <w:szCs w:val="24"/>
          <w:shd w:val="clear" w:color="auto" w:fill="FFFFFF"/>
        </w:rPr>
        <w:t>Management Science</w:t>
      </w:r>
      <w:r w:rsidRPr="0097010B">
        <w:rPr>
          <w:rFonts w:ascii="Times New Roman" w:hAnsi="Times New Roman" w:cs="Times New Roman"/>
          <w:sz w:val="24"/>
          <w:szCs w:val="24"/>
          <w:shd w:val="clear" w:color="auto" w:fill="FFFFFF"/>
        </w:rPr>
        <w:t>, 48.2 (2002): 289-299.</w:t>
      </w:r>
    </w:p>
    <w:p w14:paraId="02E546F5"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Fernando, Chitru S., Mark P. Sharfman, and Vahap B. Uysal (2017), “Corporate Environmental Policy and Shareholder Value: Following the Smart Money,” </w:t>
      </w:r>
      <w:r w:rsidRPr="0097010B">
        <w:rPr>
          <w:rFonts w:ascii="Times New Roman" w:hAnsi="Times New Roman" w:cs="Times New Roman"/>
          <w:i/>
          <w:iCs/>
          <w:sz w:val="24"/>
          <w:szCs w:val="24"/>
          <w:shd w:val="clear" w:color="auto" w:fill="FFFFFF"/>
        </w:rPr>
        <w:t>Journal of Financial and Quantitative Analysis</w:t>
      </w:r>
      <w:r w:rsidRPr="0097010B">
        <w:rPr>
          <w:rFonts w:ascii="Times New Roman" w:hAnsi="Times New Roman" w:cs="Times New Roman"/>
          <w:sz w:val="24"/>
          <w:szCs w:val="24"/>
          <w:shd w:val="clear" w:color="auto" w:fill="FFFFFF"/>
        </w:rPr>
        <w:t>, 52 (5), 2023-2051.</w:t>
      </w:r>
    </w:p>
    <w:p w14:paraId="30DFCCCB"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Klassen, Robert D., and Curtis P. McLaughlin (1996), “The Impact of Environmental Management on Firm Performance." </w:t>
      </w:r>
      <w:r w:rsidRPr="0097010B">
        <w:rPr>
          <w:rFonts w:ascii="Times New Roman" w:hAnsi="Times New Roman" w:cs="Times New Roman"/>
          <w:i/>
          <w:iCs/>
          <w:sz w:val="24"/>
          <w:szCs w:val="24"/>
          <w:shd w:val="clear" w:color="auto" w:fill="FFFFFF"/>
        </w:rPr>
        <w:t>Management Science</w:t>
      </w:r>
      <w:r w:rsidRPr="0097010B">
        <w:rPr>
          <w:rFonts w:ascii="Times New Roman" w:hAnsi="Times New Roman" w:cs="Times New Roman"/>
          <w:sz w:val="24"/>
          <w:szCs w:val="24"/>
          <w:shd w:val="clear" w:color="auto" w:fill="FFFFFF"/>
        </w:rPr>
        <w:t>, 42 (8), 1199-1214.</w:t>
      </w:r>
    </w:p>
    <w:p w14:paraId="14C04C89"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Konar, Shameek, and Mark A. Cohen (2001), “Does the Market Value Environmental Performance?” </w:t>
      </w:r>
      <w:r w:rsidRPr="0097010B">
        <w:rPr>
          <w:rFonts w:ascii="Times New Roman" w:hAnsi="Times New Roman" w:cs="Times New Roman"/>
          <w:i/>
          <w:iCs/>
          <w:sz w:val="24"/>
          <w:szCs w:val="24"/>
          <w:shd w:val="clear" w:color="auto" w:fill="FFFFFF"/>
        </w:rPr>
        <w:t>Review of Economics and Statistics</w:t>
      </w:r>
      <w:r w:rsidRPr="0097010B">
        <w:rPr>
          <w:rFonts w:ascii="Times New Roman" w:hAnsi="Times New Roman" w:cs="Times New Roman"/>
          <w:sz w:val="24"/>
          <w:szCs w:val="24"/>
          <w:shd w:val="clear" w:color="auto" w:fill="FFFFFF"/>
        </w:rPr>
        <w:t>, 83 (2), 281-289.</w:t>
      </w:r>
    </w:p>
    <w:p w14:paraId="3044E482"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Kroes, James, Ravi Subramanian, and Ramanath Subramanyam (2012), “Operational Compliance Levers, Environmental Performance, and Firm Performance Under Cap and Trade Regulation,” </w:t>
      </w:r>
      <w:r w:rsidRPr="0097010B">
        <w:rPr>
          <w:rFonts w:ascii="Times New Roman" w:hAnsi="Times New Roman" w:cs="Times New Roman"/>
          <w:i/>
          <w:iCs/>
          <w:sz w:val="24"/>
          <w:szCs w:val="24"/>
          <w:shd w:val="clear" w:color="auto" w:fill="FFFFFF"/>
        </w:rPr>
        <w:t>Manufacturing &amp; Service Operations Management</w:t>
      </w:r>
      <w:r w:rsidRPr="0097010B">
        <w:rPr>
          <w:rFonts w:ascii="Times New Roman" w:hAnsi="Times New Roman" w:cs="Times New Roman"/>
          <w:sz w:val="24"/>
          <w:szCs w:val="24"/>
          <w:shd w:val="clear" w:color="auto" w:fill="FFFFFF"/>
        </w:rPr>
        <w:t>, 14 (2), 186-201.</w:t>
      </w:r>
    </w:p>
    <w:p w14:paraId="5DFF26AB"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 xml:space="preserve">Li, Biao, and Kekun Wu (2017), “The Price of Environmental Sustainability: Empirical Evidence from Stock Market Performance in China,” </w:t>
      </w:r>
      <w:r w:rsidRPr="0097010B">
        <w:rPr>
          <w:rFonts w:ascii="Times New Roman" w:hAnsi="Times New Roman" w:cs="Times New Roman"/>
          <w:i/>
          <w:iCs/>
          <w:sz w:val="24"/>
          <w:szCs w:val="24"/>
          <w:shd w:val="clear" w:color="auto" w:fill="FFFFFF"/>
        </w:rPr>
        <w:t>Sustainability</w:t>
      </w:r>
      <w:r w:rsidRPr="0097010B">
        <w:rPr>
          <w:rFonts w:ascii="Times New Roman" w:hAnsi="Times New Roman" w:cs="Times New Roman"/>
          <w:sz w:val="24"/>
          <w:szCs w:val="24"/>
          <w:shd w:val="clear" w:color="auto" w:fill="FFFFFF"/>
        </w:rPr>
        <w:t>, 9 (8), 1452.</w:t>
      </w:r>
    </w:p>
    <w:p w14:paraId="207B46FD"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Lyon, Thomas P., and Jay P. Shimshack (2015), “Environmental Disclosure: Evidence from Newsweek’s Green Companies Rankings,” </w:t>
      </w:r>
      <w:r w:rsidRPr="0097010B">
        <w:rPr>
          <w:rFonts w:ascii="Times New Roman" w:hAnsi="Times New Roman" w:cs="Times New Roman"/>
          <w:i/>
          <w:iCs/>
          <w:sz w:val="24"/>
          <w:szCs w:val="24"/>
          <w:shd w:val="clear" w:color="auto" w:fill="FFFFFF"/>
        </w:rPr>
        <w:t>Business &amp; Society</w:t>
      </w:r>
      <w:r w:rsidRPr="0097010B">
        <w:rPr>
          <w:rFonts w:ascii="Times New Roman" w:hAnsi="Times New Roman" w:cs="Times New Roman"/>
          <w:sz w:val="24"/>
          <w:szCs w:val="24"/>
          <w:shd w:val="clear" w:color="auto" w:fill="FFFFFF"/>
        </w:rPr>
        <w:t>, 54 (5), 632-675.</w:t>
      </w:r>
    </w:p>
    <w:p w14:paraId="345F1BB9"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lang w:val="en-CA"/>
        </w:rPr>
        <w:t>Matsumura, Ella Mae, Rachna Prakash, and Sandra C. Vera-Munoz (2014),</w:t>
      </w:r>
      <w:r w:rsidRPr="0097010B">
        <w:rPr>
          <w:rFonts w:ascii="Times New Roman" w:hAnsi="Times New Roman" w:cs="Times New Roman"/>
          <w:sz w:val="24"/>
          <w:szCs w:val="24"/>
          <w:shd w:val="clear" w:color="auto" w:fill="FFFFFF"/>
        </w:rPr>
        <w:t xml:space="preserve"> “Firm-Value Effects of Carbon Emissions and Carbon Disclosures,” </w:t>
      </w:r>
      <w:r w:rsidRPr="0097010B">
        <w:rPr>
          <w:rFonts w:ascii="Times New Roman" w:hAnsi="Times New Roman" w:cs="Times New Roman"/>
          <w:i/>
          <w:iCs/>
          <w:sz w:val="24"/>
          <w:szCs w:val="24"/>
          <w:shd w:val="clear" w:color="auto" w:fill="FFFFFF"/>
        </w:rPr>
        <w:t>Accounting Review</w:t>
      </w:r>
      <w:r w:rsidRPr="0097010B">
        <w:rPr>
          <w:rFonts w:ascii="Times New Roman" w:hAnsi="Times New Roman" w:cs="Times New Roman"/>
          <w:sz w:val="24"/>
          <w:szCs w:val="24"/>
          <w:shd w:val="clear" w:color="auto" w:fill="FFFFFF"/>
        </w:rPr>
        <w:t>, 89 (2), 695-724.</w:t>
      </w:r>
    </w:p>
    <w:p w14:paraId="3FB74A7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Phillips, Robert A. and Joel Reichart (2000), “The environment as a stakeholder? A fairness-based approach,” </w:t>
      </w:r>
      <w:r w:rsidRPr="0097010B">
        <w:rPr>
          <w:rFonts w:ascii="Times New Roman" w:eastAsia="Times New Roman" w:hAnsi="Times New Roman" w:cs="Times New Roman"/>
          <w:i/>
          <w:iCs/>
          <w:sz w:val="24"/>
          <w:szCs w:val="24"/>
        </w:rPr>
        <w:t>Journal of Business Ethics</w:t>
      </w:r>
      <w:r w:rsidRPr="0097010B">
        <w:rPr>
          <w:rFonts w:ascii="Times New Roman" w:eastAsia="Times New Roman" w:hAnsi="Times New Roman" w:cs="Times New Roman"/>
          <w:sz w:val="24"/>
          <w:szCs w:val="24"/>
        </w:rPr>
        <w:t xml:space="preserve">, </w:t>
      </w:r>
      <w:r w:rsidRPr="0097010B">
        <w:rPr>
          <w:rFonts w:ascii="Times New Roman" w:eastAsia="Times New Roman" w:hAnsi="Times New Roman" w:cs="Times New Roman"/>
          <w:i/>
          <w:iCs/>
          <w:sz w:val="24"/>
          <w:szCs w:val="24"/>
        </w:rPr>
        <w:t>23</w:t>
      </w:r>
      <w:r w:rsidRPr="0097010B">
        <w:rPr>
          <w:rFonts w:ascii="Times New Roman" w:eastAsia="Times New Roman" w:hAnsi="Times New Roman" w:cs="Times New Roman"/>
          <w:sz w:val="24"/>
          <w:szCs w:val="24"/>
        </w:rPr>
        <w:t>(2), 185-197.</w:t>
      </w:r>
    </w:p>
    <w:p w14:paraId="75AFC0C4"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728318BC"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Russo, Michael V., and Paul A. Fouts (!997), “A Resource-Based Perspective on Corporate Environmental Performance and Profitability." </w:t>
      </w:r>
      <w:r w:rsidRPr="0097010B">
        <w:rPr>
          <w:rFonts w:ascii="Times New Roman" w:hAnsi="Times New Roman" w:cs="Times New Roman"/>
          <w:i/>
          <w:iCs/>
          <w:sz w:val="24"/>
          <w:szCs w:val="24"/>
          <w:shd w:val="clear" w:color="auto" w:fill="FFFFFF"/>
        </w:rPr>
        <w:t>Academy of Management Journal</w:t>
      </w:r>
      <w:r w:rsidRPr="0097010B">
        <w:rPr>
          <w:rFonts w:ascii="Times New Roman" w:hAnsi="Times New Roman" w:cs="Times New Roman"/>
          <w:sz w:val="24"/>
          <w:szCs w:val="24"/>
          <w:shd w:val="clear" w:color="auto" w:fill="FFFFFF"/>
        </w:rPr>
        <w:t> 40.3 (1997): 534-559.</w:t>
      </w:r>
    </w:p>
    <w:p w14:paraId="2A58D61D" w14:textId="77777777" w:rsidR="0097010B" w:rsidRPr="0097010B" w:rsidRDefault="0097010B" w:rsidP="0097010B">
      <w:pPr>
        <w:spacing w:line="360" w:lineRule="auto"/>
        <w:rPr>
          <w:rFonts w:ascii="Times New Roman" w:hAnsi="Times New Roman" w:cs="Times New Roman"/>
          <w:sz w:val="24"/>
          <w:szCs w:val="24"/>
          <w:shd w:val="clear" w:color="auto" w:fill="FFFFFF"/>
        </w:rPr>
      </w:pPr>
      <w:r w:rsidRPr="0097010B">
        <w:rPr>
          <w:rFonts w:ascii="Times New Roman" w:hAnsi="Times New Roman" w:cs="Times New Roman"/>
          <w:sz w:val="24"/>
          <w:szCs w:val="24"/>
          <w:shd w:val="clear" w:color="auto" w:fill="FFFFFF"/>
        </w:rPr>
        <w:t>Sharfman, Mark P., and Chitru S. Fernando (2008), “Environmental Risk Management and the Cost of Capital,” </w:t>
      </w:r>
      <w:r w:rsidRPr="0097010B">
        <w:rPr>
          <w:rFonts w:ascii="Times New Roman" w:hAnsi="Times New Roman" w:cs="Times New Roman"/>
          <w:i/>
          <w:iCs/>
          <w:sz w:val="24"/>
          <w:szCs w:val="24"/>
          <w:shd w:val="clear" w:color="auto" w:fill="FFFFFF"/>
        </w:rPr>
        <w:t>Strategic Management Journal</w:t>
      </w:r>
      <w:r w:rsidRPr="0097010B">
        <w:rPr>
          <w:rFonts w:ascii="Times New Roman" w:hAnsi="Times New Roman" w:cs="Times New Roman"/>
          <w:sz w:val="24"/>
          <w:szCs w:val="24"/>
          <w:shd w:val="clear" w:color="auto" w:fill="FFFFFF"/>
        </w:rPr>
        <w:t>, 29 (6), 569-592.</w:t>
      </w:r>
    </w:p>
    <w:p w14:paraId="2D1AED14" w14:textId="77777777" w:rsidR="0097010B" w:rsidRPr="0097010B" w:rsidRDefault="0097010B" w:rsidP="0097010B">
      <w:pPr>
        <w:spacing w:line="360" w:lineRule="auto"/>
        <w:rPr>
          <w:rFonts w:ascii="Times New Roman" w:hAnsi="Times New Roman" w:cs="Times New Roman"/>
          <w:b/>
          <w:bCs/>
          <w:sz w:val="24"/>
          <w:szCs w:val="24"/>
        </w:rPr>
      </w:pPr>
      <w:r w:rsidRPr="0097010B">
        <w:rPr>
          <w:rFonts w:ascii="Times New Roman" w:hAnsi="Times New Roman" w:cs="Times New Roman"/>
          <w:sz w:val="24"/>
          <w:szCs w:val="24"/>
          <w:shd w:val="clear" w:color="auto" w:fill="FFFFFF"/>
        </w:rPr>
        <w:t>Walker, Kent, and Fang Wan (2012), “The Harm of Symbolic Actions and Green-Washing: Corporate Actions and Communications on Environmental Performance and their Financial Implications,” </w:t>
      </w:r>
      <w:r w:rsidRPr="0097010B">
        <w:rPr>
          <w:rFonts w:ascii="Times New Roman" w:hAnsi="Times New Roman" w:cs="Times New Roman"/>
          <w:i/>
          <w:iCs/>
          <w:sz w:val="24"/>
          <w:szCs w:val="24"/>
          <w:shd w:val="clear" w:color="auto" w:fill="FFFFFF"/>
        </w:rPr>
        <w:t>Journal of Business Ethics</w:t>
      </w:r>
      <w:r w:rsidRPr="0097010B">
        <w:rPr>
          <w:rFonts w:ascii="Times New Roman" w:hAnsi="Times New Roman" w:cs="Times New Roman"/>
          <w:sz w:val="24"/>
          <w:szCs w:val="24"/>
          <w:shd w:val="clear" w:color="auto" w:fill="FFFFFF"/>
        </w:rPr>
        <w:t>, 109, 227-242.</w:t>
      </w:r>
      <w:r w:rsidRPr="0097010B">
        <w:rPr>
          <w:rFonts w:ascii="Times New Roman" w:hAnsi="Times New Roman" w:cs="Times New Roman"/>
          <w:sz w:val="24"/>
          <w:szCs w:val="24"/>
          <w:shd w:val="clear" w:color="auto" w:fill="FFFFFF"/>
        </w:rPr>
        <w:br w:type="page"/>
      </w:r>
    </w:p>
    <w:p w14:paraId="7D05EA3C"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bookmarkStart w:id="3" w:name="_Toc150449213"/>
      <w:r w:rsidRPr="0097010B">
        <w:rPr>
          <w:rFonts w:ascii="Times New Roman" w:hAnsi="Times New Roman" w:cs="Times New Roman"/>
          <w:b/>
          <w:bCs/>
          <w:color w:val="auto"/>
          <w:sz w:val="24"/>
          <w:szCs w:val="24"/>
        </w:rPr>
        <w:t>Table A2: Evidence on the Determinants of a Firm’s Brand Equity</w:t>
      </w:r>
      <w:bookmarkEnd w:id="3"/>
    </w:p>
    <w:p w14:paraId="66F7F50F"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Note: EV = explanatory variable; DV = dependent variable</w:t>
      </w:r>
    </w:p>
    <w:tbl>
      <w:tblPr>
        <w:tblStyle w:val="PlainTable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3412"/>
        <w:gridCol w:w="4193"/>
      </w:tblGrid>
      <w:tr w:rsidR="0097010B" w:rsidRPr="0097010B" w14:paraId="345DCB07" w14:textId="77777777" w:rsidTr="00340E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tcBorders>
            <w:vAlign w:val="center"/>
          </w:tcPr>
          <w:p w14:paraId="518124A1"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Citation</w:t>
            </w:r>
          </w:p>
        </w:tc>
        <w:tc>
          <w:tcPr>
            <w:tcW w:w="4252" w:type="dxa"/>
            <w:tcBorders>
              <w:top w:val="single" w:sz="4" w:space="0" w:color="auto"/>
            </w:tcBorders>
            <w:vAlign w:val="center"/>
          </w:tcPr>
          <w:p w14:paraId="626708B5"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EV(s) and DV(s)</w:t>
            </w:r>
          </w:p>
        </w:tc>
        <w:tc>
          <w:tcPr>
            <w:tcW w:w="6237" w:type="dxa"/>
            <w:tcBorders>
              <w:top w:val="single" w:sz="4" w:space="0" w:color="auto"/>
            </w:tcBorders>
            <w:vAlign w:val="center"/>
          </w:tcPr>
          <w:p w14:paraId="25C5E7E4"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Key Finding(s)</w:t>
            </w:r>
          </w:p>
        </w:tc>
      </w:tr>
      <w:tr w:rsidR="0097010B" w:rsidRPr="0097010B" w14:paraId="056C1D1B"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0D42A40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Ataman, Van Heerde, and Mela (2010)</w:t>
            </w:r>
          </w:p>
        </w:tc>
        <w:tc>
          <w:tcPr>
            <w:tcW w:w="4252" w:type="dxa"/>
            <w:vAlign w:val="center"/>
          </w:tcPr>
          <w:p w14:paraId="509BB49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Product, distribution, advertising, and price discounting</w:t>
            </w:r>
          </w:p>
          <w:p w14:paraId="006C4EC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1762D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Brand sales</w:t>
            </w:r>
          </w:p>
        </w:tc>
        <w:tc>
          <w:tcPr>
            <w:tcW w:w="6237" w:type="dxa"/>
            <w:vAlign w:val="center"/>
          </w:tcPr>
          <w:p w14:paraId="5A389D1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authors report the short- and long-term elasticities of product, price discounting, distribution, and advertising with respect to brand sales.</w:t>
            </w:r>
          </w:p>
          <w:p w14:paraId="48EE5FE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BE1183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total elasticity for product is 1.37, followed by 0.74 for distribution, 0.13 for advertising, and 0.04 for price discounting.</w:t>
            </w:r>
          </w:p>
        </w:tc>
      </w:tr>
      <w:tr w:rsidR="0097010B" w:rsidRPr="0097010B" w14:paraId="1D26E5B0"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1FA53DCC" w14:textId="77777777" w:rsidR="0097010B" w:rsidRPr="0097010B" w:rsidRDefault="0097010B" w:rsidP="0097010B">
            <w:pPr>
              <w:spacing w:line="360" w:lineRule="auto"/>
              <w:rPr>
                <w:rFonts w:ascii="Times New Roman" w:hAnsi="Times New Roman" w:cs="Times New Roman"/>
                <w:b w:val="0"/>
                <w:sz w:val="24"/>
                <w:szCs w:val="24"/>
              </w:rPr>
            </w:pPr>
            <w:r w:rsidRPr="0097010B">
              <w:rPr>
                <w:rFonts w:ascii="Times New Roman" w:hAnsi="Times New Roman" w:cs="Times New Roman"/>
                <w:b w:val="0"/>
                <w:sz w:val="24"/>
                <w:szCs w:val="24"/>
              </w:rPr>
              <w:t>Cark, Doraszelski, and Draganska (2009)</w:t>
            </w:r>
          </w:p>
        </w:tc>
        <w:tc>
          <w:tcPr>
            <w:tcW w:w="4252" w:type="dxa"/>
            <w:vAlign w:val="center"/>
          </w:tcPr>
          <w:p w14:paraId="21407C4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Annual brand-level advertising expenditure (TNS Media Intelligence and Competitive Media Reporting)</w:t>
            </w:r>
          </w:p>
          <w:p w14:paraId="41ED4A7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74FD0A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Brand awareness, perceived quality</w:t>
            </w:r>
          </w:p>
        </w:tc>
        <w:tc>
          <w:tcPr>
            <w:tcW w:w="6237" w:type="dxa"/>
            <w:vAlign w:val="center"/>
          </w:tcPr>
          <w:p w14:paraId="5C03E9A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Annual brand-level ad expenditures increase brand awareness and not perceived quality.</w:t>
            </w:r>
          </w:p>
        </w:tc>
      </w:tr>
      <w:tr w:rsidR="0097010B" w:rsidRPr="0097010B" w14:paraId="11D3683A"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784651BF"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de Fonseca, Rocha, and Alves (2024)</w:t>
            </w:r>
          </w:p>
        </w:tc>
        <w:tc>
          <w:tcPr>
            <w:tcW w:w="4252" w:type="dxa"/>
            <w:vAlign w:val="center"/>
          </w:tcPr>
          <w:p w14:paraId="3CBB112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CSR perception</w:t>
            </w:r>
          </w:p>
          <w:p w14:paraId="6F8E26A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6D25C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Satisfaction and brand equity</w:t>
            </w:r>
          </w:p>
        </w:tc>
        <w:tc>
          <w:tcPr>
            <w:tcW w:w="6237" w:type="dxa"/>
            <w:vAlign w:val="center"/>
          </w:tcPr>
          <w:p w14:paraId="654E8F1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customer’s perception of a firm’s CSR initiatives boosts the firm’s brand equity.</w:t>
            </w:r>
          </w:p>
        </w:tc>
      </w:tr>
      <w:tr w:rsidR="0097010B" w:rsidRPr="0097010B" w14:paraId="2A5818CF"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765245DE"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Hur, Kim, and Woo (2014)</w:t>
            </w:r>
          </w:p>
        </w:tc>
        <w:tc>
          <w:tcPr>
            <w:tcW w:w="4252" w:type="dxa"/>
            <w:vAlign w:val="center"/>
          </w:tcPr>
          <w:p w14:paraId="4D4F5CD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CSR action</w:t>
            </w:r>
          </w:p>
          <w:p w14:paraId="78A8B1D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ABB5ED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Corporate brand credibility, reputation, and equity</w:t>
            </w:r>
          </w:p>
        </w:tc>
        <w:tc>
          <w:tcPr>
            <w:tcW w:w="6237" w:type="dxa"/>
            <w:vAlign w:val="center"/>
          </w:tcPr>
          <w:p w14:paraId="01335BD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CSR actions boost its corporate brand credibility and reputation, each of which improves its brand equity.</w:t>
            </w:r>
          </w:p>
        </w:tc>
      </w:tr>
      <w:tr w:rsidR="0097010B" w:rsidRPr="0097010B" w14:paraId="786971E5"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10BC89C8"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Lin and Chung (2019)</w:t>
            </w:r>
          </w:p>
        </w:tc>
        <w:tc>
          <w:tcPr>
            <w:tcW w:w="4252" w:type="dxa"/>
            <w:vAlign w:val="center"/>
          </w:tcPr>
          <w:p w14:paraId="2BFE6EB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IV: CSR and brand attributes</w:t>
            </w:r>
          </w:p>
          <w:p w14:paraId="5AE98B3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8F091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Brand equity</w:t>
            </w:r>
          </w:p>
        </w:tc>
        <w:tc>
          <w:tcPr>
            <w:tcW w:w="6237" w:type="dxa"/>
            <w:vAlign w:val="center"/>
          </w:tcPr>
          <w:p w14:paraId="265DD2B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CSR boosts brand equity.</w:t>
            </w:r>
          </w:p>
        </w:tc>
      </w:tr>
      <w:tr w:rsidR="0097010B" w:rsidRPr="0097010B" w14:paraId="07E56C8E"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00435FF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Liu, Wong, Shi, Chu, and Brock (2014)</w:t>
            </w:r>
          </w:p>
        </w:tc>
        <w:tc>
          <w:tcPr>
            <w:tcW w:w="4252" w:type="dxa"/>
            <w:vAlign w:val="center"/>
          </w:tcPr>
          <w:p w14:paraId="33C577A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EVs: CSP and brand quality</w:t>
            </w:r>
          </w:p>
          <w:p w14:paraId="398BEAE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7BE9E3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Brand preference</w:t>
            </w:r>
          </w:p>
        </w:tc>
        <w:tc>
          <w:tcPr>
            <w:tcW w:w="6237" w:type="dxa"/>
            <w:vAlign w:val="center"/>
          </w:tcPr>
          <w:p w14:paraId="76C8941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CSP boosts customers’ preference for the brand.</w:t>
            </w:r>
          </w:p>
        </w:tc>
      </w:tr>
      <w:tr w:rsidR="0097010B" w:rsidRPr="0097010B" w14:paraId="5FCC2EB3"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07823A5D"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Muniz, Guzmán, and Paswan (2019)</w:t>
            </w:r>
          </w:p>
        </w:tc>
        <w:tc>
          <w:tcPr>
            <w:tcW w:w="4252" w:type="dxa"/>
            <w:vAlign w:val="center"/>
          </w:tcPr>
          <w:p w14:paraId="2A05ACC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CSR communication</w:t>
            </w:r>
          </w:p>
          <w:p w14:paraId="36C2CBA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0A97D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Brand awareness, quality, loyalty, and equity</w:t>
            </w:r>
          </w:p>
        </w:tc>
        <w:tc>
          <w:tcPr>
            <w:tcW w:w="6237" w:type="dxa"/>
            <w:vAlign w:val="center"/>
          </w:tcPr>
          <w:p w14:paraId="336FB6F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CSR communication increases its brand awareness, quality, and loyalty, each of which raises its equity.</w:t>
            </w:r>
          </w:p>
        </w:tc>
      </w:tr>
      <w:tr w:rsidR="0097010B" w:rsidRPr="0097010B" w14:paraId="3B26F2A0"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37286F9B"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Olsen, Slotegraaf, and Chandukala (2014)</w:t>
            </w:r>
          </w:p>
        </w:tc>
        <w:tc>
          <w:tcPr>
            <w:tcW w:w="4252" w:type="dxa"/>
            <w:vAlign w:val="center"/>
          </w:tcPr>
          <w:p w14:paraId="254E5A5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Number of new products with “green” claims a brand introduced in a year</w:t>
            </w:r>
          </w:p>
          <w:p w14:paraId="49EC649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CDBDC6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 xml:space="preserve">DV: Brand attitude in year </w:t>
            </w:r>
            <w:r w:rsidRPr="0097010B">
              <w:rPr>
                <w:rFonts w:ascii="Times New Roman" w:hAnsi="Times New Roman" w:cs="Times New Roman"/>
                <w:i/>
                <w:iCs/>
                <w:sz w:val="24"/>
                <w:szCs w:val="24"/>
              </w:rPr>
              <w:t>t</w:t>
            </w:r>
            <w:r w:rsidRPr="0097010B">
              <w:rPr>
                <w:rFonts w:ascii="Times New Roman" w:hAnsi="Times New Roman" w:cs="Times New Roman"/>
                <w:sz w:val="24"/>
                <w:szCs w:val="24"/>
              </w:rPr>
              <w:t xml:space="preserve"> minus brand attitude in year </w:t>
            </w:r>
            <w:r w:rsidRPr="0097010B">
              <w:rPr>
                <w:rFonts w:ascii="Times New Roman" w:hAnsi="Times New Roman" w:cs="Times New Roman"/>
                <w:i/>
                <w:iCs/>
                <w:sz w:val="24"/>
                <w:szCs w:val="24"/>
              </w:rPr>
              <w:t>t</w:t>
            </w:r>
            <w:r w:rsidRPr="0097010B">
              <w:rPr>
                <w:rFonts w:ascii="Times New Roman" w:hAnsi="Times New Roman" w:cs="Times New Roman"/>
                <w:sz w:val="24"/>
                <w:szCs w:val="24"/>
              </w:rPr>
              <w:t xml:space="preserve"> – 1</w:t>
            </w:r>
          </w:p>
        </w:tc>
        <w:tc>
          <w:tcPr>
            <w:tcW w:w="6237" w:type="dxa"/>
            <w:vAlign w:val="center"/>
          </w:tcPr>
          <w:p w14:paraId="69A35CA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The more new green products a brand introduces in a year, the more positive customers’ attitudes toward the brand.</w:t>
            </w:r>
          </w:p>
        </w:tc>
      </w:tr>
      <w:tr w:rsidR="0097010B" w:rsidRPr="0097010B" w14:paraId="4EF8375F" w14:textId="77777777" w:rsidTr="0034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6036AA2E"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Torres and Tribo (2011)</w:t>
            </w:r>
          </w:p>
        </w:tc>
        <w:tc>
          <w:tcPr>
            <w:tcW w:w="4252" w:type="dxa"/>
            <w:vAlign w:val="center"/>
          </w:tcPr>
          <w:p w14:paraId="2C2BA08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Customer satisfaction</w:t>
            </w:r>
          </w:p>
          <w:p w14:paraId="20BADBA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8A33E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Brand equity</w:t>
            </w:r>
          </w:p>
        </w:tc>
        <w:tc>
          <w:tcPr>
            <w:tcW w:w="6237" w:type="dxa"/>
            <w:vAlign w:val="center"/>
          </w:tcPr>
          <w:p w14:paraId="3FF5ACF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firm’s customer satisfaction has an inverted U-shaped relation with its brand equity.</w:t>
            </w:r>
          </w:p>
        </w:tc>
      </w:tr>
      <w:tr w:rsidR="0097010B" w:rsidRPr="0097010B" w14:paraId="46E41108" w14:textId="77777777" w:rsidTr="00340E24">
        <w:trPr>
          <w:jc w:val="center"/>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vAlign w:val="center"/>
          </w:tcPr>
          <w:p w14:paraId="23711C98"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Yoo, Donthu, and Lee (2000)</w:t>
            </w:r>
          </w:p>
        </w:tc>
        <w:tc>
          <w:tcPr>
            <w:tcW w:w="4252" w:type="dxa"/>
            <w:tcBorders>
              <w:bottom w:val="single" w:sz="4" w:space="0" w:color="auto"/>
            </w:tcBorders>
            <w:vAlign w:val="center"/>
          </w:tcPr>
          <w:p w14:paraId="4562A7F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EV: Price, store image, distribution intensity, ad spending, price deals</w:t>
            </w:r>
          </w:p>
          <w:p w14:paraId="74D2AA2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0D5E0C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DVs: Perceived quality, brand loyalty, brand awareness/associations, and brand equity</w:t>
            </w:r>
          </w:p>
        </w:tc>
        <w:tc>
          <w:tcPr>
            <w:tcW w:w="6237" w:type="dxa"/>
            <w:tcBorders>
              <w:bottom w:val="single" w:sz="4" w:space="0" w:color="auto"/>
            </w:tcBorders>
            <w:vAlign w:val="center"/>
          </w:tcPr>
          <w:p w14:paraId="381CE0A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A brand’s marketing-mix elements impact perceived quality, brand loyalty, and brand awareness/associations. Each of these customer evaluation variables, in turn, determines the brand’s equity.</w:t>
            </w:r>
          </w:p>
        </w:tc>
      </w:tr>
    </w:tbl>
    <w:p w14:paraId="366E44FC" w14:textId="77777777" w:rsidR="0097010B" w:rsidRPr="0097010B" w:rsidRDefault="0097010B" w:rsidP="0097010B">
      <w:pPr>
        <w:spacing w:line="360" w:lineRule="auto"/>
        <w:rPr>
          <w:rFonts w:ascii="Times New Roman" w:hAnsi="Times New Roman" w:cs="Times New Roman"/>
          <w:sz w:val="24"/>
          <w:szCs w:val="24"/>
        </w:rPr>
      </w:pPr>
    </w:p>
    <w:p w14:paraId="3F5952A9"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br w:type="page"/>
      </w:r>
    </w:p>
    <w:p w14:paraId="60C4F270"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A3: Firms’ Promises Not to Harm the Natural Environment</w:t>
      </w:r>
    </w:p>
    <w:tbl>
      <w:tblPr>
        <w:tblStyle w:val="PlainTable1"/>
        <w:tblW w:w="10673" w:type="dxa"/>
        <w:tblInd w:w="-998" w:type="dxa"/>
        <w:tblLook w:val="04A0" w:firstRow="1" w:lastRow="0" w:firstColumn="1" w:lastColumn="0" w:noHBand="0" w:noVBand="1"/>
      </w:tblPr>
      <w:tblGrid>
        <w:gridCol w:w="739"/>
        <w:gridCol w:w="1383"/>
        <w:gridCol w:w="807"/>
        <w:gridCol w:w="1973"/>
        <w:gridCol w:w="4932"/>
        <w:gridCol w:w="839"/>
      </w:tblGrid>
      <w:tr w:rsidR="0097010B" w:rsidRPr="0097010B" w14:paraId="0F19959F" w14:textId="77777777" w:rsidTr="00340E24">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38" w:type="dxa"/>
            <w:hideMark/>
          </w:tcPr>
          <w:p w14:paraId="7E9592BE" w14:textId="77777777" w:rsidR="0097010B" w:rsidRPr="0097010B" w:rsidRDefault="0097010B" w:rsidP="0097010B">
            <w:pPr>
              <w:spacing w:line="360" w:lineRule="auto"/>
              <w:rPr>
                <w:rFonts w:ascii="Times New Roman" w:eastAsia="Times New Roman" w:hAnsi="Times New Roman" w:cs="Times New Roman"/>
                <w:b w:val="0"/>
                <w:bCs w:val="0"/>
                <w:sz w:val="24"/>
                <w:szCs w:val="24"/>
              </w:rPr>
            </w:pPr>
            <w:r w:rsidRPr="0097010B">
              <w:rPr>
                <w:rFonts w:ascii="Times New Roman" w:eastAsia="Times New Roman" w:hAnsi="Times New Roman" w:cs="Times New Roman"/>
                <w:sz w:val="24"/>
                <w:szCs w:val="24"/>
              </w:rPr>
              <w:t>S.no</w:t>
            </w:r>
          </w:p>
        </w:tc>
        <w:tc>
          <w:tcPr>
            <w:tcW w:w="1163" w:type="dxa"/>
            <w:hideMark/>
          </w:tcPr>
          <w:p w14:paraId="4B2B7DFB"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7010B">
              <w:rPr>
                <w:rFonts w:ascii="Times New Roman" w:eastAsia="Times New Roman" w:hAnsi="Times New Roman" w:cs="Times New Roman"/>
                <w:sz w:val="24"/>
                <w:szCs w:val="24"/>
              </w:rPr>
              <w:t>Company</w:t>
            </w:r>
          </w:p>
        </w:tc>
        <w:tc>
          <w:tcPr>
            <w:tcW w:w="752" w:type="dxa"/>
            <w:hideMark/>
          </w:tcPr>
          <w:p w14:paraId="5E8CE2DE"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7010B">
              <w:rPr>
                <w:rFonts w:ascii="Times New Roman" w:eastAsia="Times New Roman" w:hAnsi="Times New Roman" w:cs="Times New Roman"/>
                <w:sz w:val="24"/>
                <w:szCs w:val="24"/>
              </w:rPr>
              <w:t>Year</w:t>
            </w:r>
          </w:p>
        </w:tc>
        <w:tc>
          <w:tcPr>
            <w:tcW w:w="1984" w:type="dxa"/>
            <w:hideMark/>
          </w:tcPr>
          <w:p w14:paraId="5DE852F0"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7010B">
              <w:rPr>
                <w:rFonts w:ascii="Times New Roman" w:eastAsia="Times New Roman" w:hAnsi="Times New Roman" w:cs="Times New Roman"/>
                <w:sz w:val="24"/>
                <w:szCs w:val="24"/>
              </w:rPr>
              <w:t>Source Document</w:t>
            </w:r>
          </w:p>
        </w:tc>
        <w:tc>
          <w:tcPr>
            <w:tcW w:w="5291" w:type="dxa"/>
            <w:hideMark/>
          </w:tcPr>
          <w:p w14:paraId="34C2976E"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7010B">
              <w:rPr>
                <w:rFonts w:ascii="Times New Roman" w:eastAsia="Times New Roman" w:hAnsi="Times New Roman" w:cs="Times New Roman"/>
                <w:sz w:val="24"/>
                <w:szCs w:val="24"/>
              </w:rPr>
              <w:t>Relevant Excerpt</w:t>
            </w:r>
          </w:p>
        </w:tc>
        <w:tc>
          <w:tcPr>
            <w:tcW w:w="845" w:type="dxa"/>
            <w:hideMark/>
          </w:tcPr>
          <w:p w14:paraId="2838336D"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7010B">
              <w:rPr>
                <w:rFonts w:ascii="Times New Roman" w:eastAsia="Times New Roman" w:hAnsi="Times New Roman" w:cs="Times New Roman"/>
                <w:sz w:val="24"/>
                <w:szCs w:val="24"/>
              </w:rPr>
              <w:t>Page</w:t>
            </w:r>
          </w:p>
        </w:tc>
      </w:tr>
      <w:tr w:rsidR="0097010B" w:rsidRPr="0097010B" w14:paraId="4186D846" w14:textId="77777777" w:rsidTr="00340E24">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38" w:type="dxa"/>
            <w:hideMark/>
          </w:tcPr>
          <w:p w14:paraId="638DB101"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w:t>
            </w:r>
          </w:p>
        </w:tc>
        <w:tc>
          <w:tcPr>
            <w:tcW w:w="1163" w:type="dxa"/>
            <w:hideMark/>
          </w:tcPr>
          <w:p w14:paraId="4DCC4EB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Unilever</w:t>
            </w:r>
          </w:p>
        </w:tc>
        <w:tc>
          <w:tcPr>
            <w:tcW w:w="752" w:type="dxa"/>
            <w:hideMark/>
          </w:tcPr>
          <w:p w14:paraId="31F412F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2010</w:t>
            </w:r>
          </w:p>
        </w:tc>
        <w:tc>
          <w:tcPr>
            <w:tcW w:w="1984" w:type="dxa"/>
            <w:hideMark/>
          </w:tcPr>
          <w:p w14:paraId="7B88D48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Unilever Sustainable Living Plan</w:t>
            </w:r>
          </w:p>
        </w:tc>
        <w:tc>
          <w:tcPr>
            <w:tcW w:w="5291" w:type="dxa"/>
            <w:hideMark/>
          </w:tcPr>
          <w:p w14:paraId="4B4DA1A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"By 2020 our goal is to halve the environmental footprint of the making and use of our products as we grow our business."</w:t>
            </w:r>
          </w:p>
        </w:tc>
        <w:tc>
          <w:tcPr>
            <w:tcW w:w="845" w:type="dxa"/>
            <w:hideMark/>
          </w:tcPr>
          <w:p w14:paraId="7C40158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7</w:t>
            </w:r>
          </w:p>
        </w:tc>
      </w:tr>
      <w:tr w:rsidR="0097010B" w:rsidRPr="0097010B" w14:paraId="07A411B3" w14:textId="77777777" w:rsidTr="00340E24">
        <w:trPr>
          <w:trHeight w:val="976"/>
        </w:trPr>
        <w:tc>
          <w:tcPr>
            <w:cnfStyle w:val="001000000000" w:firstRow="0" w:lastRow="0" w:firstColumn="1" w:lastColumn="0" w:oddVBand="0" w:evenVBand="0" w:oddHBand="0" w:evenHBand="0" w:firstRowFirstColumn="0" w:firstRowLastColumn="0" w:lastRowFirstColumn="0" w:lastRowLastColumn="0"/>
            <w:tcW w:w="638" w:type="dxa"/>
            <w:hideMark/>
          </w:tcPr>
          <w:p w14:paraId="6D23D58F"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w:t>
            </w:r>
          </w:p>
        </w:tc>
        <w:tc>
          <w:tcPr>
            <w:tcW w:w="1163" w:type="dxa"/>
            <w:hideMark/>
          </w:tcPr>
          <w:p w14:paraId="12C4D0E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Ford</w:t>
            </w:r>
          </w:p>
        </w:tc>
        <w:tc>
          <w:tcPr>
            <w:tcW w:w="752" w:type="dxa"/>
            <w:hideMark/>
          </w:tcPr>
          <w:p w14:paraId="238DFA0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2012</w:t>
            </w:r>
          </w:p>
        </w:tc>
        <w:tc>
          <w:tcPr>
            <w:tcW w:w="1984" w:type="dxa"/>
            <w:hideMark/>
          </w:tcPr>
          <w:p w14:paraId="18BD40B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Ford Sustainability Report</w:t>
            </w:r>
          </w:p>
        </w:tc>
        <w:tc>
          <w:tcPr>
            <w:tcW w:w="5291" w:type="dxa"/>
            <w:hideMark/>
          </w:tcPr>
          <w:p w14:paraId="2F68C7C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are committed to reducing other elements of the environmental footprint of our vehicles and operations as well. For example, we continue to increase the use of sustainable materials in our vehicles."</w:t>
            </w:r>
          </w:p>
        </w:tc>
        <w:tc>
          <w:tcPr>
            <w:tcW w:w="845" w:type="dxa"/>
            <w:hideMark/>
          </w:tcPr>
          <w:p w14:paraId="61C6186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147</w:t>
            </w:r>
          </w:p>
        </w:tc>
      </w:tr>
      <w:tr w:rsidR="0097010B" w:rsidRPr="0097010B" w14:paraId="1556B23A" w14:textId="77777777" w:rsidTr="00340E24">
        <w:trPr>
          <w:cnfStyle w:val="000000100000" w:firstRow="0" w:lastRow="0" w:firstColumn="0" w:lastColumn="0" w:oddVBand="0" w:evenVBand="0" w:oddHBand="1" w:evenHBand="0" w:firstRowFirstColumn="0" w:firstRowLastColumn="0" w:lastRowFirstColumn="0" w:lastRowLastColumn="0"/>
          <w:trHeight w:val="1273"/>
        </w:trPr>
        <w:tc>
          <w:tcPr>
            <w:cnfStyle w:val="001000000000" w:firstRow="0" w:lastRow="0" w:firstColumn="1" w:lastColumn="0" w:oddVBand="0" w:evenVBand="0" w:oddHBand="0" w:evenHBand="0" w:firstRowFirstColumn="0" w:firstRowLastColumn="0" w:lastRowFirstColumn="0" w:lastRowLastColumn="0"/>
            <w:tcW w:w="638" w:type="dxa"/>
            <w:hideMark/>
          </w:tcPr>
          <w:p w14:paraId="3C47BC6C"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w:t>
            </w:r>
          </w:p>
        </w:tc>
        <w:tc>
          <w:tcPr>
            <w:tcW w:w="1163" w:type="dxa"/>
            <w:hideMark/>
          </w:tcPr>
          <w:p w14:paraId="27143E2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Patagonia</w:t>
            </w:r>
          </w:p>
        </w:tc>
        <w:tc>
          <w:tcPr>
            <w:tcW w:w="752" w:type="dxa"/>
            <w:hideMark/>
          </w:tcPr>
          <w:p w14:paraId="4EA0F32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2013</w:t>
            </w:r>
          </w:p>
        </w:tc>
        <w:tc>
          <w:tcPr>
            <w:tcW w:w="1984" w:type="dxa"/>
            <w:hideMark/>
          </w:tcPr>
          <w:p w14:paraId="0F9CCD4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Patagonia CSR Report</w:t>
            </w:r>
          </w:p>
        </w:tc>
        <w:tc>
          <w:tcPr>
            <w:tcW w:w="5291" w:type="dxa"/>
            <w:hideMark/>
          </w:tcPr>
          <w:p w14:paraId="0D7ADEE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"As prescribed in Patagonia's mission statement, Patagonia will conduct its operations causing no unnecessary harm by continually seeking to reduce the environmental footprint and impact of its operations in water use, water quality, energy use, greenhouse gas emissions, chemical use, toxicity and waste."</w:t>
            </w:r>
          </w:p>
        </w:tc>
        <w:tc>
          <w:tcPr>
            <w:tcW w:w="845" w:type="dxa"/>
            <w:hideMark/>
          </w:tcPr>
          <w:p w14:paraId="3DC6F94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10</w:t>
            </w:r>
          </w:p>
        </w:tc>
      </w:tr>
      <w:tr w:rsidR="0097010B" w:rsidRPr="0097010B" w14:paraId="1E6F4739" w14:textId="77777777" w:rsidTr="00340E24">
        <w:trPr>
          <w:trHeight w:val="1405"/>
        </w:trPr>
        <w:tc>
          <w:tcPr>
            <w:cnfStyle w:val="001000000000" w:firstRow="0" w:lastRow="0" w:firstColumn="1" w:lastColumn="0" w:oddVBand="0" w:evenVBand="0" w:oddHBand="0" w:evenHBand="0" w:firstRowFirstColumn="0" w:firstRowLastColumn="0" w:lastRowFirstColumn="0" w:lastRowLastColumn="0"/>
            <w:tcW w:w="638" w:type="dxa"/>
            <w:hideMark/>
          </w:tcPr>
          <w:p w14:paraId="3A0017D6"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w:t>
            </w:r>
          </w:p>
        </w:tc>
        <w:tc>
          <w:tcPr>
            <w:tcW w:w="1163" w:type="dxa"/>
            <w:hideMark/>
          </w:tcPr>
          <w:p w14:paraId="309F527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Starbucks</w:t>
            </w:r>
          </w:p>
        </w:tc>
        <w:tc>
          <w:tcPr>
            <w:tcW w:w="752" w:type="dxa"/>
            <w:hideMark/>
          </w:tcPr>
          <w:p w14:paraId="6B2C9F3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2015</w:t>
            </w:r>
          </w:p>
        </w:tc>
        <w:tc>
          <w:tcPr>
            <w:tcW w:w="1984" w:type="dxa"/>
            <w:hideMark/>
          </w:tcPr>
          <w:p w14:paraId="29E5BD7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Starbucks Global Responsibility Report</w:t>
            </w:r>
          </w:p>
        </w:tc>
        <w:tc>
          <w:tcPr>
            <w:tcW w:w="5291" w:type="dxa"/>
            <w:hideMark/>
          </w:tcPr>
          <w:p w14:paraId="6DA2D4B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"Starbucks did not back away from our commitment to responsibility. Instead we announced a set of ambitious goals – committing that by 2015 we would improve ethical sourcing in coffee and throughout our supply chain, serve our communities and engage young people, and decrease the environmental footprint from our store operations."</w:t>
            </w:r>
          </w:p>
        </w:tc>
        <w:tc>
          <w:tcPr>
            <w:tcW w:w="845" w:type="dxa"/>
            <w:hideMark/>
          </w:tcPr>
          <w:p w14:paraId="1AC8A50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w:t>
            </w:r>
          </w:p>
        </w:tc>
      </w:tr>
      <w:tr w:rsidR="0097010B" w:rsidRPr="0097010B" w14:paraId="1DCA3623" w14:textId="77777777" w:rsidTr="00340E24">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638" w:type="dxa"/>
            <w:hideMark/>
          </w:tcPr>
          <w:p w14:paraId="2E0C1519"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w:t>
            </w:r>
          </w:p>
        </w:tc>
        <w:tc>
          <w:tcPr>
            <w:tcW w:w="1163" w:type="dxa"/>
            <w:hideMark/>
          </w:tcPr>
          <w:p w14:paraId="20922D2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Microsoft</w:t>
            </w:r>
          </w:p>
        </w:tc>
        <w:tc>
          <w:tcPr>
            <w:tcW w:w="752" w:type="dxa"/>
            <w:hideMark/>
          </w:tcPr>
          <w:p w14:paraId="22DC3A6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2012</w:t>
            </w:r>
          </w:p>
        </w:tc>
        <w:tc>
          <w:tcPr>
            <w:tcW w:w="1984" w:type="dxa"/>
            <w:hideMark/>
          </w:tcPr>
          <w:p w14:paraId="75B8F1C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Microsoft Citizenship Report</w:t>
            </w:r>
          </w:p>
        </w:tc>
        <w:tc>
          <w:tcPr>
            <w:tcW w:w="5291" w:type="dxa"/>
            <w:hideMark/>
          </w:tcPr>
          <w:p w14:paraId="531F7AB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"Achieving carbon neutrality and net-zero emissions for our data centers, software development labs, offices, and employee air travel by increasing energy efficiency and purchasing renewable energy."</w:t>
            </w:r>
          </w:p>
        </w:tc>
        <w:tc>
          <w:tcPr>
            <w:tcW w:w="845" w:type="dxa"/>
            <w:hideMark/>
          </w:tcPr>
          <w:p w14:paraId="79B487C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57</w:t>
            </w:r>
          </w:p>
        </w:tc>
      </w:tr>
      <w:tr w:rsidR="0097010B" w:rsidRPr="0097010B" w14:paraId="0E34D0E8" w14:textId="77777777" w:rsidTr="00340E24">
        <w:trPr>
          <w:trHeight w:val="702"/>
        </w:trPr>
        <w:tc>
          <w:tcPr>
            <w:cnfStyle w:val="001000000000" w:firstRow="0" w:lastRow="0" w:firstColumn="1" w:lastColumn="0" w:oddVBand="0" w:evenVBand="0" w:oddHBand="0" w:evenHBand="0" w:firstRowFirstColumn="0" w:firstRowLastColumn="0" w:lastRowFirstColumn="0" w:lastRowLastColumn="0"/>
            <w:tcW w:w="638" w:type="dxa"/>
            <w:hideMark/>
          </w:tcPr>
          <w:p w14:paraId="718BA9F7"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w:t>
            </w:r>
          </w:p>
        </w:tc>
        <w:tc>
          <w:tcPr>
            <w:tcW w:w="1163" w:type="dxa"/>
            <w:hideMark/>
          </w:tcPr>
          <w:p w14:paraId="16044CF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Google</w:t>
            </w:r>
          </w:p>
        </w:tc>
        <w:tc>
          <w:tcPr>
            <w:tcW w:w="752" w:type="dxa"/>
            <w:hideMark/>
          </w:tcPr>
          <w:p w14:paraId="3E0A3AE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2017</w:t>
            </w:r>
          </w:p>
        </w:tc>
        <w:tc>
          <w:tcPr>
            <w:tcW w:w="1984" w:type="dxa"/>
            <w:hideMark/>
          </w:tcPr>
          <w:p w14:paraId="2981DA0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Google Environmental Report</w:t>
            </w:r>
          </w:p>
        </w:tc>
        <w:tc>
          <w:tcPr>
            <w:tcW w:w="5291" w:type="dxa"/>
            <w:hideMark/>
          </w:tcPr>
          <w:p w14:paraId="7596F86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"As we continue to improve our energy efficiency and reach our target of operating with 100% renewable electricity, our need for carbon offsets will decrease."</w:t>
            </w:r>
          </w:p>
        </w:tc>
        <w:tc>
          <w:tcPr>
            <w:tcW w:w="845" w:type="dxa"/>
            <w:hideMark/>
          </w:tcPr>
          <w:p w14:paraId="3BC4F69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8</w:t>
            </w:r>
          </w:p>
        </w:tc>
      </w:tr>
      <w:tr w:rsidR="0097010B" w:rsidRPr="0097010B" w14:paraId="33391A4D" w14:textId="77777777" w:rsidTr="00340E24">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638" w:type="dxa"/>
            <w:hideMark/>
          </w:tcPr>
          <w:p w14:paraId="1B3F03CA"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7</w:t>
            </w:r>
          </w:p>
        </w:tc>
        <w:tc>
          <w:tcPr>
            <w:tcW w:w="1163" w:type="dxa"/>
            <w:hideMark/>
          </w:tcPr>
          <w:p w14:paraId="5B81160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Apple</w:t>
            </w:r>
          </w:p>
        </w:tc>
        <w:tc>
          <w:tcPr>
            <w:tcW w:w="752" w:type="dxa"/>
            <w:hideMark/>
          </w:tcPr>
          <w:p w14:paraId="0235F1F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6A9157A4"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Apple Environmental Responsibility Report</w:t>
            </w:r>
          </w:p>
        </w:tc>
        <w:tc>
          <w:tcPr>
            <w:tcW w:w="5291" w:type="dxa"/>
            <w:hideMark/>
          </w:tcPr>
          <w:p w14:paraId="64DC1B8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"We're committed to continuing to reduce our greenhouse gas emissions and using our life cycle analysis to drive that change."</w:t>
            </w:r>
          </w:p>
        </w:tc>
        <w:tc>
          <w:tcPr>
            <w:tcW w:w="845" w:type="dxa"/>
            <w:hideMark/>
          </w:tcPr>
          <w:p w14:paraId="6B18D89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5</w:t>
            </w:r>
          </w:p>
        </w:tc>
      </w:tr>
      <w:tr w:rsidR="0097010B" w:rsidRPr="0097010B" w14:paraId="6B33DB3C" w14:textId="77777777" w:rsidTr="00340E24">
        <w:trPr>
          <w:trHeight w:val="1404"/>
        </w:trPr>
        <w:tc>
          <w:tcPr>
            <w:cnfStyle w:val="001000000000" w:firstRow="0" w:lastRow="0" w:firstColumn="1" w:lastColumn="0" w:oddVBand="0" w:evenVBand="0" w:oddHBand="0" w:evenHBand="0" w:firstRowFirstColumn="0" w:firstRowLastColumn="0" w:lastRowFirstColumn="0" w:lastRowLastColumn="0"/>
            <w:tcW w:w="638" w:type="dxa"/>
            <w:hideMark/>
          </w:tcPr>
          <w:p w14:paraId="30B2DDE8"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8</w:t>
            </w:r>
          </w:p>
        </w:tc>
        <w:tc>
          <w:tcPr>
            <w:tcW w:w="1163" w:type="dxa"/>
            <w:hideMark/>
          </w:tcPr>
          <w:p w14:paraId="58F7D04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Nike</w:t>
            </w:r>
          </w:p>
        </w:tc>
        <w:tc>
          <w:tcPr>
            <w:tcW w:w="752" w:type="dxa"/>
            <w:hideMark/>
          </w:tcPr>
          <w:p w14:paraId="35FDA96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2016</w:t>
            </w:r>
          </w:p>
        </w:tc>
        <w:tc>
          <w:tcPr>
            <w:tcW w:w="1984" w:type="dxa"/>
            <w:hideMark/>
          </w:tcPr>
          <w:p w14:paraId="5F57BE8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Nike Sustainable Business Report</w:t>
            </w:r>
          </w:p>
        </w:tc>
        <w:tc>
          <w:tcPr>
            <w:tcW w:w="5291" w:type="dxa"/>
            <w:hideMark/>
          </w:tcPr>
          <w:p w14:paraId="4436695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set out to fundamentally reinvent every part of our business with a zero-compromise, all-encompassing approach, maximizing the performance and minimizing the environmental impact of every product we create."</w:t>
            </w:r>
          </w:p>
          <w:p w14:paraId="7674E07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br/>
              <w:t>"In 2016, we set an ambition to double our business while cutting our environmental impact in half on a per unit basis."</w:t>
            </w:r>
          </w:p>
        </w:tc>
        <w:tc>
          <w:tcPr>
            <w:tcW w:w="845" w:type="dxa"/>
            <w:hideMark/>
          </w:tcPr>
          <w:p w14:paraId="7CD3FA3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11</w:t>
            </w:r>
            <w:r w:rsidRPr="0097010B">
              <w:rPr>
                <w:rFonts w:ascii="Times New Roman" w:eastAsia="Times New Roman" w:hAnsi="Times New Roman" w:cs="Times New Roman"/>
                <w:sz w:val="24"/>
                <w:szCs w:val="24"/>
              </w:rPr>
              <w:br/>
              <w:t>p. 19</w:t>
            </w:r>
          </w:p>
        </w:tc>
      </w:tr>
      <w:tr w:rsidR="0097010B" w:rsidRPr="0097010B" w14:paraId="610A9301" w14:textId="77777777" w:rsidTr="00340E24">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638" w:type="dxa"/>
            <w:hideMark/>
          </w:tcPr>
          <w:p w14:paraId="3F6E8E59"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9</w:t>
            </w:r>
          </w:p>
        </w:tc>
        <w:tc>
          <w:tcPr>
            <w:tcW w:w="1163" w:type="dxa"/>
            <w:hideMark/>
          </w:tcPr>
          <w:p w14:paraId="0F57C86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Procter &amp; Gamble</w:t>
            </w:r>
          </w:p>
        </w:tc>
        <w:tc>
          <w:tcPr>
            <w:tcW w:w="752" w:type="dxa"/>
            <w:hideMark/>
          </w:tcPr>
          <w:p w14:paraId="35B093C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2013</w:t>
            </w:r>
          </w:p>
        </w:tc>
        <w:tc>
          <w:tcPr>
            <w:tcW w:w="1984" w:type="dxa"/>
            <w:hideMark/>
          </w:tcPr>
          <w:p w14:paraId="52220A24"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P&amp;G 2013 Sustainability Report</w:t>
            </w:r>
          </w:p>
        </w:tc>
        <w:tc>
          <w:tcPr>
            <w:tcW w:w="5291" w:type="dxa"/>
            <w:hideMark/>
          </w:tcPr>
          <w:p w14:paraId="7EEBE08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"Reduce energy use at P&amp;G facilities and total CO2 (Scope 1 and Scope 2) 20% per unit of production by 2020."</w:t>
            </w:r>
          </w:p>
        </w:tc>
        <w:tc>
          <w:tcPr>
            <w:tcW w:w="845" w:type="dxa"/>
            <w:hideMark/>
          </w:tcPr>
          <w:p w14:paraId="3A1209B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8</w:t>
            </w:r>
          </w:p>
        </w:tc>
      </w:tr>
      <w:tr w:rsidR="0097010B" w:rsidRPr="0097010B" w14:paraId="00981536" w14:textId="77777777" w:rsidTr="00340E24">
        <w:trPr>
          <w:trHeight w:val="992"/>
        </w:trPr>
        <w:tc>
          <w:tcPr>
            <w:cnfStyle w:val="001000000000" w:firstRow="0" w:lastRow="0" w:firstColumn="1" w:lastColumn="0" w:oddVBand="0" w:evenVBand="0" w:oddHBand="0" w:evenHBand="0" w:firstRowFirstColumn="0" w:firstRowLastColumn="0" w:lastRowFirstColumn="0" w:lastRowLastColumn="0"/>
            <w:tcW w:w="638" w:type="dxa"/>
            <w:hideMark/>
          </w:tcPr>
          <w:p w14:paraId="6DB6870B"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10</w:t>
            </w:r>
          </w:p>
        </w:tc>
        <w:tc>
          <w:tcPr>
            <w:tcW w:w="1163" w:type="dxa"/>
            <w:hideMark/>
          </w:tcPr>
          <w:p w14:paraId="0E67B09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Walmart</w:t>
            </w:r>
          </w:p>
        </w:tc>
        <w:tc>
          <w:tcPr>
            <w:tcW w:w="752" w:type="dxa"/>
            <w:hideMark/>
          </w:tcPr>
          <w:p w14:paraId="3AEEC44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74EDE5A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Walmart Global Responsibility Report</w:t>
            </w:r>
          </w:p>
        </w:tc>
        <w:tc>
          <w:tcPr>
            <w:tcW w:w="5291" w:type="dxa"/>
            <w:hideMark/>
          </w:tcPr>
          <w:p w14:paraId="659071D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hope our commitment to renewables will encourage innovation and new market entries into the sector, which will help us accelerate our sourcing of renewables while maintaining everyday low cost."</w:t>
            </w:r>
          </w:p>
        </w:tc>
        <w:tc>
          <w:tcPr>
            <w:tcW w:w="845" w:type="dxa"/>
            <w:hideMark/>
          </w:tcPr>
          <w:p w14:paraId="716D13A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5</w:t>
            </w:r>
          </w:p>
        </w:tc>
      </w:tr>
      <w:tr w:rsidR="0097010B" w:rsidRPr="0097010B" w14:paraId="5B2D7A30" w14:textId="77777777" w:rsidTr="00340E24">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38" w:type="dxa"/>
            <w:hideMark/>
          </w:tcPr>
          <w:p w14:paraId="657271C9"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11</w:t>
            </w:r>
          </w:p>
        </w:tc>
        <w:tc>
          <w:tcPr>
            <w:tcW w:w="1163" w:type="dxa"/>
            <w:hideMark/>
          </w:tcPr>
          <w:p w14:paraId="72841C8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Coca-Cola</w:t>
            </w:r>
          </w:p>
        </w:tc>
        <w:tc>
          <w:tcPr>
            <w:tcW w:w="752" w:type="dxa"/>
            <w:hideMark/>
          </w:tcPr>
          <w:p w14:paraId="51489ED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2011</w:t>
            </w:r>
          </w:p>
        </w:tc>
        <w:tc>
          <w:tcPr>
            <w:tcW w:w="1984" w:type="dxa"/>
            <w:hideMark/>
          </w:tcPr>
          <w:p w14:paraId="6A03B3D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Coca-Cola Sustainability Report</w:t>
            </w:r>
          </w:p>
        </w:tc>
        <w:tc>
          <w:tcPr>
            <w:tcW w:w="5291" w:type="dxa"/>
            <w:hideMark/>
          </w:tcPr>
          <w:p w14:paraId="2B172F5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"By 2012, improve water efficiency by 20 percent compared with a 2004 baseline."</w:t>
            </w:r>
          </w:p>
        </w:tc>
        <w:tc>
          <w:tcPr>
            <w:tcW w:w="845" w:type="dxa"/>
            <w:hideMark/>
          </w:tcPr>
          <w:p w14:paraId="338046E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78</w:t>
            </w:r>
          </w:p>
        </w:tc>
      </w:tr>
      <w:tr w:rsidR="0097010B" w:rsidRPr="0097010B" w14:paraId="0814B3BB" w14:textId="77777777" w:rsidTr="00340E24">
        <w:trPr>
          <w:trHeight w:val="702"/>
        </w:trPr>
        <w:tc>
          <w:tcPr>
            <w:cnfStyle w:val="001000000000" w:firstRow="0" w:lastRow="0" w:firstColumn="1" w:lastColumn="0" w:oddVBand="0" w:evenVBand="0" w:oddHBand="0" w:evenHBand="0" w:firstRowFirstColumn="0" w:firstRowLastColumn="0" w:lastRowFirstColumn="0" w:lastRowLastColumn="0"/>
            <w:tcW w:w="638" w:type="dxa"/>
            <w:hideMark/>
          </w:tcPr>
          <w:p w14:paraId="7AB574F3"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w:t>
            </w:r>
          </w:p>
        </w:tc>
        <w:tc>
          <w:tcPr>
            <w:tcW w:w="1163" w:type="dxa"/>
            <w:hideMark/>
          </w:tcPr>
          <w:p w14:paraId="1E54959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PepsiCo</w:t>
            </w:r>
          </w:p>
        </w:tc>
        <w:tc>
          <w:tcPr>
            <w:tcW w:w="752" w:type="dxa"/>
            <w:hideMark/>
          </w:tcPr>
          <w:p w14:paraId="2DFBEA39"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345545C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PepsiCo Sustainability Report</w:t>
            </w:r>
          </w:p>
        </w:tc>
        <w:tc>
          <w:tcPr>
            <w:tcW w:w="5291" w:type="dxa"/>
            <w:hideMark/>
          </w:tcPr>
          <w:p w14:paraId="4663B30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are striving to reduce our impact on the environment and conserve natural resources, reducing our operating costs in the process."</w:t>
            </w:r>
          </w:p>
        </w:tc>
        <w:tc>
          <w:tcPr>
            <w:tcW w:w="845" w:type="dxa"/>
            <w:hideMark/>
          </w:tcPr>
          <w:p w14:paraId="79D8AA9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3</w:t>
            </w:r>
          </w:p>
        </w:tc>
      </w:tr>
      <w:tr w:rsidR="0097010B" w:rsidRPr="0097010B" w14:paraId="6B8F0EE0" w14:textId="77777777" w:rsidTr="00340E24">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638" w:type="dxa"/>
            <w:hideMark/>
          </w:tcPr>
          <w:p w14:paraId="1D3FB6D2"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w:t>
            </w:r>
          </w:p>
        </w:tc>
        <w:tc>
          <w:tcPr>
            <w:tcW w:w="1163" w:type="dxa"/>
            <w:hideMark/>
          </w:tcPr>
          <w:p w14:paraId="30555E5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IKEA</w:t>
            </w:r>
          </w:p>
        </w:tc>
        <w:tc>
          <w:tcPr>
            <w:tcW w:w="752" w:type="dxa"/>
            <w:hideMark/>
          </w:tcPr>
          <w:p w14:paraId="5612324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1320EBB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IKEA Sustainability Strategy</w:t>
            </w:r>
          </w:p>
        </w:tc>
        <w:tc>
          <w:tcPr>
            <w:tcW w:w="5291" w:type="dxa"/>
            <w:hideMark/>
          </w:tcPr>
          <w:p w14:paraId="70FEF43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“Produce as much renewable energy as the energy we consume and drive energy efficiency throughout our value chain.”</w:t>
            </w:r>
          </w:p>
        </w:tc>
        <w:tc>
          <w:tcPr>
            <w:tcW w:w="845" w:type="dxa"/>
            <w:hideMark/>
          </w:tcPr>
          <w:p w14:paraId="7FEABE2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9</w:t>
            </w:r>
          </w:p>
        </w:tc>
      </w:tr>
      <w:tr w:rsidR="0097010B" w:rsidRPr="0097010B" w14:paraId="3706E6C1" w14:textId="77777777" w:rsidTr="00340E24">
        <w:trPr>
          <w:trHeight w:val="517"/>
        </w:trPr>
        <w:tc>
          <w:tcPr>
            <w:cnfStyle w:val="001000000000" w:firstRow="0" w:lastRow="0" w:firstColumn="1" w:lastColumn="0" w:oddVBand="0" w:evenVBand="0" w:oddHBand="0" w:evenHBand="0" w:firstRowFirstColumn="0" w:firstRowLastColumn="0" w:lastRowFirstColumn="0" w:lastRowLastColumn="0"/>
            <w:tcW w:w="638" w:type="dxa"/>
            <w:hideMark/>
          </w:tcPr>
          <w:p w14:paraId="6A3AA6AD"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14</w:t>
            </w:r>
          </w:p>
        </w:tc>
        <w:tc>
          <w:tcPr>
            <w:tcW w:w="1163" w:type="dxa"/>
            <w:hideMark/>
          </w:tcPr>
          <w:p w14:paraId="67192C1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General Motors</w:t>
            </w:r>
          </w:p>
        </w:tc>
        <w:tc>
          <w:tcPr>
            <w:tcW w:w="752" w:type="dxa"/>
            <w:hideMark/>
          </w:tcPr>
          <w:p w14:paraId="4BBC4D4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2015</w:t>
            </w:r>
          </w:p>
        </w:tc>
        <w:tc>
          <w:tcPr>
            <w:tcW w:w="1984" w:type="dxa"/>
            <w:hideMark/>
          </w:tcPr>
          <w:p w14:paraId="11ECC8F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GM Sustainability Report</w:t>
            </w:r>
          </w:p>
        </w:tc>
        <w:tc>
          <w:tcPr>
            <w:tcW w:w="5291" w:type="dxa"/>
            <w:hideMark/>
          </w:tcPr>
          <w:p w14:paraId="43E5E24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 addition, we are helping our suppliers reduce their carbon footprint through the GM China Green Supply Chain project."</w:t>
            </w:r>
          </w:p>
        </w:tc>
        <w:tc>
          <w:tcPr>
            <w:tcW w:w="845" w:type="dxa"/>
            <w:hideMark/>
          </w:tcPr>
          <w:p w14:paraId="65277D8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3</w:t>
            </w:r>
          </w:p>
        </w:tc>
      </w:tr>
      <w:tr w:rsidR="0097010B" w:rsidRPr="0097010B" w14:paraId="69E4CD0B" w14:textId="77777777" w:rsidTr="00340E24">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638" w:type="dxa"/>
            <w:hideMark/>
          </w:tcPr>
          <w:p w14:paraId="1ECF3DA0"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w:t>
            </w:r>
          </w:p>
        </w:tc>
        <w:tc>
          <w:tcPr>
            <w:tcW w:w="1163" w:type="dxa"/>
            <w:hideMark/>
          </w:tcPr>
          <w:p w14:paraId="0F7BEFD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Nestlé</w:t>
            </w:r>
          </w:p>
        </w:tc>
        <w:tc>
          <w:tcPr>
            <w:tcW w:w="752" w:type="dxa"/>
            <w:hideMark/>
          </w:tcPr>
          <w:p w14:paraId="20AD580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2016</w:t>
            </w:r>
          </w:p>
        </w:tc>
        <w:tc>
          <w:tcPr>
            <w:tcW w:w="1984" w:type="dxa"/>
            <w:hideMark/>
          </w:tcPr>
          <w:p w14:paraId="351722F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Nestlé Creating Shared Value Report</w:t>
            </w:r>
          </w:p>
        </w:tc>
        <w:tc>
          <w:tcPr>
            <w:tcW w:w="5291" w:type="dxa"/>
            <w:hideMark/>
          </w:tcPr>
          <w:p w14:paraId="53A450F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are committed to responsible water stewardship across our supply chains, factories and public policy.”</w:t>
            </w:r>
          </w:p>
        </w:tc>
        <w:tc>
          <w:tcPr>
            <w:tcW w:w="845" w:type="dxa"/>
            <w:hideMark/>
          </w:tcPr>
          <w:p w14:paraId="61C1FBC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130</w:t>
            </w:r>
          </w:p>
        </w:tc>
      </w:tr>
      <w:tr w:rsidR="0097010B" w:rsidRPr="0097010B" w14:paraId="7B1BF169" w14:textId="77777777" w:rsidTr="00340E24">
        <w:trPr>
          <w:trHeight w:val="1015"/>
        </w:trPr>
        <w:tc>
          <w:tcPr>
            <w:cnfStyle w:val="001000000000" w:firstRow="0" w:lastRow="0" w:firstColumn="1" w:lastColumn="0" w:oddVBand="0" w:evenVBand="0" w:oddHBand="0" w:evenHBand="0" w:firstRowFirstColumn="0" w:firstRowLastColumn="0" w:lastRowFirstColumn="0" w:lastRowLastColumn="0"/>
            <w:tcW w:w="638" w:type="dxa"/>
            <w:hideMark/>
          </w:tcPr>
          <w:p w14:paraId="099B1157"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16</w:t>
            </w:r>
          </w:p>
        </w:tc>
        <w:tc>
          <w:tcPr>
            <w:tcW w:w="1163" w:type="dxa"/>
            <w:hideMark/>
          </w:tcPr>
          <w:p w14:paraId="1CF4F12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Danone</w:t>
            </w:r>
          </w:p>
        </w:tc>
        <w:tc>
          <w:tcPr>
            <w:tcW w:w="752" w:type="dxa"/>
            <w:hideMark/>
          </w:tcPr>
          <w:p w14:paraId="7BD32D2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6F77BA1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Danone Sustainability Report</w:t>
            </w:r>
          </w:p>
        </w:tc>
        <w:tc>
          <w:tcPr>
            <w:tcW w:w="5291" w:type="dxa"/>
            <w:hideMark/>
          </w:tcPr>
          <w:p w14:paraId="5F2AA92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“Between now and 2020, we will continue to protect water, especially where it is scarce, and use this vital resource in harmony with our business ecosystems and local communities.”</w:t>
            </w:r>
          </w:p>
        </w:tc>
        <w:tc>
          <w:tcPr>
            <w:tcW w:w="845" w:type="dxa"/>
            <w:hideMark/>
          </w:tcPr>
          <w:p w14:paraId="02A7D17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63</w:t>
            </w:r>
          </w:p>
        </w:tc>
      </w:tr>
      <w:tr w:rsidR="0097010B" w:rsidRPr="0097010B" w14:paraId="0FEBCFBA" w14:textId="77777777" w:rsidTr="00340E24">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38" w:type="dxa"/>
            <w:hideMark/>
          </w:tcPr>
          <w:p w14:paraId="7A093CE8"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17</w:t>
            </w:r>
          </w:p>
        </w:tc>
        <w:tc>
          <w:tcPr>
            <w:tcW w:w="1163" w:type="dxa"/>
            <w:hideMark/>
          </w:tcPr>
          <w:p w14:paraId="4F72997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Shell</w:t>
            </w:r>
          </w:p>
        </w:tc>
        <w:tc>
          <w:tcPr>
            <w:tcW w:w="752" w:type="dxa"/>
            <w:hideMark/>
          </w:tcPr>
          <w:p w14:paraId="7A76A74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2015</w:t>
            </w:r>
          </w:p>
        </w:tc>
        <w:tc>
          <w:tcPr>
            <w:tcW w:w="1984" w:type="dxa"/>
            <w:hideMark/>
          </w:tcPr>
          <w:p w14:paraId="34FC0CF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Shell Sustainability Report</w:t>
            </w:r>
          </w:p>
        </w:tc>
        <w:tc>
          <w:tcPr>
            <w:tcW w:w="5291" w:type="dxa"/>
            <w:hideMark/>
          </w:tcPr>
          <w:p w14:paraId="448AF06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continue to work to reduce our own greenhouse gas (GHG) emissions over the long term."</w:t>
            </w:r>
          </w:p>
        </w:tc>
        <w:tc>
          <w:tcPr>
            <w:tcW w:w="845" w:type="dxa"/>
            <w:hideMark/>
          </w:tcPr>
          <w:p w14:paraId="21352C2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w:t>
            </w:r>
          </w:p>
        </w:tc>
      </w:tr>
      <w:tr w:rsidR="0097010B" w:rsidRPr="0097010B" w14:paraId="278608F8" w14:textId="77777777" w:rsidTr="00340E24">
        <w:trPr>
          <w:trHeight w:val="1064"/>
        </w:trPr>
        <w:tc>
          <w:tcPr>
            <w:cnfStyle w:val="001000000000" w:firstRow="0" w:lastRow="0" w:firstColumn="1" w:lastColumn="0" w:oddVBand="0" w:evenVBand="0" w:oddHBand="0" w:evenHBand="0" w:firstRowFirstColumn="0" w:firstRowLastColumn="0" w:lastRowFirstColumn="0" w:lastRowLastColumn="0"/>
            <w:tcW w:w="638" w:type="dxa"/>
            <w:hideMark/>
          </w:tcPr>
          <w:p w14:paraId="648CDA33"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18</w:t>
            </w:r>
          </w:p>
        </w:tc>
        <w:tc>
          <w:tcPr>
            <w:tcW w:w="1163" w:type="dxa"/>
            <w:hideMark/>
          </w:tcPr>
          <w:p w14:paraId="0A9BC93F"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BP</w:t>
            </w:r>
          </w:p>
        </w:tc>
        <w:tc>
          <w:tcPr>
            <w:tcW w:w="752" w:type="dxa"/>
            <w:hideMark/>
          </w:tcPr>
          <w:p w14:paraId="15842CE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2013</w:t>
            </w:r>
          </w:p>
        </w:tc>
        <w:tc>
          <w:tcPr>
            <w:tcW w:w="1984" w:type="dxa"/>
            <w:hideMark/>
          </w:tcPr>
          <w:p w14:paraId="0ABAC06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BP Sustainability Review</w:t>
            </w:r>
          </w:p>
        </w:tc>
        <w:tc>
          <w:tcPr>
            <w:tcW w:w="5291" w:type="dxa"/>
            <w:hideMark/>
          </w:tcPr>
          <w:p w14:paraId="397320C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"BP aims to manage its operational GHG emissions through operational energy efficiency, reductions in flaring and venting, and by factoring a carbon cost into our investment appraisals and the engineering design of new projects."</w:t>
            </w:r>
          </w:p>
        </w:tc>
        <w:tc>
          <w:tcPr>
            <w:tcW w:w="845" w:type="dxa"/>
            <w:hideMark/>
          </w:tcPr>
          <w:p w14:paraId="10BC6BF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36</w:t>
            </w:r>
          </w:p>
        </w:tc>
      </w:tr>
      <w:tr w:rsidR="0097010B" w:rsidRPr="0097010B" w14:paraId="056892B5" w14:textId="77777777" w:rsidTr="00340E2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638" w:type="dxa"/>
            <w:hideMark/>
          </w:tcPr>
          <w:p w14:paraId="5C12D4B4"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19</w:t>
            </w:r>
          </w:p>
        </w:tc>
        <w:tc>
          <w:tcPr>
            <w:tcW w:w="1163" w:type="dxa"/>
            <w:hideMark/>
          </w:tcPr>
          <w:p w14:paraId="5976E99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HSBC</w:t>
            </w:r>
          </w:p>
        </w:tc>
        <w:tc>
          <w:tcPr>
            <w:tcW w:w="752" w:type="dxa"/>
            <w:hideMark/>
          </w:tcPr>
          <w:p w14:paraId="41EC046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2017</w:t>
            </w:r>
          </w:p>
        </w:tc>
        <w:tc>
          <w:tcPr>
            <w:tcW w:w="1984" w:type="dxa"/>
            <w:hideMark/>
          </w:tcPr>
          <w:p w14:paraId="1672706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HSBC CSR Report</w:t>
            </w:r>
          </w:p>
        </w:tc>
        <w:tc>
          <w:tcPr>
            <w:tcW w:w="5291" w:type="dxa"/>
            <w:hideMark/>
          </w:tcPr>
          <w:p w14:paraId="3F4F496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“Source 100% of our electricity from renewable sources by 2030, with an interim target of 90% by 2025”</w:t>
            </w:r>
          </w:p>
        </w:tc>
        <w:tc>
          <w:tcPr>
            <w:tcW w:w="845" w:type="dxa"/>
            <w:hideMark/>
          </w:tcPr>
          <w:p w14:paraId="5FC0E04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10</w:t>
            </w:r>
          </w:p>
        </w:tc>
      </w:tr>
      <w:tr w:rsidR="0097010B" w:rsidRPr="0097010B" w14:paraId="35B3DE98" w14:textId="77777777" w:rsidTr="00340E24">
        <w:trPr>
          <w:trHeight w:val="976"/>
        </w:trPr>
        <w:tc>
          <w:tcPr>
            <w:cnfStyle w:val="001000000000" w:firstRow="0" w:lastRow="0" w:firstColumn="1" w:lastColumn="0" w:oddVBand="0" w:evenVBand="0" w:oddHBand="0" w:evenHBand="0" w:firstRowFirstColumn="0" w:firstRowLastColumn="0" w:lastRowFirstColumn="0" w:lastRowLastColumn="0"/>
            <w:tcW w:w="638" w:type="dxa"/>
            <w:hideMark/>
          </w:tcPr>
          <w:p w14:paraId="17D0E2DA"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w:t>
            </w:r>
          </w:p>
        </w:tc>
        <w:tc>
          <w:tcPr>
            <w:tcW w:w="1163" w:type="dxa"/>
            <w:hideMark/>
          </w:tcPr>
          <w:p w14:paraId="439B886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Siemens</w:t>
            </w:r>
          </w:p>
        </w:tc>
        <w:tc>
          <w:tcPr>
            <w:tcW w:w="752" w:type="dxa"/>
            <w:hideMark/>
          </w:tcPr>
          <w:p w14:paraId="40CCD50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0D1424F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Siemens Business Responsibility Report</w:t>
            </w:r>
          </w:p>
        </w:tc>
        <w:tc>
          <w:tcPr>
            <w:tcW w:w="5291" w:type="dxa"/>
            <w:hideMark/>
          </w:tcPr>
          <w:p w14:paraId="58DAC18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"To create awareness and build their competence, we undertake various sustainability initiatives</w:t>
            </w:r>
            <w:r w:rsidRPr="0097010B">
              <w:rPr>
                <w:rFonts w:ascii="Times New Roman" w:eastAsia="Times New Roman" w:hAnsi="Times New Roman" w:cs="Times New Roman"/>
                <w:sz w:val="24"/>
                <w:szCs w:val="24"/>
              </w:rPr>
              <w:br/>
              <w:t>focused on minimising the environmental impact and promoting cleaner and safer value chain operations."</w:t>
            </w:r>
          </w:p>
        </w:tc>
        <w:tc>
          <w:tcPr>
            <w:tcW w:w="845" w:type="dxa"/>
            <w:hideMark/>
          </w:tcPr>
          <w:p w14:paraId="5B3FB29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4</w:t>
            </w:r>
          </w:p>
        </w:tc>
      </w:tr>
      <w:tr w:rsidR="0097010B" w:rsidRPr="0097010B" w14:paraId="57DFFC60" w14:textId="77777777" w:rsidTr="00340E24">
        <w:trPr>
          <w:cnfStyle w:val="000000100000" w:firstRow="0" w:lastRow="0" w:firstColumn="0" w:lastColumn="0" w:oddVBand="0" w:evenVBand="0" w:oddHBand="1" w:evenHBand="0" w:firstRowFirstColumn="0" w:firstRowLastColumn="0" w:lastRowFirstColumn="0" w:lastRowLastColumn="0"/>
          <w:trHeight w:val="1271"/>
        </w:trPr>
        <w:tc>
          <w:tcPr>
            <w:cnfStyle w:val="001000000000" w:firstRow="0" w:lastRow="0" w:firstColumn="1" w:lastColumn="0" w:oddVBand="0" w:evenVBand="0" w:oddHBand="0" w:evenHBand="0" w:firstRowFirstColumn="0" w:firstRowLastColumn="0" w:lastRowFirstColumn="0" w:lastRowLastColumn="0"/>
            <w:tcW w:w="638" w:type="dxa"/>
            <w:hideMark/>
          </w:tcPr>
          <w:p w14:paraId="506F317A"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21</w:t>
            </w:r>
          </w:p>
        </w:tc>
        <w:tc>
          <w:tcPr>
            <w:tcW w:w="1163" w:type="dxa"/>
            <w:hideMark/>
          </w:tcPr>
          <w:p w14:paraId="54CA015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Intel</w:t>
            </w:r>
          </w:p>
        </w:tc>
        <w:tc>
          <w:tcPr>
            <w:tcW w:w="752" w:type="dxa"/>
            <w:hideMark/>
          </w:tcPr>
          <w:p w14:paraId="64A34A2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2016</w:t>
            </w:r>
          </w:p>
        </w:tc>
        <w:tc>
          <w:tcPr>
            <w:tcW w:w="1984" w:type="dxa"/>
            <w:hideMark/>
          </w:tcPr>
          <w:p w14:paraId="67601C7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Intel CSR Report</w:t>
            </w:r>
          </w:p>
        </w:tc>
        <w:tc>
          <w:tcPr>
            <w:tcW w:w="5291" w:type="dxa"/>
            <w:hideMark/>
          </w:tcPr>
          <w:p w14:paraId="6D3210A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seek to reduce the environmental impact of our products through product ecology and e-waste initiatives and by designing products with improved energy-efficient performance, which helps us meet customer needs and identify market expansion opportunities."</w:t>
            </w:r>
          </w:p>
        </w:tc>
        <w:tc>
          <w:tcPr>
            <w:tcW w:w="845" w:type="dxa"/>
            <w:hideMark/>
          </w:tcPr>
          <w:p w14:paraId="34B67CD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11</w:t>
            </w:r>
          </w:p>
        </w:tc>
      </w:tr>
      <w:tr w:rsidR="0097010B" w:rsidRPr="0097010B" w14:paraId="1821B2B6" w14:textId="77777777" w:rsidTr="00340E24">
        <w:trPr>
          <w:trHeight w:val="836"/>
        </w:trPr>
        <w:tc>
          <w:tcPr>
            <w:cnfStyle w:val="001000000000" w:firstRow="0" w:lastRow="0" w:firstColumn="1" w:lastColumn="0" w:oddVBand="0" w:evenVBand="0" w:oddHBand="0" w:evenHBand="0" w:firstRowFirstColumn="0" w:firstRowLastColumn="0" w:lastRowFirstColumn="0" w:lastRowLastColumn="0"/>
            <w:tcW w:w="638" w:type="dxa"/>
            <w:hideMark/>
          </w:tcPr>
          <w:p w14:paraId="46E1D886"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22</w:t>
            </w:r>
          </w:p>
        </w:tc>
        <w:tc>
          <w:tcPr>
            <w:tcW w:w="1163" w:type="dxa"/>
            <w:hideMark/>
          </w:tcPr>
          <w:p w14:paraId="613C6AD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IBM</w:t>
            </w:r>
          </w:p>
        </w:tc>
        <w:tc>
          <w:tcPr>
            <w:tcW w:w="752" w:type="dxa"/>
            <w:hideMark/>
          </w:tcPr>
          <w:p w14:paraId="65DC867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2011</w:t>
            </w:r>
          </w:p>
        </w:tc>
        <w:tc>
          <w:tcPr>
            <w:tcW w:w="1984" w:type="dxa"/>
            <w:hideMark/>
          </w:tcPr>
          <w:p w14:paraId="582039F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IBM Corporate Responsibility Report</w:t>
            </w:r>
          </w:p>
        </w:tc>
        <w:tc>
          <w:tcPr>
            <w:tcW w:w="5291" w:type="dxa"/>
            <w:hideMark/>
          </w:tcPr>
          <w:p w14:paraId="675C4FF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"We have reduced IBM’s CO2 emissions by 16 percent through 2011 against the company’s stated goal of a 12-percent reduction by 2012, using 2005 as the base year."</w:t>
            </w:r>
          </w:p>
        </w:tc>
        <w:tc>
          <w:tcPr>
            <w:tcW w:w="845" w:type="dxa"/>
            <w:hideMark/>
          </w:tcPr>
          <w:p w14:paraId="5B744FA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8</w:t>
            </w:r>
          </w:p>
        </w:tc>
      </w:tr>
      <w:tr w:rsidR="0097010B" w:rsidRPr="0097010B" w14:paraId="52D58353" w14:textId="77777777" w:rsidTr="00340E2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38" w:type="dxa"/>
            <w:hideMark/>
          </w:tcPr>
          <w:p w14:paraId="5FD1A431"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23</w:t>
            </w:r>
          </w:p>
        </w:tc>
        <w:tc>
          <w:tcPr>
            <w:tcW w:w="1163" w:type="dxa"/>
            <w:hideMark/>
          </w:tcPr>
          <w:p w14:paraId="0894CED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Johnson &amp; Johnson</w:t>
            </w:r>
          </w:p>
        </w:tc>
        <w:tc>
          <w:tcPr>
            <w:tcW w:w="752" w:type="dxa"/>
            <w:hideMark/>
          </w:tcPr>
          <w:p w14:paraId="4FD0865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2015</w:t>
            </w:r>
          </w:p>
        </w:tc>
        <w:tc>
          <w:tcPr>
            <w:tcW w:w="1984" w:type="dxa"/>
            <w:hideMark/>
          </w:tcPr>
          <w:p w14:paraId="0DBEAF32"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J&amp;J Sustainability Report</w:t>
            </w:r>
          </w:p>
        </w:tc>
        <w:tc>
          <w:tcPr>
            <w:tcW w:w="5291" w:type="dxa"/>
            <w:hideMark/>
          </w:tcPr>
          <w:p w14:paraId="6753C0B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“Reduce absolute carbon emissions 20 percent by 2020, 80 percent by 2050.”</w:t>
            </w:r>
          </w:p>
        </w:tc>
        <w:tc>
          <w:tcPr>
            <w:tcW w:w="845" w:type="dxa"/>
            <w:hideMark/>
          </w:tcPr>
          <w:p w14:paraId="13161FF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9</w:t>
            </w:r>
          </w:p>
        </w:tc>
      </w:tr>
      <w:tr w:rsidR="0097010B" w:rsidRPr="0097010B" w14:paraId="082D3009" w14:textId="77777777" w:rsidTr="00340E24">
        <w:trPr>
          <w:trHeight w:val="1068"/>
        </w:trPr>
        <w:tc>
          <w:tcPr>
            <w:cnfStyle w:val="001000000000" w:firstRow="0" w:lastRow="0" w:firstColumn="1" w:lastColumn="0" w:oddVBand="0" w:evenVBand="0" w:oddHBand="0" w:evenHBand="0" w:firstRowFirstColumn="0" w:firstRowLastColumn="0" w:lastRowFirstColumn="0" w:lastRowLastColumn="0"/>
            <w:tcW w:w="638" w:type="dxa"/>
            <w:hideMark/>
          </w:tcPr>
          <w:p w14:paraId="641BE842"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w:t>
            </w:r>
          </w:p>
        </w:tc>
        <w:tc>
          <w:tcPr>
            <w:tcW w:w="1163" w:type="dxa"/>
            <w:hideMark/>
          </w:tcPr>
          <w:p w14:paraId="1DAA1567"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3M</w:t>
            </w:r>
          </w:p>
        </w:tc>
        <w:tc>
          <w:tcPr>
            <w:tcW w:w="752" w:type="dxa"/>
            <w:hideMark/>
          </w:tcPr>
          <w:p w14:paraId="2103D9B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2014</w:t>
            </w:r>
          </w:p>
        </w:tc>
        <w:tc>
          <w:tcPr>
            <w:tcW w:w="1984" w:type="dxa"/>
            <w:hideMark/>
          </w:tcPr>
          <w:p w14:paraId="2BC3743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3M Sustainability Executive Summary Report</w:t>
            </w:r>
          </w:p>
        </w:tc>
        <w:tc>
          <w:tcPr>
            <w:tcW w:w="5291" w:type="dxa"/>
            <w:hideMark/>
          </w:tcPr>
          <w:p w14:paraId="044ECAD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"At 3M, we are focused on understanding those connections and seeking solutions that promote energy conservation, clean energy infrastructure, and reductions in atmospheric greenhouse gases."</w:t>
            </w:r>
          </w:p>
        </w:tc>
        <w:tc>
          <w:tcPr>
            <w:tcW w:w="845" w:type="dxa"/>
            <w:hideMark/>
          </w:tcPr>
          <w:p w14:paraId="5DC9221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6</w:t>
            </w:r>
          </w:p>
        </w:tc>
      </w:tr>
      <w:tr w:rsidR="0097010B" w:rsidRPr="0097010B" w14:paraId="536801C6" w14:textId="77777777" w:rsidTr="00340E24">
        <w:trPr>
          <w:cnfStyle w:val="000000100000" w:firstRow="0" w:lastRow="0" w:firstColumn="0" w:lastColumn="0" w:oddVBand="0" w:evenVBand="0" w:oddHBand="1" w:evenHBand="0" w:firstRowFirstColumn="0" w:firstRowLastColumn="0" w:lastRowFirstColumn="0" w:lastRowLastColumn="0"/>
          <w:trHeight w:val="1042"/>
        </w:trPr>
        <w:tc>
          <w:tcPr>
            <w:cnfStyle w:val="001000000000" w:firstRow="0" w:lastRow="0" w:firstColumn="1" w:lastColumn="0" w:oddVBand="0" w:evenVBand="0" w:oddHBand="0" w:evenHBand="0" w:firstRowFirstColumn="0" w:firstRowLastColumn="0" w:lastRowFirstColumn="0" w:lastRowLastColumn="0"/>
            <w:tcW w:w="638" w:type="dxa"/>
            <w:hideMark/>
          </w:tcPr>
          <w:p w14:paraId="489889C8"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25</w:t>
            </w:r>
          </w:p>
        </w:tc>
        <w:tc>
          <w:tcPr>
            <w:tcW w:w="1163" w:type="dxa"/>
            <w:hideMark/>
          </w:tcPr>
          <w:p w14:paraId="1EEAA68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Toyota</w:t>
            </w:r>
          </w:p>
        </w:tc>
        <w:tc>
          <w:tcPr>
            <w:tcW w:w="752" w:type="dxa"/>
            <w:hideMark/>
          </w:tcPr>
          <w:p w14:paraId="2B047AD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2015</w:t>
            </w:r>
          </w:p>
        </w:tc>
        <w:tc>
          <w:tcPr>
            <w:tcW w:w="1984" w:type="dxa"/>
            <w:hideMark/>
          </w:tcPr>
          <w:p w14:paraId="65E8669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Toyota North American Environmental Report</w:t>
            </w:r>
          </w:p>
        </w:tc>
        <w:tc>
          <w:tcPr>
            <w:tcW w:w="5291" w:type="dxa"/>
            <w:hideMark/>
          </w:tcPr>
          <w:p w14:paraId="1FB561D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"Pursue innovation and continuous improvement opportunities to maximize energy and fuel efficiency and optimize our environmental performance."</w:t>
            </w:r>
          </w:p>
        </w:tc>
        <w:tc>
          <w:tcPr>
            <w:tcW w:w="845" w:type="dxa"/>
            <w:hideMark/>
          </w:tcPr>
          <w:p w14:paraId="0C772F8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 10</w:t>
            </w:r>
          </w:p>
        </w:tc>
      </w:tr>
    </w:tbl>
    <w:p w14:paraId="5818E2B1" w14:textId="77777777" w:rsidR="0097010B" w:rsidRPr="0097010B" w:rsidRDefault="0097010B" w:rsidP="0097010B">
      <w:pPr>
        <w:spacing w:line="360" w:lineRule="auto"/>
        <w:rPr>
          <w:rFonts w:ascii="Times New Roman" w:hAnsi="Times New Roman" w:cs="Times New Roman"/>
          <w:sz w:val="24"/>
          <w:szCs w:val="24"/>
        </w:rPr>
      </w:pPr>
    </w:p>
    <w:p w14:paraId="4DBD915E" w14:textId="77777777" w:rsidR="0097010B" w:rsidRPr="0097010B" w:rsidRDefault="0097010B" w:rsidP="0097010B">
      <w:pPr>
        <w:pStyle w:val="Heading3"/>
        <w:spacing w:line="360" w:lineRule="auto"/>
        <w:rPr>
          <w:rFonts w:ascii="Times New Roman" w:hAnsi="Times New Roman" w:cs="Times New Roman"/>
          <w:b/>
          <w:bCs/>
          <w:color w:val="auto"/>
        </w:rPr>
      </w:pPr>
      <w:r w:rsidRPr="0097010B">
        <w:rPr>
          <w:rFonts w:ascii="Times New Roman" w:hAnsi="Times New Roman" w:cs="Times New Roman"/>
          <w:b/>
          <w:bCs/>
          <w:color w:val="auto"/>
        </w:rPr>
        <w:t>References</w:t>
      </w:r>
    </w:p>
    <w:p w14:paraId="7C7EA0A8"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hAnsi="Times New Roman" w:cs="Times New Roman"/>
          <w:sz w:val="24"/>
          <w:szCs w:val="24"/>
        </w:rPr>
        <w:t xml:space="preserve">Unilever. (2020). Unilever Sustainable Living Plan. </w:t>
      </w:r>
      <w:hyperlink r:id="rId17" w:history="1">
        <w:r w:rsidRPr="0097010B">
          <w:rPr>
            <w:rStyle w:val="Hyperlink"/>
            <w:rFonts w:ascii="Times New Roman" w:eastAsia="Times New Roman" w:hAnsi="Times New Roman" w:cs="Times New Roman"/>
            <w:color w:val="auto"/>
            <w:sz w:val="24"/>
            <w:szCs w:val="24"/>
          </w:rPr>
          <w:t>https://www.unilever.com/files/92e850cf-299e-40ec-82ef-ca19e6f30a59/unilever-sustainable-living-plan-2010.pdf</w:t>
        </w:r>
      </w:hyperlink>
    </w:p>
    <w:p w14:paraId="20E6413F"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r w:rsidRPr="0097010B">
        <w:rPr>
          <w:rFonts w:ascii="Times New Roman" w:eastAsia="Times New Roman" w:hAnsi="Times New Roman" w:cs="Times New Roman"/>
          <w:sz w:val="24"/>
          <w:szCs w:val="24"/>
          <w:lang w:val="en-CA"/>
        </w:rPr>
        <w:t xml:space="preserve">Microsoft. (2012). Microsoft Citizenship Report. </w:t>
      </w:r>
      <w:hyperlink r:id="rId18" w:history="1">
        <w:r w:rsidRPr="0097010B">
          <w:rPr>
            <w:rStyle w:val="Hyperlink"/>
            <w:rFonts w:ascii="Times New Roman" w:eastAsia="Times New Roman" w:hAnsi="Times New Roman" w:cs="Times New Roman"/>
            <w:color w:val="auto"/>
            <w:sz w:val="24"/>
            <w:szCs w:val="24"/>
            <w:lang w:val="en-CA"/>
          </w:rPr>
          <w:t>https://download.microsoft.com/download/0/B/4/0B45C094-CAF2-4909-99FB-897BB65B4815/MS%202012%20Citizenship%20Report.pdf</w:t>
        </w:r>
      </w:hyperlink>
    </w:p>
    <w:p w14:paraId="3C61DD3C"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p>
    <w:p w14:paraId="11712E5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Google. (2017). Google Environmental Report. </w:t>
      </w:r>
      <w:hyperlink r:id="rId19" w:history="1">
        <w:r w:rsidRPr="0097010B">
          <w:rPr>
            <w:rStyle w:val="Hyperlink"/>
            <w:rFonts w:ascii="Times New Roman" w:eastAsia="Times New Roman" w:hAnsi="Times New Roman" w:cs="Times New Roman"/>
            <w:color w:val="auto"/>
            <w:sz w:val="24"/>
            <w:szCs w:val="24"/>
          </w:rPr>
          <w:t>https://sustainability.google/reports/google-2017-environmental-report/</w:t>
        </w:r>
      </w:hyperlink>
    </w:p>
    <w:p w14:paraId="3E0BE738"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69B235D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Apple. (2014). Apple Environmental Responsibility Report. </w:t>
      </w:r>
      <w:hyperlink r:id="rId20" w:history="1">
        <w:r w:rsidRPr="0097010B">
          <w:rPr>
            <w:rStyle w:val="Hyperlink"/>
            <w:rFonts w:ascii="Times New Roman" w:eastAsia="Times New Roman" w:hAnsi="Times New Roman" w:cs="Times New Roman"/>
            <w:color w:val="auto"/>
            <w:sz w:val="24"/>
            <w:szCs w:val="24"/>
          </w:rPr>
          <w:t>https://www.apple.com/newsroom/pdfs/Apple_Environmental_Responsibility_Report_2014.pdf</w:t>
        </w:r>
      </w:hyperlink>
    </w:p>
    <w:p w14:paraId="74C88BE3"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4CAB7D4C" w14:textId="77777777" w:rsidR="0097010B" w:rsidRPr="0097010B" w:rsidRDefault="0097010B" w:rsidP="0097010B">
      <w:pPr>
        <w:spacing w:after="0" w:line="360" w:lineRule="auto"/>
        <w:rPr>
          <w:rFonts w:ascii="Times New Roman" w:eastAsia="Times New Roman" w:hAnsi="Times New Roman" w:cs="Times New Roman"/>
          <w:sz w:val="24"/>
          <w:szCs w:val="24"/>
          <w:lang w:val="it-IT"/>
        </w:rPr>
      </w:pPr>
      <w:r w:rsidRPr="0097010B">
        <w:rPr>
          <w:rFonts w:ascii="Times New Roman" w:eastAsia="Times New Roman" w:hAnsi="Times New Roman" w:cs="Times New Roman"/>
          <w:sz w:val="24"/>
          <w:szCs w:val="24"/>
          <w:lang w:val="it-IT"/>
        </w:rPr>
        <w:t xml:space="preserve">Patagonia. (2013) Patagonia CSR Report. </w:t>
      </w:r>
      <w:hyperlink r:id="rId21" w:history="1">
        <w:r w:rsidRPr="0097010B">
          <w:rPr>
            <w:rStyle w:val="Hyperlink"/>
            <w:rFonts w:ascii="Times New Roman" w:eastAsia="Times New Roman" w:hAnsi="Times New Roman" w:cs="Times New Roman"/>
            <w:color w:val="auto"/>
            <w:sz w:val="24"/>
            <w:szCs w:val="24"/>
            <w:lang w:val="it-IT"/>
          </w:rPr>
          <w:t>https://www.patagonia.com/on/demandware.static/sites-patagonia-us-Site/Library-Sites-PatagoniaShared/en_US/v1484248663834/PDF-Resources/2012_Enviro_Social_Initiatives.pdf</w:t>
        </w:r>
      </w:hyperlink>
    </w:p>
    <w:p w14:paraId="69F2B3EF" w14:textId="77777777" w:rsidR="0097010B" w:rsidRPr="0097010B" w:rsidRDefault="0097010B" w:rsidP="0097010B">
      <w:pPr>
        <w:spacing w:after="0" w:line="360" w:lineRule="auto"/>
        <w:rPr>
          <w:rFonts w:ascii="Times New Roman" w:eastAsia="Times New Roman" w:hAnsi="Times New Roman" w:cs="Times New Roman"/>
          <w:sz w:val="24"/>
          <w:szCs w:val="24"/>
          <w:lang w:val="it-IT"/>
        </w:rPr>
      </w:pPr>
    </w:p>
    <w:p w14:paraId="1EEDC42C"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r w:rsidRPr="0097010B">
        <w:rPr>
          <w:rFonts w:ascii="Times New Roman" w:eastAsia="Times New Roman" w:hAnsi="Times New Roman" w:cs="Times New Roman"/>
          <w:sz w:val="24"/>
          <w:szCs w:val="24"/>
          <w:lang w:val="en-CA"/>
        </w:rPr>
        <w:t xml:space="preserve">Nike. (2016). Nike Sustainable Business Report. </w:t>
      </w:r>
      <w:hyperlink r:id="rId22" w:history="1">
        <w:r w:rsidRPr="0097010B">
          <w:rPr>
            <w:rStyle w:val="Hyperlink"/>
            <w:rFonts w:ascii="Times New Roman" w:eastAsia="Times New Roman" w:hAnsi="Times New Roman" w:cs="Times New Roman"/>
            <w:color w:val="auto"/>
            <w:sz w:val="24"/>
            <w:szCs w:val="24"/>
            <w:lang w:val="en-CA"/>
          </w:rPr>
          <w:t>https://media.about.nike.com/files/6cbd26ae-7222-45f8-ae29-885429852268/FY16-17-Nike-Sustainable-Business-Report_FINAL.pdf</w:t>
        </w:r>
      </w:hyperlink>
    </w:p>
    <w:p w14:paraId="228B987D"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p>
    <w:p w14:paraId="6065B85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Starbucks. (2015). Starbucks Global Responsibility Report. </w:t>
      </w:r>
      <w:hyperlink r:id="rId23" w:history="1">
        <w:r w:rsidRPr="0097010B">
          <w:rPr>
            <w:rStyle w:val="Hyperlink"/>
            <w:rFonts w:ascii="Times New Roman" w:eastAsia="Times New Roman" w:hAnsi="Times New Roman" w:cs="Times New Roman"/>
            <w:color w:val="auto"/>
            <w:sz w:val="24"/>
            <w:szCs w:val="24"/>
          </w:rPr>
          <w:t>https://stories.starbucks.com/uploads/2019/01/2015-global-responsibility-report.pdf</w:t>
        </w:r>
      </w:hyperlink>
    </w:p>
    <w:p w14:paraId="395DE601"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624D8CA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Procter &amp; Gamble. (203). P&amp;G 2013 Sustainability Report. </w:t>
      </w:r>
      <w:hyperlink r:id="rId24" w:history="1">
        <w:r w:rsidRPr="0097010B">
          <w:rPr>
            <w:rStyle w:val="Hyperlink"/>
            <w:rFonts w:ascii="Times New Roman" w:eastAsia="Times New Roman" w:hAnsi="Times New Roman" w:cs="Times New Roman"/>
            <w:color w:val="auto"/>
            <w:sz w:val="24"/>
            <w:szCs w:val="24"/>
          </w:rPr>
          <w:t>https://assets.ctfassets.net/oggad6svuzkv/2YLbgvN5rOSwswwGAgkEEs/1e257a435ac70bfb9316aa24eb5d9b59/2013_Full_Sustainability_Report.pdf</w:t>
        </w:r>
      </w:hyperlink>
    </w:p>
    <w:p w14:paraId="5418D547"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57BAE7F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Walmart. (2014). Walmart Global Responsibility Report. </w:t>
      </w:r>
      <w:hyperlink r:id="rId25" w:history="1">
        <w:r w:rsidRPr="0097010B">
          <w:rPr>
            <w:rStyle w:val="Hyperlink"/>
            <w:rFonts w:ascii="Times New Roman" w:eastAsia="Times New Roman" w:hAnsi="Times New Roman" w:cs="Times New Roman"/>
            <w:color w:val="auto"/>
            <w:sz w:val="24"/>
            <w:szCs w:val="24"/>
          </w:rPr>
          <w:t>https://corporate.walmart.com/content/dam/walmart/documents/global-responsibility-report-archive/2014-global-responsibility-report.pdf</w:t>
        </w:r>
      </w:hyperlink>
    </w:p>
    <w:p w14:paraId="38630E5C"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4B2AA86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lang w:val="it-IT"/>
        </w:rPr>
        <w:t xml:space="preserve">Coca-Cola. (2011). Coca-Cola Sustainability Report. </w:t>
      </w:r>
      <w:hyperlink r:id="rId26" w:history="1">
        <w:r w:rsidRPr="0097010B">
          <w:rPr>
            <w:rStyle w:val="Hyperlink"/>
            <w:rFonts w:ascii="Times New Roman" w:eastAsia="Times New Roman" w:hAnsi="Times New Roman" w:cs="Times New Roman"/>
            <w:color w:val="auto"/>
            <w:sz w:val="24"/>
            <w:szCs w:val="24"/>
          </w:rPr>
          <w:t>https://www.coca-colacompany.com/content/dam/company/us/en/reports/archive/sustainability-reports/2010-2011-sustainability-report.pdf</w:t>
        </w:r>
      </w:hyperlink>
    </w:p>
    <w:p w14:paraId="3E8B4E1C"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01406816" w14:textId="77777777" w:rsidR="0097010B" w:rsidRPr="0097010B" w:rsidRDefault="0097010B" w:rsidP="0097010B">
      <w:pPr>
        <w:spacing w:after="0" w:line="360" w:lineRule="auto"/>
        <w:rPr>
          <w:rFonts w:ascii="Times New Roman" w:eastAsia="Times New Roman" w:hAnsi="Times New Roman" w:cs="Times New Roman"/>
          <w:sz w:val="24"/>
          <w:szCs w:val="24"/>
          <w:lang w:val="it-IT"/>
        </w:rPr>
      </w:pPr>
      <w:r w:rsidRPr="0097010B">
        <w:rPr>
          <w:rFonts w:ascii="Times New Roman" w:eastAsia="Times New Roman" w:hAnsi="Times New Roman" w:cs="Times New Roman"/>
          <w:sz w:val="24"/>
          <w:szCs w:val="24"/>
          <w:lang w:val="it-IT"/>
        </w:rPr>
        <w:t xml:space="preserve">PepsiCo. (2014). PepsiCo Sustainability Report. </w:t>
      </w:r>
      <w:hyperlink r:id="rId27" w:history="1">
        <w:r w:rsidRPr="0097010B">
          <w:rPr>
            <w:rStyle w:val="Hyperlink"/>
            <w:rFonts w:ascii="Times New Roman" w:eastAsia="Times New Roman" w:hAnsi="Times New Roman" w:cs="Times New Roman"/>
            <w:color w:val="auto"/>
            <w:sz w:val="24"/>
            <w:szCs w:val="24"/>
            <w:lang w:val="it-IT"/>
          </w:rPr>
          <w:t>https://www.pepsico.com/docs/default-source/sustainability-reporting/pepsico_2013_sustainability_report.pdf</w:t>
        </w:r>
      </w:hyperlink>
    </w:p>
    <w:p w14:paraId="1EE5B44A" w14:textId="77777777" w:rsidR="0097010B" w:rsidRPr="0097010B" w:rsidRDefault="0097010B" w:rsidP="0097010B">
      <w:pPr>
        <w:spacing w:after="0" w:line="360" w:lineRule="auto"/>
        <w:rPr>
          <w:rFonts w:ascii="Times New Roman" w:eastAsia="Times New Roman" w:hAnsi="Times New Roman" w:cs="Times New Roman"/>
          <w:sz w:val="24"/>
          <w:szCs w:val="24"/>
          <w:lang w:val="it-IT"/>
        </w:rPr>
      </w:pPr>
    </w:p>
    <w:p w14:paraId="6D42395F"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r w:rsidRPr="0097010B">
        <w:rPr>
          <w:rFonts w:ascii="Times New Roman" w:eastAsia="Times New Roman" w:hAnsi="Times New Roman" w:cs="Times New Roman"/>
          <w:sz w:val="24"/>
          <w:szCs w:val="24"/>
          <w:lang w:val="en-CA"/>
        </w:rPr>
        <w:t xml:space="preserve">IKEA. (2014). IKEA Sustainability Strategy. </w:t>
      </w:r>
      <w:hyperlink r:id="rId28" w:history="1">
        <w:r w:rsidRPr="0097010B">
          <w:rPr>
            <w:rStyle w:val="Hyperlink"/>
            <w:rFonts w:ascii="Times New Roman" w:eastAsia="Times New Roman" w:hAnsi="Times New Roman" w:cs="Times New Roman"/>
            <w:color w:val="auto"/>
            <w:sz w:val="24"/>
            <w:szCs w:val="24"/>
            <w:lang w:val="en-CA"/>
          </w:rPr>
          <w:t>https://www.ikea.com/cz/cs/files/pdf/7e/16/7e164668/sustainability_report_2014.pdf</w:t>
        </w:r>
      </w:hyperlink>
    </w:p>
    <w:p w14:paraId="209FE996"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p>
    <w:p w14:paraId="31D0E94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General Motors. (2015). GM Sustainability Report </w:t>
      </w:r>
      <w:hyperlink r:id="rId29" w:history="1">
        <w:r w:rsidRPr="0097010B">
          <w:rPr>
            <w:rStyle w:val="Hyperlink"/>
            <w:rFonts w:ascii="Times New Roman" w:eastAsia="Times New Roman" w:hAnsi="Times New Roman" w:cs="Times New Roman"/>
            <w:color w:val="auto"/>
            <w:sz w:val="24"/>
            <w:szCs w:val="24"/>
          </w:rPr>
          <w:t>https://www.gm.com.cn/content/dam/company/cn/pdf/csr/2015_CSR_Report_EN.pdf</w:t>
        </w:r>
      </w:hyperlink>
    </w:p>
    <w:p w14:paraId="3692DF3A"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3B8A8D0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Ford. (2012). Ford Sustainability Report. </w:t>
      </w:r>
      <w:hyperlink r:id="rId30" w:history="1">
        <w:r w:rsidRPr="0097010B">
          <w:rPr>
            <w:rStyle w:val="Hyperlink"/>
            <w:rFonts w:ascii="Times New Roman" w:eastAsia="Times New Roman" w:hAnsi="Times New Roman" w:cs="Times New Roman"/>
            <w:color w:val="auto"/>
            <w:sz w:val="24"/>
            <w:szCs w:val="24"/>
          </w:rPr>
          <w:t>https://ophelia.sdsu.edu:8443/ford/09-14-2014/doc/sr12.pdf</w:t>
        </w:r>
      </w:hyperlink>
    </w:p>
    <w:p w14:paraId="4D5076DE"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22ED072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Nestlé (2016). Nestlé Creating Shared Value Report.</w:t>
      </w:r>
      <w:r w:rsidRPr="0097010B">
        <w:rPr>
          <w:rFonts w:ascii="Times New Roman" w:eastAsia="Times New Roman" w:hAnsi="Times New Roman" w:cs="Times New Roman"/>
          <w:b/>
          <w:bCs/>
          <w:sz w:val="24"/>
          <w:szCs w:val="24"/>
        </w:rPr>
        <w:t xml:space="preserve"> </w:t>
      </w:r>
      <w:hyperlink r:id="rId31" w:history="1">
        <w:r w:rsidRPr="0097010B">
          <w:rPr>
            <w:rStyle w:val="Hyperlink"/>
            <w:rFonts w:ascii="Times New Roman" w:eastAsia="Times New Roman" w:hAnsi="Times New Roman" w:cs="Times New Roman"/>
            <w:color w:val="auto"/>
            <w:sz w:val="24"/>
            <w:szCs w:val="24"/>
          </w:rPr>
          <w:t>https://www.nestle.com/sites/default/files/asset-library/documents/library/documents/corporate_social_responsibility/nestle-csv-full-report-2016-en.pdf</w:t>
        </w:r>
      </w:hyperlink>
    </w:p>
    <w:p w14:paraId="7A3746B7"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35A0D07E"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r w:rsidRPr="0097010B">
        <w:rPr>
          <w:rFonts w:ascii="Times New Roman" w:eastAsia="Times New Roman" w:hAnsi="Times New Roman" w:cs="Times New Roman"/>
          <w:sz w:val="24"/>
          <w:szCs w:val="24"/>
        </w:rPr>
        <w:t xml:space="preserve">Danone (2014). </w:t>
      </w:r>
      <w:r w:rsidRPr="0097010B">
        <w:rPr>
          <w:rFonts w:ascii="Times New Roman" w:eastAsia="Times New Roman" w:hAnsi="Times New Roman" w:cs="Times New Roman"/>
          <w:sz w:val="24"/>
          <w:szCs w:val="24"/>
          <w:lang w:val="en-CA"/>
        </w:rPr>
        <w:t xml:space="preserve">Danone Sustainability Report. </w:t>
      </w:r>
      <w:hyperlink r:id="rId32" w:history="1">
        <w:r w:rsidRPr="0097010B">
          <w:rPr>
            <w:rStyle w:val="Hyperlink"/>
            <w:rFonts w:ascii="Times New Roman" w:eastAsia="Times New Roman" w:hAnsi="Times New Roman" w:cs="Times New Roman"/>
            <w:color w:val="auto"/>
            <w:sz w:val="24"/>
            <w:szCs w:val="24"/>
            <w:lang w:val="en-CA"/>
          </w:rPr>
          <w:t>https://www.danone.com/content/dam/corp/global/danonecom/investors/en-all-publications/2014/integratedreports/Danone_RES2014_EN_01.pdf</w:t>
        </w:r>
      </w:hyperlink>
    </w:p>
    <w:p w14:paraId="756B4EE8"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p>
    <w:p w14:paraId="30BF120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Shell. (2015). Shell Sustainability Report. </w:t>
      </w:r>
      <w:hyperlink r:id="rId33" w:history="1">
        <w:r w:rsidRPr="0097010B">
          <w:rPr>
            <w:rStyle w:val="Hyperlink"/>
            <w:rFonts w:ascii="Times New Roman" w:eastAsia="Times New Roman" w:hAnsi="Times New Roman" w:cs="Times New Roman"/>
            <w:color w:val="auto"/>
            <w:sz w:val="24"/>
            <w:szCs w:val="24"/>
          </w:rPr>
          <w:t>https://www.shell.com/sustainability/sustainability-reporting-and-performance-data/sustainability-reports-archive/_jcr_content/root/main/section/simple/text.downloadapp.pdf/1619002237033/shell-sustainability-report-2015.pdf</w:t>
        </w:r>
      </w:hyperlink>
    </w:p>
    <w:p w14:paraId="2D23077C"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33E2E65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BP. (2013). BP Sustainability Review. </w:t>
      </w:r>
      <w:hyperlink r:id="rId34" w:history="1">
        <w:r w:rsidRPr="0097010B">
          <w:rPr>
            <w:rStyle w:val="Hyperlink"/>
            <w:rFonts w:ascii="Times New Roman" w:eastAsia="Times New Roman" w:hAnsi="Times New Roman" w:cs="Times New Roman"/>
            <w:color w:val="auto"/>
            <w:sz w:val="24"/>
            <w:szCs w:val="24"/>
          </w:rPr>
          <w:t>https://www.bp.com/content/dam/bp/business-sites/en/global/corporate/pdfs/sustainability/archive/archived-reports-and-translations/2013/bp-sustainability-review-2013.pdf</w:t>
        </w:r>
      </w:hyperlink>
    </w:p>
    <w:p w14:paraId="22AB0CE5"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171A61A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HSBC. (2017), HSBC CSR Report. </w:t>
      </w:r>
      <w:hyperlink r:id="rId35" w:history="1">
        <w:r w:rsidRPr="0097010B">
          <w:rPr>
            <w:rStyle w:val="Hyperlink"/>
            <w:rFonts w:ascii="Times New Roman" w:eastAsia="Times New Roman" w:hAnsi="Times New Roman" w:cs="Times New Roman"/>
            <w:color w:val="auto"/>
            <w:sz w:val="24"/>
            <w:szCs w:val="24"/>
          </w:rPr>
          <w:t>https://www.hsbc.com/-/files/hsbc/news-and-insight/2018/pdfs/171103-esg-supplement.pdf</w:t>
        </w:r>
      </w:hyperlink>
    </w:p>
    <w:p w14:paraId="6A20B01C"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031112B8"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r w:rsidRPr="0097010B">
        <w:rPr>
          <w:rFonts w:ascii="Times New Roman" w:eastAsia="Times New Roman" w:hAnsi="Times New Roman" w:cs="Times New Roman"/>
          <w:sz w:val="24"/>
          <w:szCs w:val="24"/>
        </w:rPr>
        <w:t xml:space="preserve">Siemens. </w:t>
      </w:r>
      <w:r w:rsidRPr="0097010B">
        <w:rPr>
          <w:rFonts w:ascii="Times New Roman" w:eastAsia="Times New Roman" w:hAnsi="Times New Roman" w:cs="Times New Roman"/>
          <w:sz w:val="24"/>
          <w:szCs w:val="24"/>
          <w:lang w:val="en-CA"/>
        </w:rPr>
        <w:t xml:space="preserve">(2014). Siemens Business Responsibility Report. </w:t>
      </w:r>
      <w:hyperlink r:id="rId36" w:history="1">
        <w:r w:rsidRPr="0097010B">
          <w:rPr>
            <w:rStyle w:val="Hyperlink"/>
            <w:rFonts w:ascii="Times New Roman" w:eastAsia="Times New Roman" w:hAnsi="Times New Roman" w:cs="Times New Roman"/>
            <w:color w:val="auto"/>
            <w:sz w:val="24"/>
            <w:szCs w:val="24"/>
            <w:lang w:val="en-CA"/>
          </w:rPr>
          <w:t>https://assets.new.siemens.com/siemens/assets/api/uuid:66f06a16-6515-419b-89ba-08889498260c/siemens-sustainability-report-2014.pdf</w:t>
        </w:r>
      </w:hyperlink>
    </w:p>
    <w:p w14:paraId="4107C994" w14:textId="77777777" w:rsidR="0097010B" w:rsidRPr="0097010B" w:rsidRDefault="0097010B" w:rsidP="0097010B">
      <w:pPr>
        <w:spacing w:after="0" w:line="360" w:lineRule="auto"/>
        <w:rPr>
          <w:rFonts w:ascii="Times New Roman" w:eastAsia="Times New Roman" w:hAnsi="Times New Roman" w:cs="Times New Roman"/>
          <w:sz w:val="24"/>
          <w:szCs w:val="24"/>
          <w:lang w:val="en-CA"/>
        </w:rPr>
      </w:pPr>
    </w:p>
    <w:p w14:paraId="62CCF71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Intel. (2016). Intel CSR Report. </w:t>
      </w:r>
      <w:hyperlink r:id="rId37" w:history="1">
        <w:r w:rsidRPr="0097010B">
          <w:rPr>
            <w:rStyle w:val="Hyperlink"/>
            <w:rFonts w:ascii="Times New Roman" w:eastAsia="Times New Roman" w:hAnsi="Times New Roman" w:cs="Times New Roman"/>
            <w:color w:val="auto"/>
            <w:sz w:val="24"/>
            <w:szCs w:val="24"/>
          </w:rPr>
          <w:t>https://www.intel.com/content/dam/www/public/us/en/documents/corporate-responsibility/2016-corporate-responsibility-report.pdf</w:t>
        </w:r>
      </w:hyperlink>
    </w:p>
    <w:p w14:paraId="6C308419"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1C48A34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IBM. (2011).  IBM Corporate Responsibility Report. </w:t>
      </w:r>
      <w:hyperlink r:id="rId38" w:history="1">
        <w:r w:rsidRPr="0097010B">
          <w:rPr>
            <w:rStyle w:val="Hyperlink"/>
            <w:rFonts w:ascii="Times New Roman" w:eastAsia="Times New Roman" w:hAnsi="Times New Roman" w:cs="Times New Roman"/>
            <w:color w:val="auto"/>
            <w:sz w:val="24"/>
            <w:szCs w:val="24"/>
          </w:rPr>
          <w:t>https://www.ibm.com/ibm/responsibility/2011/pdf/IBM_2011_Corporate_Responsibility_Report.pdf</w:t>
        </w:r>
      </w:hyperlink>
    </w:p>
    <w:p w14:paraId="29ABA4F2"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38E3917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Johnson &amp; Johnson. (2015). J&amp;J Sustainability Report. </w:t>
      </w:r>
      <w:hyperlink r:id="rId39" w:history="1">
        <w:r w:rsidRPr="0097010B">
          <w:rPr>
            <w:rStyle w:val="Hyperlink"/>
            <w:rFonts w:ascii="Times New Roman" w:eastAsia="Times New Roman" w:hAnsi="Times New Roman" w:cs="Times New Roman"/>
            <w:color w:val="auto"/>
            <w:sz w:val="24"/>
            <w:szCs w:val="24"/>
          </w:rPr>
          <w:t>https://www.jnj.com/media-center/press-releases/johnson-johnson-launches-healthy-future-2015-its-citizenship-and-sustainability-goals</w:t>
        </w:r>
      </w:hyperlink>
    </w:p>
    <w:p w14:paraId="0D502287"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5649538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hAnsi="Times New Roman" w:cs="Times New Roman"/>
          <w:sz w:val="24"/>
          <w:szCs w:val="24"/>
        </w:rPr>
        <w:t xml:space="preserve">3M. (2014). 3M Sustainability Executive Summary Report. </w:t>
      </w:r>
      <w:hyperlink r:id="rId40" w:history="1">
        <w:r w:rsidRPr="0097010B">
          <w:rPr>
            <w:rStyle w:val="Hyperlink"/>
            <w:rFonts w:ascii="Times New Roman" w:eastAsia="Times New Roman" w:hAnsi="Times New Roman" w:cs="Times New Roman"/>
            <w:color w:val="auto"/>
            <w:sz w:val="24"/>
            <w:szCs w:val="24"/>
          </w:rPr>
          <w:t>https://multimedia.3m.com/mws/media/801452O/2012-sustainability-report.pdf</w:t>
        </w:r>
      </w:hyperlink>
    </w:p>
    <w:p w14:paraId="561674FA" w14:textId="77777777" w:rsidR="0097010B" w:rsidRPr="0097010B" w:rsidRDefault="0097010B" w:rsidP="0097010B">
      <w:pPr>
        <w:spacing w:after="0" w:line="360" w:lineRule="auto"/>
        <w:rPr>
          <w:rFonts w:ascii="Times New Roman" w:eastAsia="Times New Roman" w:hAnsi="Times New Roman" w:cs="Times New Roman"/>
          <w:sz w:val="24"/>
          <w:szCs w:val="24"/>
        </w:rPr>
      </w:pPr>
    </w:p>
    <w:p w14:paraId="36927C3A" w14:textId="77777777" w:rsidR="0097010B" w:rsidRPr="0097010B" w:rsidRDefault="0097010B" w:rsidP="0097010B">
      <w:pPr>
        <w:spacing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Toyota. (2015). Toyota North American Environmental Report. </w:t>
      </w:r>
      <w:hyperlink r:id="rId41" w:history="1">
        <w:r w:rsidRPr="0097010B">
          <w:rPr>
            <w:rStyle w:val="Hyperlink"/>
            <w:rFonts w:ascii="Times New Roman" w:eastAsia="Times New Roman" w:hAnsi="Times New Roman" w:cs="Times New Roman"/>
            <w:color w:val="auto"/>
            <w:sz w:val="24"/>
            <w:szCs w:val="24"/>
          </w:rPr>
          <w:t>https://www.toyota-global.com/sustainability/report/archive/sr15/pdf/sustainability_report15_full_en.pdf</w:t>
        </w:r>
      </w:hyperlink>
    </w:p>
    <w:p w14:paraId="2CB49C02" w14:textId="77777777" w:rsidR="0097010B" w:rsidRPr="0097010B" w:rsidRDefault="0097010B" w:rsidP="0097010B">
      <w:pPr>
        <w:spacing w:line="360" w:lineRule="auto"/>
        <w:rPr>
          <w:rFonts w:ascii="Times New Roman" w:eastAsiaTheme="majorEastAsia" w:hAnsi="Times New Roman" w:cs="Times New Roman"/>
          <w:b/>
          <w:bCs/>
          <w:sz w:val="24"/>
          <w:szCs w:val="24"/>
        </w:rPr>
      </w:pPr>
      <w:r w:rsidRPr="0097010B">
        <w:rPr>
          <w:rFonts w:ascii="Times New Roman" w:hAnsi="Times New Roman" w:cs="Times New Roman"/>
          <w:b/>
          <w:bCs/>
          <w:sz w:val="24"/>
          <w:szCs w:val="24"/>
        </w:rPr>
        <w:br w:type="page"/>
      </w:r>
    </w:p>
    <w:p w14:paraId="27D1B186" w14:textId="77777777" w:rsidR="0097010B" w:rsidRPr="0097010B" w:rsidRDefault="0097010B" w:rsidP="0097010B">
      <w:pPr>
        <w:pStyle w:val="Heading1"/>
        <w:spacing w:after="240" w:line="360" w:lineRule="auto"/>
        <w:rPr>
          <w:rFonts w:ascii="Times New Roman" w:eastAsiaTheme="minorEastAsia" w:hAnsi="Times New Roman" w:cs="Times New Roman"/>
          <w:b/>
          <w:bCs/>
          <w:color w:val="auto"/>
          <w:sz w:val="24"/>
          <w:szCs w:val="24"/>
        </w:rPr>
        <w:sectPr w:rsidR="0097010B" w:rsidRPr="0097010B" w:rsidSect="0097010B">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docGrid w:linePitch="360"/>
        </w:sectPr>
      </w:pPr>
    </w:p>
    <w:p w14:paraId="32942F62" w14:textId="77777777" w:rsidR="0097010B" w:rsidRPr="0097010B" w:rsidRDefault="0097010B" w:rsidP="0097010B">
      <w:pPr>
        <w:spacing w:line="360" w:lineRule="auto"/>
        <w:rPr>
          <w:rFonts w:ascii="Times New Roman" w:eastAsiaTheme="minorEastAsia" w:hAnsi="Times New Roman" w:cs="Times New Roman"/>
          <w:b/>
          <w:bCs/>
          <w:sz w:val="24"/>
          <w:szCs w:val="24"/>
        </w:rPr>
      </w:pPr>
      <w:r w:rsidRPr="0097010B">
        <w:rPr>
          <w:rFonts w:ascii="Times New Roman" w:eastAsiaTheme="minorEastAsia" w:hAnsi="Times New Roman" w:cs="Times New Roman"/>
          <w:b/>
          <w:bCs/>
          <w:sz w:val="24"/>
          <w:szCs w:val="24"/>
        </w:rPr>
        <w:t>Web Appendix B</w:t>
      </w:r>
    </w:p>
    <w:p w14:paraId="79EA83F0"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B1: Industry Breakup of Sample</w:t>
      </w:r>
    </w:p>
    <w:tbl>
      <w:tblPr>
        <w:tblW w:w="8065" w:type="dxa"/>
        <w:jc w:val="center"/>
        <w:tblLook w:val="04A0" w:firstRow="1" w:lastRow="0" w:firstColumn="1" w:lastColumn="0" w:noHBand="0" w:noVBand="1"/>
      </w:tblPr>
      <w:tblGrid>
        <w:gridCol w:w="1280"/>
        <w:gridCol w:w="5604"/>
        <w:gridCol w:w="1694"/>
      </w:tblGrid>
      <w:tr w:rsidR="0097010B" w:rsidRPr="0097010B" w14:paraId="6342CE2E" w14:textId="77777777" w:rsidTr="00340E24">
        <w:trPr>
          <w:trHeight w:val="288"/>
          <w:jc w:val="center"/>
        </w:trPr>
        <w:tc>
          <w:tcPr>
            <w:tcW w:w="1280" w:type="dxa"/>
            <w:tcBorders>
              <w:top w:val="single" w:sz="4" w:space="0" w:color="auto"/>
              <w:left w:val="nil"/>
              <w:bottom w:val="single" w:sz="4" w:space="0" w:color="auto"/>
              <w:right w:val="nil"/>
            </w:tcBorders>
            <w:noWrap/>
            <w:vAlign w:val="bottom"/>
            <w:hideMark/>
          </w:tcPr>
          <w:p w14:paraId="34D4770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SIC 4-Digit Codes</w:t>
            </w:r>
          </w:p>
        </w:tc>
        <w:tc>
          <w:tcPr>
            <w:tcW w:w="5604" w:type="dxa"/>
            <w:tcBorders>
              <w:top w:val="single" w:sz="4" w:space="0" w:color="auto"/>
              <w:left w:val="nil"/>
              <w:bottom w:val="single" w:sz="4" w:space="0" w:color="auto"/>
              <w:right w:val="nil"/>
            </w:tcBorders>
            <w:noWrap/>
            <w:vAlign w:val="bottom"/>
            <w:hideMark/>
          </w:tcPr>
          <w:p w14:paraId="55E68C6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Industry Name</w:t>
            </w:r>
          </w:p>
        </w:tc>
        <w:tc>
          <w:tcPr>
            <w:tcW w:w="1181" w:type="dxa"/>
            <w:tcBorders>
              <w:top w:val="single" w:sz="4" w:space="0" w:color="auto"/>
              <w:left w:val="nil"/>
              <w:bottom w:val="single" w:sz="4" w:space="0" w:color="auto"/>
              <w:right w:val="nil"/>
            </w:tcBorders>
            <w:noWrap/>
            <w:vAlign w:val="bottom"/>
            <w:hideMark/>
          </w:tcPr>
          <w:p w14:paraId="08A5FF6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Number of Observations</w:t>
            </w:r>
          </w:p>
        </w:tc>
      </w:tr>
      <w:tr w:rsidR="0097010B" w:rsidRPr="0097010B" w14:paraId="7D4AB7C0" w14:textId="77777777" w:rsidTr="00340E24">
        <w:trPr>
          <w:trHeight w:val="288"/>
          <w:jc w:val="center"/>
        </w:trPr>
        <w:tc>
          <w:tcPr>
            <w:tcW w:w="1280" w:type="dxa"/>
            <w:tcBorders>
              <w:top w:val="single" w:sz="4" w:space="0" w:color="auto"/>
              <w:left w:val="nil"/>
              <w:bottom w:val="nil"/>
              <w:right w:val="nil"/>
            </w:tcBorders>
            <w:noWrap/>
            <w:vAlign w:val="bottom"/>
            <w:hideMark/>
          </w:tcPr>
          <w:p w14:paraId="14EC9F6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2000</w:t>
            </w:r>
          </w:p>
        </w:tc>
        <w:tc>
          <w:tcPr>
            <w:tcW w:w="5604" w:type="dxa"/>
            <w:tcBorders>
              <w:top w:val="single" w:sz="4" w:space="0" w:color="auto"/>
              <w:left w:val="nil"/>
              <w:bottom w:val="nil"/>
              <w:right w:val="nil"/>
            </w:tcBorders>
            <w:noWrap/>
            <w:vAlign w:val="bottom"/>
            <w:hideMark/>
          </w:tcPr>
          <w:p w14:paraId="54AC842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Food and Kindred products</w:t>
            </w:r>
          </w:p>
        </w:tc>
        <w:tc>
          <w:tcPr>
            <w:tcW w:w="1181" w:type="dxa"/>
            <w:tcBorders>
              <w:top w:val="single" w:sz="4" w:space="0" w:color="auto"/>
              <w:left w:val="nil"/>
              <w:bottom w:val="nil"/>
              <w:right w:val="nil"/>
            </w:tcBorders>
            <w:noWrap/>
            <w:vAlign w:val="bottom"/>
            <w:hideMark/>
          </w:tcPr>
          <w:p w14:paraId="795642B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22</w:t>
            </w:r>
          </w:p>
        </w:tc>
      </w:tr>
      <w:tr w:rsidR="0097010B" w:rsidRPr="0097010B" w14:paraId="64238BEA" w14:textId="77777777" w:rsidTr="00340E24">
        <w:trPr>
          <w:trHeight w:val="288"/>
          <w:jc w:val="center"/>
        </w:trPr>
        <w:tc>
          <w:tcPr>
            <w:tcW w:w="1280" w:type="dxa"/>
            <w:tcBorders>
              <w:top w:val="nil"/>
              <w:left w:val="nil"/>
              <w:bottom w:val="nil"/>
              <w:right w:val="nil"/>
            </w:tcBorders>
            <w:noWrap/>
            <w:vAlign w:val="bottom"/>
            <w:hideMark/>
          </w:tcPr>
          <w:p w14:paraId="36784D6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2011</w:t>
            </w:r>
          </w:p>
        </w:tc>
        <w:tc>
          <w:tcPr>
            <w:tcW w:w="5604" w:type="dxa"/>
            <w:tcBorders>
              <w:top w:val="nil"/>
              <w:left w:val="nil"/>
              <w:bottom w:val="nil"/>
              <w:right w:val="nil"/>
            </w:tcBorders>
            <w:noWrap/>
            <w:vAlign w:val="bottom"/>
            <w:hideMark/>
          </w:tcPr>
          <w:p w14:paraId="403DCCE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Meat packaging plants</w:t>
            </w:r>
          </w:p>
        </w:tc>
        <w:tc>
          <w:tcPr>
            <w:tcW w:w="1181" w:type="dxa"/>
            <w:tcBorders>
              <w:top w:val="nil"/>
              <w:left w:val="nil"/>
              <w:bottom w:val="nil"/>
              <w:right w:val="nil"/>
            </w:tcBorders>
            <w:noWrap/>
            <w:vAlign w:val="bottom"/>
            <w:hideMark/>
          </w:tcPr>
          <w:p w14:paraId="1DEB3A2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30</w:t>
            </w:r>
          </w:p>
        </w:tc>
      </w:tr>
      <w:tr w:rsidR="0097010B" w:rsidRPr="0097010B" w14:paraId="2317AED0" w14:textId="77777777" w:rsidTr="00340E24">
        <w:trPr>
          <w:trHeight w:val="288"/>
          <w:jc w:val="center"/>
        </w:trPr>
        <w:tc>
          <w:tcPr>
            <w:tcW w:w="1280" w:type="dxa"/>
            <w:tcBorders>
              <w:top w:val="nil"/>
              <w:left w:val="nil"/>
              <w:bottom w:val="nil"/>
              <w:right w:val="nil"/>
            </w:tcBorders>
            <w:noWrap/>
            <w:vAlign w:val="bottom"/>
            <w:hideMark/>
          </w:tcPr>
          <w:p w14:paraId="42BB795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2030</w:t>
            </w:r>
          </w:p>
        </w:tc>
        <w:tc>
          <w:tcPr>
            <w:tcW w:w="5604" w:type="dxa"/>
            <w:tcBorders>
              <w:top w:val="nil"/>
              <w:left w:val="nil"/>
              <w:bottom w:val="nil"/>
              <w:right w:val="nil"/>
            </w:tcBorders>
            <w:noWrap/>
            <w:vAlign w:val="bottom"/>
            <w:hideMark/>
          </w:tcPr>
          <w:p w14:paraId="2D2B80B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Canned, Frozen &amp; Preserved Fruit, Veg &amp; Food Specialties</w:t>
            </w:r>
          </w:p>
        </w:tc>
        <w:tc>
          <w:tcPr>
            <w:tcW w:w="1181" w:type="dxa"/>
            <w:tcBorders>
              <w:top w:val="nil"/>
              <w:left w:val="nil"/>
              <w:bottom w:val="nil"/>
              <w:right w:val="nil"/>
            </w:tcBorders>
            <w:noWrap/>
            <w:vAlign w:val="bottom"/>
            <w:hideMark/>
          </w:tcPr>
          <w:p w14:paraId="78F67C9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19</w:t>
            </w:r>
          </w:p>
        </w:tc>
      </w:tr>
      <w:tr w:rsidR="0097010B" w:rsidRPr="0097010B" w14:paraId="0B72F67F" w14:textId="77777777" w:rsidTr="00340E24">
        <w:trPr>
          <w:trHeight w:val="288"/>
          <w:jc w:val="center"/>
        </w:trPr>
        <w:tc>
          <w:tcPr>
            <w:tcW w:w="1280" w:type="dxa"/>
            <w:tcBorders>
              <w:top w:val="nil"/>
              <w:left w:val="nil"/>
              <w:bottom w:val="nil"/>
              <w:right w:val="nil"/>
            </w:tcBorders>
            <w:noWrap/>
            <w:vAlign w:val="bottom"/>
            <w:hideMark/>
          </w:tcPr>
          <w:p w14:paraId="5E9A2D5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2033</w:t>
            </w:r>
          </w:p>
        </w:tc>
        <w:tc>
          <w:tcPr>
            <w:tcW w:w="5604" w:type="dxa"/>
            <w:tcBorders>
              <w:top w:val="nil"/>
              <w:left w:val="nil"/>
              <w:bottom w:val="nil"/>
              <w:right w:val="nil"/>
            </w:tcBorders>
            <w:noWrap/>
            <w:vAlign w:val="bottom"/>
            <w:hideMark/>
          </w:tcPr>
          <w:p w14:paraId="5BC9486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Canned, Fruits, Veg, Preserves, Jams &amp; Jellies</w:t>
            </w:r>
          </w:p>
        </w:tc>
        <w:tc>
          <w:tcPr>
            <w:tcW w:w="1181" w:type="dxa"/>
            <w:tcBorders>
              <w:top w:val="nil"/>
              <w:left w:val="nil"/>
              <w:bottom w:val="nil"/>
              <w:right w:val="nil"/>
            </w:tcBorders>
            <w:noWrap/>
            <w:vAlign w:val="bottom"/>
            <w:hideMark/>
          </w:tcPr>
          <w:p w14:paraId="53EB784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16</w:t>
            </w:r>
          </w:p>
        </w:tc>
      </w:tr>
      <w:tr w:rsidR="0097010B" w:rsidRPr="0097010B" w14:paraId="47E8D850" w14:textId="77777777" w:rsidTr="00340E24">
        <w:trPr>
          <w:trHeight w:val="288"/>
          <w:jc w:val="center"/>
        </w:trPr>
        <w:tc>
          <w:tcPr>
            <w:tcW w:w="1280" w:type="dxa"/>
            <w:tcBorders>
              <w:top w:val="nil"/>
              <w:left w:val="nil"/>
              <w:bottom w:val="nil"/>
              <w:right w:val="nil"/>
            </w:tcBorders>
            <w:noWrap/>
            <w:vAlign w:val="bottom"/>
            <w:hideMark/>
          </w:tcPr>
          <w:p w14:paraId="5467156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2040</w:t>
            </w:r>
          </w:p>
        </w:tc>
        <w:tc>
          <w:tcPr>
            <w:tcW w:w="5604" w:type="dxa"/>
            <w:tcBorders>
              <w:top w:val="nil"/>
              <w:left w:val="nil"/>
              <w:bottom w:val="nil"/>
              <w:right w:val="nil"/>
            </w:tcBorders>
            <w:noWrap/>
            <w:vAlign w:val="bottom"/>
            <w:hideMark/>
          </w:tcPr>
          <w:p w14:paraId="11AD74F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Grain Mill Products</w:t>
            </w:r>
          </w:p>
        </w:tc>
        <w:tc>
          <w:tcPr>
            <w:tcW w:w="1181" w:type="dxa"/>
            <w:tcBorders>
              <w:top w:val="nil"/>
              <w:left w:val="nil"/>
              <w:bottom w:val="nil"/>
              <w:right w:val="nil"/>
            </w:tcBorders>
            <w:noWrap/>
            <w:vAlign w:val="bottom"/>
            <w:hideMark/>
          </w:tcPr>
          <w:p w14:paraId="466C684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30</w:t>
            </w:r>
          </w:p>
        </w:tc>
      </w:tr>
      <w:tr w:rsidR="0097010B" w:rsidRPr="0097010B" w14:paraId="1F5EE698" w14:textId="77777777" w:rsidTr="00340E24">
        <w:trPr>
          <w:trHeight w:val="288"/>
          <w:jc w:val="center"/>
        </w:trPr>
        <w:tc>
          <w:tcPr>
            <w:tcW w:w="1280" w:type="dxa"/>
            <w:tcBorders>
              <w:top w:val="nil"/>
              <w:left w:val="nil"/>
              <w:bottom w:val="nil"/>
              <w:right w:val="nil"/>
            </w:tcBorders>
            <w:noWrap/>
            <w:vAlign w:val="bottom"/>
            <w:hideMark/>
          </w:tcPr>
          <w:p w14:paraId="4ABF463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2050</w:t>
            </w:r>
          </w:p>
        </w:tc>
        <w:tc>
          <w:tcPr>
            <w:tcW w:w="5604" w:type="dxa"/>
            <w:tcBorders>
              <w:top w:val="nil"/>
              <w:left w:val="nil"/>
              <w:bottom w:val="nil"/>
              <w:right w:val="nil"/>
            </w:tcBorders>
            <w:noWrap/>
            <w:vAlign w:val="bottom"/>
            <w:hideMark/>
          </w:tcPr>
          <w:p w14:paraId="26F55498" w14:textId="77777777" w:rsidR="0097010B" w:rsidRPr="0097010B" w:rsidRDefault="0097010B" w:rsidP="0097010B">
            <w:pPr>
              <w:spacing w:after="0" w:line="360" w:lineRule="auto"/>
              <w:rPr>
                <w:rFonts w:ascii="Times New Roman" w:eastAsia="Times New Roman" w:hAnsi="Times New Roman" w:cs="Times New Roman"/>
                <w:sz w:val="24"/>
                <w:szCs w:val="24"/>
              </w:rPr>
            </w:pPr>
            <w:hyperlink r:id="rId48" w:tooltip="Bakery" w:history="1">
              <w:r w:rsidRPr="0097010B">
                <w:rPr>
                  <w:rFonts w:ascii="Times New Roman" w:eastAsia="Times New Roman" w:hAnsi="Times New Roman" w:cs="Times New Roman"/>
                  <w:sz w:val="24"/>
                  <w:szCs w:val="24"/>
                </w:rPr>
                <w:t>Bakery Products</w:t>
              </w:r>
            </w:hyperlink>
          </w:p>
        </w:tc>
        <w:tc>
          <w:tcPr>
            <w:tcW w:w="1181" w:type="dxa"/>
            <w:tcBorders>
              <w:top w:val="nil"/>
              <w:left w:val="nil"/>
              <w:bottom w:val="nil"/>
              <w:right w:val="nil"/>
            </w:tcBorders>
            <w:noWrap/>
            <w:vAlign w:val="bottom"/>
            <w:hideMark/>
          </w:tcPr>
          <w:p w14:paraId="2CBB0FE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w:t>
            </w:r>
          </w:p>
        </w:tc>
      </w:tr>
      <w:tr w:rsidR="0097010B" w:rsidRPr="0097010B" w14:paraId="74609446" w14:textId="77777777" w:rsidTr="00340E24">
        <w:trPr>
          <w:trHeight w:val="288"/>
          <w:jc w:val="center"/>
        </w:trPr>
        <w:tc>
          <w:tcPr>
            <w:tcW w:w="1280" w:type="dxa"/>
            <w:tcBorders>
              <w:top w:val="nil"/>
              <w:left w:val="nil"/>
              <w:bottom w:val="nil"/>
              <w:right w:val="nil"/>
            </w:tcBorders>
            <w:noWrap/>
            <w:vAlign w:val="bottom"/>
            <w:hideMark/>
          </w:tcPr>
          <w:p w14:paraId="16C1137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2082</w:t>
            </w:r>
          </w:p>
        </w:tc>
        <w:tc>
          <w:tcPr>
            <w:tcW w:w="5604" w:type="dxa"/>
            <w:tcBorders>
              <w:top w:val="nil"/>
              <w:left w:val="nil"/>
              <w:bottom w:val="nil"/>
              <w:right w:val="nil"/>
            </w:tcBorders>
            <w:noWrap/>
            <w:vAlign w:val="bottom"/>
            <w:hideMark/>
          </w:tcPr>
          <w:p w14:paraId="081553B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Malt Beverages</w:t>
            </w:r>
          </w:p>
        </w:tc>
        <w:tc>
          <w:tcPr>
            <w:tcW w:w="1181" w:type="dxa"/>
            <w:tcBorders>
              <w:top w:val="nil"/>
              <w:left w:val="nil"/>
              <w:bottom w:val="nil"/>
              <w:right w:val="nil"/>
            </w:tcBorders>
            <w:noWrap/>
            <w:vAlign w:val="bottom"/>
            <w:hideMark/>
          </w:tcPr>
          <w:p w14:paraId="35395AE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w:t>
            </w:r>
          </w:p>
        </w:tc>
      </w:tr>
      <w:tr w:rsidR="0097010B" w:rsidRPr="0097010B" w14:paraId="4B8C80D3" w14:textId="77777777" w:rsidTr="00340E24">
        <w:trPr>
          <w:trHeight w:val="288"/>
          <w:jc w:val="center"/>
        </w:trPr>
        <w:tc>
          <w:tcPr>
            <w:tcW w:w="1280" w:type="dxa"/>
            <w:tcBorders>
              <w:top w:val="nil"/>
              <w:left w:val="nil"/>
              <w:bottom w:val="nil"/>
              <w:right w:val="nil"/>
            </w:tcBorders>
            <w:noWrap/>
            <w:vAlign w:val="bottom"/>
            <w:hideMark/>
          </w:tcPr>
          <w:p w14:paraId="38252B2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2086</w:t>
            </w:r>
          </w:p>
        </w:tc>
        <w:tc>
          <w:tcPr>
            <w:tcW w:w="5604" w:type="dxa"/>
            <w:tcBorders>
              <w:top w:val="nil"/>
              <w:left w:val="nil"/>
              <w:bottom w:val="nil"/>
              <w:right w:val="nil"/>
            </w:tcBorders>
            <w:noWrap/>
            <w:vAlign w:val="bottom"/>
            <w:hideMark/>
          </w:tcPr>
          <w:p w14:paraId="04F55C6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Bottled &amp; Canned Soft Drinks &amp; Carbonated Waters</w:t>
            </w:r>
          </w:p>
        </w:tc>
        <w:tc>
          <w:tcPr>
            <w:tcW w:w="1181" w:type="dxa"/>
            <w:tcBorders>
              <w:top w:val="nil"/>
              <w:left w:val="nil"/>
              <w:bottom w:val="nil"/>
              <w:right w:val="nil"/>
            </w:tcBorders>
            <w:noWrap/>
            <w:vAlign w:val="bottom"/>
            <w:hideMark/>
          </w:tcPr>
          <w:p w14:paraId="53E677B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w:t>
            </w:r>
          </w:p>
        </w:tc>
      </w:tr>
      <w:tr w:rsidR="0097010B" w:rsidRPr="0097010B" w14:paraId="3BF5A8EB" w14:textId="77777777" w:rsidTr="00340E24">
        <w:trPr>
          <w:trHeight w:val="288"/>
          <w:jc w:val="center"/>
        </w:trPr>
        <w:tc>
          <w:tcPr>
            <w:tcW w:w="1280" w:type="dxa"/>
            <w:tcBorders>
              <w:top w:val="nil"/>
              <w:left w:val="nil"/>
              <w:bottom w:val="nil"/>
              <w:right w:val="nil"/>
            </w:tcBorders>
            <w:noWrap/>
            <w:vAlign w:val="bottom"/>
            <w:hideMark/>
          </w:tcPr>
          <w:p w14:paraId="6836FF7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2090</w:t>
            </w:r>
          </w:p>
        </w:tc>
        <w:tc>
          <w:tcPr>
            <w:tcW w:w="5604" w:type="dxa"/>
            <w:tcBorders>
              <w:top w:val="nil"/>
              <w:left w:val="nil"/>
              <w:bottom w:val="nil"/>
              <w:right w:val="nil"/>
            </w:tcBorders>
            <w:noWrap/>
            <w:vAlign w:val="bottom"/>
            <w:hideMark/>
          </w:tcPr>
          <w:p w14:paraId="20F31F6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Miscellaneous Food Preparations &amp; Kindred Products</w:t>
            </w:r>
          </w:p>
        </w:tc>
        <w:tc>
          <w:tcPr>
            <w:tcW w:w="1181" w:type="dxa"/>
            <w:tcBorders>
              <w:top w:val="nil"/>
              <w:left w:val="nil"/>
              <w:bottom w:val="nil"/>
              <w:right w:val="nil"/>
            </w:tcBorders>
            <w:noWrap/>
            <w:vAlign w:val="bottom"/>
            <w:hideMark/>
          </w:tcPr>
          <w:p w14:paraId="2A0925A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w:t>
            </w:r>
          </w:p>
        </w:tc>
      </w:tr>
      <w:tr w:rsidR="0097010B" w:rsidRPr="0097010B" w14:paraId="0ED34398" w14:textId="77777777" w:rsidTr="00340E24">
        <w:trPr>
          <w:trHeight w:val="288"/>
          <w:jc w:val="center"/>
        </w:trPr>
        <w:tc>
          <w:tcPr>
            <w:tcW w:w="1280" w:type="dxa"/>
            <w:tcBorders>
              <w:top w:val="nil"/>
              <w:left w:val="nil"/>
              <w:bottom w:val="nil"/>
              <w:right w:val="nil"/>
            </w:tcBorders>
            <w:noWrap/>
            <w:vAlign w:val="bottom"/>
            <w:hideMark/>
          </w:tcPr>
          <w:p w14:paraId="5A5E1CE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2111</w:t>
            </w:r>
          </w:p>
        </w:tc>
        <w:tc>
          <w:tcPr>
            <w:tcW w:w="5604" w:type="dxa"/>
            <w:tcBorders>
              <w:top w:val="nil"/>
              <w:left w:val="nil"/>
              <w:bottom w:val="nil"/>
              <w:right w:val="nil"/>
            </w:tcBorders>
            <w:noWrap/>
            <w:vAlign w:val="bottom"/>
            <w:hideMark/>
          </w:tcPr>
          <w:p w14:paraId="6786D7F3" w14:textId="77777777" w:rsidR="0097010B" w:rsidRPr="0097010B" w:rsidRDefault="0097010B" w:rsidP="0097010B">
            <w:pPr>
              <w:spacing w:after="0" w:line="360" w:lineRule="auto"/>
              <w:rPr>
                <w:rFonts w:ascii="Times New Roman" w:eastAsia="Times New Roman" w:hAnsi="Times New Roman" w:cs="Times New Roman"/>
                <w:sz w:val="24"/>
                <w:szCs w:val="24"/>
              </w:rPr>
            </w:pPr>
            <w:hyperlink r:id="rId49" w:tooltip="Cigarettes" w:history="1">
              <w:r w:rsidRPr="0097010B">
                <w:rPr>
                  <w:rFonts w:ascii="Times New Roman" w:eastAsia="Times New Roman" w:hAnsi="Times New Roman" w:cs="Times New Roman"/>
                  <w:sz w:val="24"/>
                  <w:szCs w:val="24"/>
                </w:rPr>
                <w:t>Cigarettes</w:t>
              </w:r>
            </w:hyperlink>
          </w:p>
        </w:tc>
        <w:tc>
          <w:tcPr>
            <w:tcW w:w="1181" w:type="dxa"/>
            <w:tcBorders>
              <w:top w:val="nil"/>
              <w:left w:val="nil"/>
              <w:bottom w:val="nil"/>
              <w:right w:val="nil"/>
            </w:tcBorders>
            <w:noWrap/>
            <w:vAlign w:val="bottom"/>
            <w:hideMark/>
          </w:tcPr>
          <w:p w14:paraId="3B177AE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27</w:t>
            </w:r>
          </w:p>
        </w:tc>
      </w:tr>
      <w:tr w:rsidR="0097010B" w:rsidRPr="0097010B" w14:paraId="6C700211" w14:textId="77777777" w:rsidTr="00340E24">
        <w:trPr>
          <w:trHeight w:val="288"/>
          <w:jc w:val="center"/>
        </w:trPr>
        <w:tc>
          <w:tcPr>
            <w:tcW w:w="1280" w:type="dxa"/>
            <w:tcBorders>
              <w:top w:val="nil"/>
              <w:left w:val="nil"/>
              <w:bottom w:val="nil"/>
              <w:right w:val="nil"/>
            </w:tcBorders>
            <w:noWrap/>
            <w:vAlign w:val="bottom"/>
            <w:hideMark/>
          </w:tcPr>
          <w:p w14:paraId="59D4D6D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2621</w:t>
            </w:r>
          </w:p>
        </w:tc>
        <w:tc>
          <w:tcPr>
            <w:tcW w:w="5604" w:type="dxa"/>
            <w:tcBorders>
              <w:top w:val="nil"/>
              <w:left w:val="nil"/>
              <w:bottom w:val="nil"/>
              <w:right w:val="nil"/>
            </w:tcBorders>
            <w:noWrap/>
            <w:vAlign w:val="bottom"/>
            <w:hideMark/>
          </w:tcPr>
          <w:p w14:paraId="5543C26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Paper Mills</w:t>
            </w:r>
          </w:p>
        </w:tc>
        <w:tc>
          <w:tcPr>
            <w:tcW w:w="1181" w:type="dxa"/>
            <w:tcBorders>
              <w:top w:val="nil"/>
              <w:left w:val="nil"/>
              <w:bottom w:val="nil"/>
              <w:right w:val="nil"/>
            </w:tcBorders>
            <w:noWrap/>
            <w:vAlign w:val="bottom"/>
            <w:hideMark/>
          </w:tcPr>
          <w:p w14:paraId="2386261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w:t>
            </w:r>
          </w:p>
        </w:tc>
      </w:tr>
      <w:tr w:rsidR="0097010B" w:rsidRPr="0097010B" w14:paraId="7B54EAB3" w14:textId="77777777" w:rsidTr="00340E24">
        <w:trPr>
          <w:trHeight w:val="288"/>
          <w:jc w:val="center"/>
        </w:trPr>
        <w:tc>
          <w:tcPr>
            <w:tcW w:w="1280" w:type="dxa"/>
            <w:tcBorders>
              <w:top w:val="nil"/>
              <w:left w:val="nil"/>
              <w:bottom w:val="nil"/>
              <w:right w:val="nil"/>
            </w:tcBorders>
            <w:noWrap/>
            <w:vAlign w:val="bottom"/>
            <w:hideMark/>
          </w:tcPr>
          <w:p w14:paraId="200C2B7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2670</w:t>
            </w:r>
          </w:p>
        </w:tc>
        <w:tc>
          <w:tcPr>
            <w:tcW w:w="5604" w:type="dxa"/>
            <w:tcBorders>
              <w:top w:val="nil"/>
              <w:left w:val="nil"/>
              <w:bottom w:val="nil"/>
              <w:right w:val="nil"/>
            </w:tcBorders>
            <w:noWrap/>
            <w:vAlign w:val="bottom"/>
            <w:hideMark/>
          </w:tcPr>
          <w:p w14:paraId="0DECD75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Converted Paper &amp; Paperboard Prods (No Containers/Boxes)</w:t>
            </w:r>
          </w:p>
        </w:tc>
        <w:tc>
          <w:tcPr>
            <w:tcW w:w="1181" w:type="dxa"/>
            <w:tcBorders>
              <w:top w:val="nil"/>
              <w:left w:val="nil"/>
              <w:bottom w:val="nil"/>
              <w:right w:val="nil"/>
            </w:tcBorders>
            <w:noWrap/>
            <w:vAlign w:val="bottom"/>
            <w:hideMark/>
          </w:tcPr>
          <w:p w14:paraId="520DED4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11</w:t>
            </w:r>
          </w:p>
        </w:tc>
      </w:tr>
      <w:tr w:rsidR="0097010B" w:rsidRPr="0097010B" w14:paraId="3B2E631F" w14:textId="77777777" w:rsidTr="00340E24">
        <w:trPr>
          <w:trHeight w:val="288"/>
          <w:jc w:val="center"/>
        </w:trPr>
        <w:tc>
          <w:tcPr>
            <w:tcW w:w="1280" w:type="dxa"/>
            <w:tcBorders>
              <w:top w:val="nil"/>
              <w:left w:val="nil"/>
              <w:bottom w:val="nil"/>
              <w:right w:val="nil"/>
            </w:tcBorders>
            <w:noWrap/>
            <w:vAlign w:val="bottom"/>
            <w:hideMark/>
          </w:tcPr>
          <w:p w14:paraId="03BCC56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2834</w:t>
            </w:r>
          </w:p>
        </w:tc>
        <w:tc>
          <w:tcPr>
            <w:tcW w:w="5604" w:type="dxa"/>
            <w:tcBorders>
              <w:top w:val="nil"/>
              <w:left w:val="nil"/>
              <w:bottom w:val="nil"/>
              <w:right w:val="nil"/>
            </w:tcBorders>
            <w:noWrap/>
            <w:vAlign w:val="bottom"/>
            <w:hideMark/>
          </w:tcPr>
          <w:p w14:paraId="7BEE856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Pharmaceutical Preparations</w:t>
            </w:r>
          </w:p>
        </w:tc>
        <w:tc>
          <w:tcPr>
            <w:tcW w:w="1181" w:type="dxa"/>
            <w:tcBorders>
              <w:top w:val="nil"/>
              <w:left w:val="nil"/>
              <w:bottom w:val="nil"/>
              <w:right w:val="nil"/>
            </w:tcBorders>
            <w:noWrap/>
            <w:vAlign w:val="bottom"/>
            <w:hideMark/>
          </w:tcPr>
          <w:p w14:paraId="0880404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76</w:t>
            </w:r>
          </w:p>
        </w:tc>
      </w:tr>
      <w:tr w:rsidR="0097010B" w:rsidRPr="0097010B" w14:paraId="2E13E815" w14:textId="77777777" w:rsidTr="00340E24">
        <w:trPr>
          <w:trHeight w:val="288"/>
          <w:jc w:val="center"/>
        </w:trPr>
        <w:tc>
          <w:tcPr>
            <w:tcW w:w="1280" w:type="dxa"/>
            <w:tcBorders>
              <w:top w:val="nil"/>
              <w:left w:val="nil"/>
              <w:bottom w:val="nil"/>
              <w:right w:val="nil"/>
            </w:tcBorders>
            <w:noWrap/>
            <w:vAlign w:val="bottom"/>
            <w:hideMark/>
          </w:tcPr>
          <w:p w14:paraId="7D9D5DB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2836</w:t>
            </w:r>
          </w:p>
        </w:tc>
        <w:tc>
          <w:tcPr>
            <w:tcW w:w="5604" w:type="dxa"/>
            <w:tcBorders>
              <w:top w:val="nil"/>
              <w:left w:val="nil"/>
              <w:bottom w:val="nil"/>
              <w:right w:val="nil"/>
            </w:tcBorders>
            <w:noWrap/>
            <w:vAlign w:val="bottom"/>
            <w:hideMark/>
          </w:tcPr>
          <w:p w14:paraId="19225F2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Biological products</w:t>
            </w:r>
          </w:p>
        </w:tc>
        <w:tc>
          <w:tcPr>
            <w:tcW w:w="1181" w:type="dxa"/>
            <w:tcBorders>
              <w:top w:val="nil"/>
              <w:left w:val="nil"/>
              <w:bottom w:val="nil"/>
              <w:right w:val="nil"/>
            </w:tcBorders>
            <w:noWrap/>
            <w:vAlign w:val="bottom"/>
            <w:hideMark/>
          </w:tcPr>
          <w:p w14:paraId="56A90AE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w:t>
            </w:r>
          </w:p>
        </w:tc>
      </w:tr>
      <w:tr w:rsidR="0097010B" w:rsidRPr="0097010B" w14:paraId="73CC9E6F" w14:textId="77777777" w:rsidTr="00340E24">
        <w:trPr>
          <w:trHeight w:val="288"/>
          <w:jc w:val="center"/>
        </w:trPr>
        <w:tc>
          <w:tcPr>
            <w:tcW w:w="1280" w:type="dxa"/>
            <w:tcBorders>
              <w:top w:val="nil"/>
              <w:left w:val="nil"/>
              <w:bottom w:val="nil"/>
              <w:right w:val="nil"/>
            </w:tcBorders>
            <w:noWrap/>
            <w:vAlign w:val="bottom"/>
            <w:hideMark/>
          </w:tcPr>
          <w:p w14:paraId="4CBB2EE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2840</w:t>
            </w:r>
          </w:p>
        </w:tc>
        <w:tc>
          <w:tcPr>
            <w:tcW w:w="5604" w:type="dxa"/>
            <w:tcBorders>
              <w:top w:val="nil"/>
              <w:left w:val="nil"/>
              <w:bottom w:val="nil"/>
              <w:right w:val="nil"/>
            </w:tcBorders>
            <w:noWrap/>
            <w:vAlign w:val="bottom"/>
            <w:hideMark/>
          </w:tcPr>
          <w:p w14:paraId="4402C2A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Soap, Detergents, Cleaning Preparations, Perfumes, Cosmetics</w:t>
            </w:r>
          </w:p>
        </w:tc>
        <w:tc>
          <w:tcPr>
            <w:tcW w:w="1181" w:type="dxa"/>
            <w:tcBorders>
              <w:top w:val="nil"/>
              <w:left w:val="nil"/>
              <w:bottom w:val="nil"/>
              <w:right w:val="nil"/>
            </w:tcBorders>
            <w:noWrap/>
            <w:vAlign w:val="bottom"/>
            <w:hideMark/>
          </w:tcPr>
          <w:p w14:paraId="38F395F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30</w:t>
            </w:r>
          </w:p>
        </w:tc>
      </w:tr>
      <w:tr w:rsidR="0097010B" w:rsidRPr="0097010B" w14:paraId="268BED5D" w14:textId="77777777" w:rsidTr="00340E24">
        <w:trPr>
          <w:trHeight w:val="288"/>
          <w:jc w:val="center"/>
        </w:trPr>
        <w:tc>
          <w:tcPr>
            <w:tcW w:w="1280" w:type="dxa"/>
            <w:tcBorders>
              <w:top w:val="nil"/>
              <w:left w:val="nil"/>
              <w:bottom w:val="nil"/>
              <w:right w:val="nil"/>
            </w:tcBorders>
            <w:noWrap/>
            <w:vAlign w:val="bottom"/>
            <w:hideMark/>
          </w:tcPr>
          <w:p w14:paraId="0BE6FEA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2842</w:t>
            </w:r>
          </w:p>
        </w:tc>
        <w:tc>
          <w:tcPr>
            <w:tcW w:w="5604" w:type="dxa"/>
            <w:tcBorders>
              <w:top w:val="nil"/>
              <w:left w:val="nil"/>
              <w:bottom w:val="nil"/>
              <w:right w:val="nil"/>
            </w:tcBorders>
            <w:noWrap/>
            <w:vAlign w:val="bottom"/>
            <w:hideMark/>
          </w:tcPr>
          <w:p w14:paraId="37C385D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Specialty Cleaning, Polishing and Sanitation Preparations</w:t>
            </w:r>
          </w:p>
        </w:tc>
        <w:tc>
          <w:tcPr>
            <w:tcW w:w="1181" w:type="dxa"/>
            <w:tcBorders>
              <w:top w:val="nil"/>
              <w:left w:val="nil"/>
              <w:bottom w:val="nil"/>
              <w:right w:val="nil"/>
            </w:tcBorders>
            <w:noWrap/>
            <w:vAlign w:val="bottom"/>
            <w:hideMark/>
          </w:tcPr>
          <w:p w14:paraId="62F3302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w:t>
            </w:r>
          </w:p>
        </w:tc>
      </w:tr>
      <w:tr w:rsidR="0097010B" w:rsidRPr="0097010B" w14:paraId="49051FC9" w14:textId="77777777" w:rsidTr="00340E24">
        <w:trPr>
          <w:trHeight w:val="288"/>
          <w:jc w:val="center"/>
        </w:trPr>
        <w:tc>
          <w:tcPr>
            <w:tcW w:w="1280" w:type="dxa"/>
            <w:tcBorders>
              <w:top w:val="nil"/>
              <w:left w:val="nil"/>
              <w:bottom w:val="nil"/>
              <w:right w:val="nil"/>
            </w:tcBorders>
            <w:noWrap/>
            <w:vAlign w:val="bottom"/>
            <w:hideMark/>
          </w:tcPr>
          <w:p w14:paraId="611DD96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2844</w:t>
            </w:r>
          </w:p>
        </w:tc>
        <w:tc>
          <w:tcPr>
            <w:tcW w:w="5604" w:type="dxa"/>
            <w:tcBorders>
              <w:top w:val="nil"/>
              <w:left w:val="nil"/>
              <w:bottom w:val="nil"/>
              <w:right w:val="nil"/>
            </w:tcBorders>
            <w:noWrap/>
            <w:vAlign w:val="bottom"/>
            <w:hideMark/>
          </w:tcPr>
          <w:p w14:paraId="512A55B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Perfumes, Cosmetics &amp; Other Toilet Preparations</w:t>
            </w:r>
          </w:p>
        </w:tc>
        <w:tc>
          <w:tcPr>
            <w:tcW w:w="1181" w:type="dxa"/>
            <w:tcBorders>
              <w:top w:val="nil"/>
              <w:left w:val="nil"/>
              <w:bottom w:val="nil"/>
              <w:right w:val="nil"/>
            </w:tcBorders>
            <w:noWrap/>
            <w:vAlign w:val="bottom"/>
            <w:hideMark/>
          </w:tcPr>
          <w:p w14:paraId="6026BBF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w:t>
            </w:r>
          </w:p>
        </w:tc>
      </w:tr>
      <w:tr w:rsidR="0097010B" w:rsidRPr="0097010B" w14:paraId="69CB0EFD" w14:textId="77777777" w:rsidTr="00340E24">
        <w:trPr>
          <w:trHeight w:val="288"/>
          <w:jc w:val="center"/>
        </w:trPr>
        <w:tc>
          <w:tcPr>
            <w:tcW w:w="1280" w:type="dxa"/>
            <w:tcBorders>
              <w:top w:val="nil"/>
              <w:left w:val="nil"/>
              <w:bottom w:val="nil"/>
              <w:right w:val="nil"/>
            </w:tcBorders>
            <w:noWrap/>
            <w:vAlign w:val="bottom"/>
            <w:hideMark/>
          </w:tcPr>
          <w:p w14:paraId="64A138E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2911</w:t>
            </w:r>
          </w:p>
        </w:tc>
        <w:tc>
          <w:tcPr>
            <w:tcW w:w="5604" w:type="dxa"/>
            <w:tcBorders>
              <w:top w:val="nil"/>
              <w:left w:val="nil"/>
              <w:bottom w:val="nil"/>
              <w:right w:val="nil"/>
            </w:tcBorders>
            <w:noWrap/>
            <w:vAlign w:val="bottom"/>
            <w:hideMark/>
          </w:tcPr>
          <w:p w14:paraId="18121DA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Petroleum Refining</w:t>
            </w:r>
          </w:p>
        </w:tc>
        <w:tc>
          <w:tcPr>
            <w:tcW w:w="1181" w:type="dxa"/>
            <w:tcBorders>
              <w:top w:val="nil"/>
              <w:left w:val="nil"/>
              <w:bottom w:val="nil"/>
              <w:right w:val="nil"/>
            </w:tcBorders>
            <w:noWrap/>
            <w:vAlign w:val="bottom"/>
            <w:hideMark/>
          </w:tcPr>
          <w:p w14:paraId="0A07D6E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8</w:t>
            </w:r>
          </w:p>
        </w:tc>
      </w:tr>
      <w:tr w:rsidR="0097010B" w:rsidRPr="0097010B" w14:paraId="173FA29B" w14:textId="77777777" w:rsidTr="00340E24">
        <w:trPr>
          <w:trHeight w:val="288"/>
          <w:jc w:val="center"/>
        </w:trPr>
        <w:tc>
          <w:tcPr>
            <w:tcW w:w="1280" w:type="dxa"/>
            <w:tcBorders>
              <w:top w:val="nil"/>
              <w:left w:val="nil"/>
              <w:bottom w:val="nil"/>
              <w:right w:val="nil"/>
            </w:tcBorders>
            <w:noWrap/>
            <w:vAlign w:val="bottom"/>
            <w:hideMark/>
          </w:tcPr>
          <w:p w14:paraId="2E0AE1E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3290</w:t>
            </w:r>
          </w:p>
        </w:tc>
        <w:tc>
          <w:tcPr>
            <w:tcW w:w="5604" w:type="dxa"/>
            <w:tcBorders>
              <w:top w:val="nil"/>
              <w:left w:val="nil"/>
              <w:bottom w:val="nil"/>
              <w:right w:val="nil"/>
            </w:tcBorders>
            <w:noWrap/>
            <w:vAlign w:val="bottom"/>
            <w:hideMark/>
          </w:tcPr>
          <w:p w14:paraId="7289BE5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Abrasive, Asbestos &amp; Misc Nonmetallic Mineral Prods</w:t>
            </w:r>
          </w:p>
        </w:tc>
        <w:tc>
          <w:tcPr>
            <w:tcW w:w="1181" w:type="dxa"/>
            <w:tcBorders>
              <w:top w:val="nil"/>
              <w:left w:val="nil"/>
              <w:bottom w:val="nil"/>
              <w:right w:val="nil"/>
            </w:tcBorders>
            <w:noWrap/>
            <w:vAlign w:val="bottom"/>
            <w:hideMark/>
          </w:tcPr>
          <w:p w14:paraId="29575AB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w:t>
            </w:r>
          </w:p>
        </w:tc>
      </w:tr>
      <w:tr w:rsidR="0097010B" w:rsidRPr="0097010B" w14:paraId="1CF77963" w14:textId="77777777" w:rsidTr="00340E24">
        <w:trPr>
          <w:trHeight w:val="288"/>
          <w:jc w:val="center"/>
        </w:trPr>
        <w:tc>
          <w:tcPr>
            <w:tcW w:w="1280" w:type="dxa"/>
            <w:tcBorders>
              <w:top w:val="nil"/>
              <w:left w:val="nil"/>
              <w:bottom w:val="nil"/>
              <w:right w:val="nil"/>
            </w:tcBorders>
            <w:noWrap/>
            <w:vAlign w:val="bottom"/>
            <w:hideMark/>
          </w:tcPr>
          <w:p w14:paraId="7F4DC76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3580</w:t>
            </w:r>
          </w:p>
        </w:tc>
        <w:tc>
          <w:tcPr>
            <w:tcW w:w="5604" w:type="dxa"/>
            <w:tcBorders>
              <w:top w:val="nil"/>
              <w:left w:val="nil"/>
              <w:bottom w:val="nil"/>
              <w:right w:val="nil"/>
            </w:tcBorders>
            <w:noWrap/>
            <w:vAlign w:val="bottom"/>
            <w:hideMark/>
          </w:tcPr>
          <w:p w14:paraId="65E7DC5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Refrigeration &amp; Service Industry Machinery</w:t>
            </w:r>
          </w:p>
        </w:tc>
        <w:tc>
          <w:tcPr>
            <w:tcW w:w="1181" w:type="dxa"/>
            <w:tcBorders>
              <w:top w:val="nil"/>
              <w:left w:val="nil"/>
              <w:bottom w:val="nil"/>
              <w:right w:val="nil"/>
            </w:tcBorders>
            <w:noWrap/>
            <w:vAlign w:val="bottom"/>
            <w:hideMark/>
          </w:tcPr>
          <w:p w14:paraId="0AFCBD5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w:t>
            </w:r>
          </w:p>
        </w:tc>
      </w:tr>
      <w:tr w:rsidR="0097010B" w:rsidRPr="0097010B" w14:paraId="32907A30" w14:textId="77777777" w:rsidTr="00340E24">
        <w:trPr>
          <w:trHeight w:val="288"/>
          <w:jc w:val="center"/>
        </w:trPr>
        <w:tc>
          <w:tcPr>
            <w:tcW w:w="1280" w:type="dxa"/>
            <w:tcBorders>
              <w:top w:val="nil"/>
              <w:left w:val="nil"/>
              <w:bottom w:val="nil"/>
              <w:right w:val="nil"/>
            </w:tcBorders>
            <w:noWrap/>
            <w:vAlign w:val="bottom"/>
            <w:hideMark/>
          </w:tcPr>
          <w:p w14:paraId="5CF87DD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3630</w:t>
            </w:r>
          </w:p>
        </w:tc>
        <w:tc>
          <w:tcPr>
            <w:tcW w:w="5604" w:type="dxa"/>
            <w:tcBorders>
              <w:top w:val="nil"/>
              <w:left w:val="nil"/>
              <w:bottom w:val="nil"/>
              <w:right w:val="nil"/>
            </w:tcBorders>
            <w:noWrap/>
            <w:vAlign w:val="bottom"/>
            <w:hideMark/>
          </w:tcPr>
          <w:p w14:paraId="440087C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Household Appliances</w:t>
            </w:r>
          </w:p>
        </w:tc>
        <w:tc>
          <w:tcPr>
            <w:tcW w:w="1181" w:type="dxa"/>
            <w:tcBorders>
              <w:top w:val="nil"/>
              <w:left w:val="nil"/>
              <w:bottom w:val="nil"/>
              <w:right w:val="nil"/>
            </w:tcBorders>
            <w:noWrap/>
            <w:vAlign w:val="bottom"/>
            <w:hideMark/>
          </w:tcPr>
          <w:p w14:paraId="6364F17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w:t>
            </w:r>
          </w:p>
        </w:tc>
      </w:tr>
      <w:tr w:rsidR="0097010B" w:rsidRPr="0097010B" w14:paraId="225FC409" w14:textId="77777777" w:rsidTr="00340E24">
        <w:trPr>
          <w:trHeight w:val="288"/>
          <w:jc w:val="center"/>
        </w:trPr>
        <w:tc>
          <w:tcPr>
            <w:tcW w:w="1280" w:type="dxa"/>
            <w:tcBorders>
              <w:top w:val="nil"/>
              <w:left w:val="nil"/>
              <w:bottom w:val="nil"/>
              <w:right w:val="nil"/>
            </w:tcBorders>
            <w:noWrap/>
            <w:vAlign w:val="bottom"/>
            <w:hideMark/>
          </w:tcPr>
          <w:p w14:paraId="6BAC44F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3690</w:t>
            </w:r>
          </w:p>
        </w:tc>
        <w:tc>
          <w:tcPr>
            <w:tcW w:w="5604" w:type="dxa"/>
            <w:tcBorders>
              <w:top w:val="nil"/>
              <w:left w:val="nil"/>
              <w:bottom w:val="nil"/>
              <w:right w:val="nil"/>
            </w:tcBorders>
            <w:noWrap/>
            <w:vAlign w:val="bottom"/>
            <w:hideMark/>
          </w:tcPr>
          <w:p w14:paraId="4ADFE85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Miscellaneous Electrical Machinery, Equipment &amp; Supplies</w:t>
            </w:r>
          </w:p>
        </w:tc>
        <w:tc>
          <w:tcPr>
            <w:tcW w:w="1181" w:type="dxa"/>
            <w:tcBorders>
              <w:top w:val="nil"/>
              <w:left w:val="nil"/>
              <w:bottom w:val="nil"/>
              <w:right w:val="nil"/>
            </w:tcBorders>
            <w:noWrap/>
            <w:vAlign w:val="bottom"/>
            <w:hideMark/>
          </w:tcPr>
          <w:p w14:paraId="0AE2303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w:t>
            </w:r>
          </w:p>
        </w:tc>
      </w:tr>
      <w:tr w:rsidR="0097010B" w:rsidRPr="0097010B" w14:paraId="73526808" w14:textId="77777777" w:rsidTr="00340E24">
        <w:trPr>
          <w:trHeight w:val="288"/>
          <w:jc w:val="center"/>
        </w:trPr>
        <w:tc>
          <w:tcPr>
            <w:tcW w:w="1280" w:type="dxa"/>
            <w:tcBorders>
              <w:top w:val="nil"/>
              <w:left w:val="nil"/>
              <w:bottom w:val="nil"/>
              <w:right w:val="nil"/>
            </w:tcBorders>
            <w:noWrap/>
            <w:vAlign w:val="bottom"/>
            <w:hideMark/>
          </w:tcPr>
          <w:p w14:paraId="4EF046E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3724</w:t>
            </w:r>
          </w:p>
        </w:tc>
        <w:tc>
          <w:tcPr>
            <w:tcW w:w="5604" w:type="dxa"/>
            <w:tcBorders>
              <w:top w:val="nil"/>
              <w:left w:val="nil"/>
              <w:bottom w:val="nil"/>
              <w:right w:val="nil"/>
            </w:tcBorders>
            <w:noWrap/>
            <w:vAlign w:val="bottom"/>
            <w:hideMark/>
          </w:tcPr>
          <w:p w14:paraId="72DC667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Aircraft Engines &amp; Engine Parts</w:t>
            </w:r>
          </w:p>
        </w:tc>
        <w:tc>
          <w:tcPr>
            <w:tcW w:w="1181" w:type="dxa"/>
            <w:tcBorders>
              <w:top w:val="nil"/>
              <w:left w:val="nil"/>
              <w:bottom w:val="nil"/>
              <w:right w:val="nil"/>
            </w:tcBorders>
            <w:noWrap/>
            <w:vAlign w:val="bottom"/>
            <w:hideMark/>
          </w:tcPr>
          <w:p w14:paraId="0C5350E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14</w:t>
            </w:r>
          </w:p>
        </w:tc>
      </w:tr>
      <w:tr w:rsidR="0097010B" w:rsidRPr="0097010B" w14:paraId="5C537CEB" w14:textId="77777777" w:rsidTr="00340E24">
        <w:trPr>
          <w:trHeight w:val="288"/>
          <w:jc w:val="center"/>
        </w:trPr>
        <w:tc>
          <w:tcPr>
            <w:tcW w:w="1280" w:type="dxa"/>
            <w:tcBorders>
              <w:top w:val="nil"/>
              <w:left w:val="nil"/>
              <w:bottom w:val="nil"/>
              <w:right w:val="nil"/>
            </w:tcBorders>
            <w:noWrap/>
            <w:vAlign w:val="bottom"/>
            <w:hideMark/>
          </w:tcPr>
          <w:p w14:paraId="3B6DDFC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3845</w:t>
            </w:r>
          </w:p>
        </w:tc>
        <w:tc>
          <w:tcPr>
            <w:tcW w:w="5604" w:type="dxa"/>
            <w:tcBorders>
              <w:top w:val="nil"/>
              <w:left w:val="nil"/>
              <w:bottom w:val="nil"/>
              <w:right w:val="nil"/>
            </w:tcBorders>
            <w:noWrap/>
            <w:vAlign w:val="bottom"/>
            <w:hideMark/>
          </w:tcPr>
          <w:p w14:paraId="012E023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Electromedical &amp; Electrotherapeutic Apparatus</w:t>
            </w:r>
          </w:p>
        </w:tc>
        <w:tc>
          <w:tcPr>
            <w:tcW w:w="1181" w:type="dxa"/>
            <w:tcBorders>
              <w:top w:val="nil"/>
              <w:left w:val="nil"/>
              <w:bottom w:val="nil"/>
              <w:right w:val="nil"/>
            </w:tcBorders>
            <w:noWrap/>
            <w:vAlign w:val="bottom"/>
            <w:hideMark/>
          </w:tcPr>
          <w:p w14:paraId="5D17278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w:t>
            </w:r>
          </w:p>
        </w:tc>
      </w:tr>
      <w:tr w:rsidR="0097010B" w:rsidRPr="0097010B" w14:paraId="1DDF4D1B" w14:textId="77777777" w:rsidTr="00340E24">
        <w:trPr>
          <w:trHeight w:val="288"/>
          <w:jc w:val="center"/>
        </w:trPr>
        <w:tc>
          <w:tcPr>
            <w:tcW w:w="1280" w:type="dxa"/>
            <w:tcBorders>
              <w:top w:val="nil"/>
              <w:left w:val="nil"/>
              <w:bottom w:val="nil"/>
              <w:right w:val="nil"/>
            </w:tcBorders>
            <w:noWrap/>
            <w:vAlign w:val="bottom"/>
            <w:hideMark/>
          </w:tcPr>
          <w:p w14:paraId="09EC2EB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4888</w:t>
            </w:r>
          </w:p>
        </w:tc>
        <w:tc>
          <w:tcPr>
            <w:tcW w:w="5604" w:type="dxa"/>
            <w:tcBorders>
              <w:top w:val="nil"/>
              <w:left w:val="nil"/>
              <w:bottom w:val="nil"/>
              <w:right w:val="nil"/>
            </w:tcBorders>
            <w:noWrap/>
            <w:vAlign w:val="bottom"/>
            <w:hideMark/>
          </w:tcPr>
          <w:p w14:paraId="44CA1407" w14:textId="1B843989"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Communication</w:t>
            </w:r>
          </w:p>
        </w:tc>
        <w:tc>
          <w:tcPr>
            <w:tcW w:w="1181" w:type="dxa"/>
            <w:tcBorders>
              <w:top w:val="nil"/>
              <w:left w:val="nil"/>
              <w:bottom w:val="nil"/>
              <w:right w:val="nil"/>
            </w:tcBorders>
            <w:noWrap/>
            <w:vAlign w:val="bottom"/>
            <w:hideMark/>
          </w:tcPr>
          <w:p w14:paraId="176F24B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w:t>
            </w:r>
          </w:p>
        </w:tc>
      </w:tr>
      <w:tr w:rsidR="0097010B" w:rsidRPr="0097010B" w14:paraId="64A64CD7" w14:textId="77777777" w:rsidTr="00340E24">
        <w:trPr>
          <w:trHeight w:val="288"/>
          <w:jc w:val="center"/>
        </w:trPr>
        <w:tc>
          <w:tcPr>
            <w:tcW w:w="1280" w:type="dxa"/>
            <w:tcBorders>
              <w:top w:val="nil"/>
              <w:left w:val="nil"/>
              <w:bottom w:val="nil"/>
              <w:right w:val="nil"/>
            </w:tcBorders>
            <w:noWrap/>
            <w:vAlign w:val="bottom"/>
            <w:hideMark/>
          </w:tcPr>
          <w:p w14:paraId="1A9DBE2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5331</w:t>
            </w:r>
          </w:p>
        </w:tc>
        <w:tc>
          <w:tcPr>
            <w:tcW w:w="5604" w:type="dxa"/>
            <w:tcBorders>
              <w:top w:val="nil"/>
              <w:left w:val="nil"/>
              <w:bottom w:val="nil"/>
              <w:right w:val="nil"/>
            </w:tcBorders>
            <w:noWrap/>
            <w:vAlign w:val="bottom"/>
            <w:hideMark/>
          </w:tcPr>
          <w:p w14:paraId="3093D01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Retail-Variety Stores</w:t>
            </w:r>
          </w:p>
        </w:tc>
        <w:tc>
          <w:tcPr>
            <w:tcW w:w="1181" w:type="dxa"/>
            <w:tcBorders>
              <w:top w:val="nil"/>
              <w:left w:val="nil"/>
              <w:bottom w:val="nil"/>
              <w:right w:val="nil"/>
            </w:tcBorders>
            <w:noWrap/>
            <w:vAlign w:val="bottom"/>
            <w:hideMark/>
          </w:tcPr>
          <w:p w14:paraId="31A366A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18</w:t>
            </w:r>
          </w:p>
        </w:tc>
      </w:tr>
      <w:tr w:rsidR="0097010B" w:rsidRPr="0097010B" w14:paraId="69058265" w14:textId="77777777" w:rsidTr="00340E24">
        <w:trPr>
          <w:trHeight w:val="288"/>
          <w:jc w:val="center"/>
        </w:trPr>
        <w:tc>
          <w:tcPr>
            <w:tcW w:w="1280" w:type="dxa"/>
            <w:tcBorders>
              <w:top w:val="nil"/>
              <w:left w:val="nil"/>
              <w:bottom w:val="nil"/>
              <w:right w:val="nil"/>
            </w:tcBorders>
            <w:noWrap/>
            <w:vAlign w:val="bottom"/>
            <w:hideMark/>
          </w:tcPr>
          <w:p w14:paraId="5ADEC01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5411</w:t>
            </w:r>
          </w:p>
        </w:tc>
        <w:tc>
          <w:tcPr>
            <w:tcW w:w="5604" w:type="dxa"/>
            <w:tcBorders>
              <w:top w:val="nil"/>
              <w:left w:val="nil"/>
              <w:bottom w:val="nil"/>
              <w:right w:val="nil"/>
            </w:tcBorders>
            <w:noWrap/>
            <w:vAlign w:val="bottom"/>
            <w:hideMark/>
          </w:tcPr>
          <w:p w14:paraId="2E7B8F4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Retail-Grocery Stores</w:t>
            </w:r>
          </w:p>
        </w:tc>
        <w:tc>
          <w:tcPr>
            <w:tcW w:w="1181" w:type="dxa"/>
            <w:tcBorders>
              <w:top w:val="nil"/>
              <w:left w:val="nil"/>
              <w:bottom w:val="nil"/>
              <w:right w:val="nil"/>
            </w:tcBorders>
            <w:noWrap/>
            <w:vAlign w:val="bottom"/>
            <w:hideMark/>
          </w:tcPr>
          <w:p w14:paraId="5534E36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w:t>
            </w:r>
          </w:p>
        </w:tc>
      </w:tr>
      <w:tr w:rsidR="0097010B" w:rsidRPr="0097010B" w14:paraId="35B397A6" w14:textId="77777777" w:rsidTr="00340E24">
        <w:trPr>
          <w:trHeight w:val="288"/>
          <w:jc w:val="center"/>
        </w:trPr>
        <w:tc>
          <w:tcPr>
            <w:tcW w:w="1280" w:type="dxa"/>
            <w:tcBorders>
              <w:top w:val="nil"/>
              <w:left w:val="nil"/>
              <w:bottom w:val="nil"/>
              <w:right w:val="nil"/>
            </w:tcBorders>
            <w:noWrap/>
            <w:vAlign w:val="bottom"/>
            <w:hideMark/>
          </w:tcPr>
          <w:p w14:paraId="1368469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5812</w:t>
            </w:r>
          </w:p>
        </w:tc>
        <w:tc>
          <w:tcPr>
            <w:tcW w:w="5604" w:type="dxa"/>
            <w:tcBorders>
              <w:top w:val="nil"/>
              <w:left w:val="nil"/>
              <w:bottom w:val="nil"/>
              <w:right w:val="nil"/>
            </w:tcBorders>
            <w:noWrap/>
            <w:vAlign w:val="bottom"/>
            <w:hideMark/>
          </w:tcPr>
          <w:p w14:paraId="2267F56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Retail-Eating Places</w:t>
            </w:r>
          </w:p>
        </w:tc>
        <w:tc>
          <w:tcPr>
            <w:tcW w:w="1181" w:type="dxa"/>
            <w:tcBorders>
              <w:top w:val="nil"/>
              <w:left w:val="nil"/>
              <w:bottom w:val="nil"/>
              <w:right w:val="nil"/>
            </w:tcBorders>
            <w:noWrap/>
            <w:vAlign w:val="bottom"/>
            <w:hideMark/>
          </w:tcPr>
          <w:p w14:paraId="093E4A4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34</w:t>
            </w:r>
          </w:p>
        </w:tc>
      </w:tr>
      <w:tr w:rsidR="0097010B" w:rsidRPr="0097010B" w14:paraId="656B2C2E" w14:textId="77777777" w:rsidTr="00340E24">
        <w:trPr>
          <w:trHeight w:val="288"/>
          <w:jc w:val="center"/>
        </w:trPr>
        <w:tc>
          <w:tcPr>
            <w:tcW w:w="1280" w:type="dxa"/>
            <w:tcBorders>
              <w:top w:val="nil"/>
              <w:left w:val="nil"/>
              <w:bottom w:val="nil"/>
              <w:right w:val="nil"/>
            </w:tcBorders>
            <w:noWrap/>
            <w:vAlign w:val="bottom"/>
            <w:hideMark/>
          </w:tcPr>
          <w:p w14:paraId="45CD94B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5912</w:t>
            </w:r>
          </w:p>
        </w:tc>
        <w:tc>
          <w:tcPr>
            <w:tcW w:w="5604" w:type="dxa"/>
            <w:tcBorders>
              <w:top w:val="nil"/>
              <w:left w:val="nil"/>
              <w:bottom w:val="nil"/>
              <w:right w:val="nil"/>
            </w:tcBorders>
            <w:noWrap/>
            <w:vAlign w:val="bottom"/>
            <w:hideMark/>
          </w:tcPr>
          <w:p w14:paraId="7ACE3EE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Retail-Drug Stores and Proprietary Stores</w:t>
            </w:r>
          </w:p>
        </w:tc>
        <w:tc>
          <w:tcPr>
            <w:tcW w:w="1181" w:type="dxa"/>
            <w:tcBorders>
              <w:top w:val="nil"/>
              <w:left w:val="nil"/>
              <w:bottom w:val="nil"/>
              <w:right w:val="nil"/>
            </w:tcBorders>
            <w:noWrap/>
            <w:vAlign w:val="bottom"/>
            <w:hideMark/>
          </w:tcPr>
          <w:p w14:paraId="554F7C9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w:t>
            </w:r>
          </w:p>
        </w:tc>
      </w:tr>
      <w:tr w:rsidR="0097010B" w:rsidRPr="0097010B" w14:paraId="48969E45" w14:textId="77777777" w:rsidTr="00340E24">
        <w:trPr>
          <w:trHeight w:val="288"/>
          <w:jc w:val="center"/>
        </w:trPr>
        <w:tc>
          <w:tcPr>
            <w:tcW w:w="1280" w:type="dxa"/>
            <w:tcBorders>
              <w:top w:val="nil"/>
              <w:left w:val="nil"/>
              <w:bottom w:val="nil"/>
              <w:right w:val="nil"/>
            </w:tcBorders>
            <w:noWrap/>
            <w:vAlign w:val="bottom"/>
            <w:hideMark/>
          </w:tcPr>
          <w:p w14:paraId="5B8AC88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5961</w:t>
            </w:r>
          </w:p>
        </w:tc>
        <w:tc>
          <w:tcPr>
            <w:tcW w:w="5604" w:type="dxa"/>
            <w:tcBorders>
              <w:top w:val="nil"/>
              <w:left w:val="nil"/>
              <w:bottom w:val="nil"/>
              <w:right w:val="nil"/>
            </w:tcBorders>
            <w:noWrap/>
            <w:vAlign w:val="bottom"/>
            <w:hideMark/>
          </w:tcPr>
          <w:p w14:paraId="763D0CB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Retail-Catalog &amp; Mail-Order Houses</w:t>
            </w:r>
          </w:p>
        </w:tc>
        <w:tc>
          <w:tcPr>
            <w:tcW w:w="1181" w:type="dxa"/>
            <w:tcBorders>
              <w:top w:val="nil"/>
              <w:left w:val="nil"/>
              <w:bottom w:val="nil"/>
              <w:right w:val="nil"/>
            </w:tcBorders>
            <w:noWrap/>
            <w:vAlign w:val="bottom"/>
            <w:hideMark/>
          </w:tcPr>
          <w:p w14:paraId="1F1D782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w:t>
            </w:r>
          </w:p>
        </w:tc>
      </w:tr>
      <w:tr w:rsidR="0097010B" w:rsidRPr="0097010B" w14:paraId="5BD64E97" w14:textId="77777777" w:rsidTr="00340E24">
        <w:trPr>
          <w:trHeight w:val="288"/>
          <w:jc w:val="center"/>
        </w:trPr>
        <w:tc>
          <w:tcPr>
            <w:tcW w:w="1280" w:type="dxa"/>
            <w:tcBorders>
              <w:top w:val="nil"/>
              <w:left w:val="nil"/>
              <w:bottom w:val="nil"/>
              <w:right w:val="nil"/>
            </w:tcBorders>
            <w:noWrap/>
            <w:vAlign w:val="bottom"/>
            <w:hideMark/>
          </w:tcPr>
          <w:p w14:paraId="5542A8D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6282</w:t>
            </w:r>
          </w:p>
        </w:tc>
        <w:tc>
          <w:tcPr>
            <w:tcW w:w="5604" w:type="dxa"/>
            <w:tcBorders>
              <w:top w:val="nil"/>
              <w:left w:val="nil"/>
              <w:bottom w:val="nil"/>
              <w:right w:val="nil"/>
            </w:tcBorders>
            <w:noWrap/>
            <w:vAlign w:val="bottom"/>
            <w:hideMark/>
          </w:tcPr>
          <w:p w14:paraId="7953150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Investment Advice</w:t>
            </w:r>
          </w:p>
        </w:tc>
        <w:tc>
          <w:tcPr>
            <w:tcW w:w="1181" w:type="dxa"/>
            <w:tcBorders>
              <w:top w:val="nil"/>
              <w:left w:val="nil"/>
              <w:bottom w:val="nil"/>
              <w:right w:val="nil"/>
            </w:tcBorders>
            <w:noWrap/>
            <w:vAlign w:val="bottom"/>
            <w:hideMark/>
          </w:tcPr>
          <w:p w14:paraId="035B2CE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w:t>
            </w:r>
          </w:p>
        </w:tc>
      </w:tr>
      <w:tr w:rsidR="0097010B" w:rsidRPr="0097010B" w14:paraId="149A9710" w14:textId="77777777" w:rsidTr="00340E24">
        <w:trPr>
          <w:trHeight w:val="288"/>
          <w:jc w:val="center"/>
        </w:trPr>
        <w:tc>
          <w:tcPr>
            <w:tcW w:w="1280" w:type="dxa"/>
            <w:tcBorders>
              <w:top w:val="nil"/>
              <w:left w:val="nil"/>
              <w:bottom w:val="nil"/>
              <w:right w:val="nil"/>
            </w:tcBorders>
            <w:noWrap/>
            <w:vAlign w:val="bottom"/>
            <w:hideMark/>
          </w:tcPr>
          <w:p w14:paraId="4791EB4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6531</w:t>
            </w:r>
          </w:p>
        </w:tc>
        <w:tc>
          <w:tcPr>
            <w:tcW w:w="5604" w:type="dxa"/>
            <w:tcBorders>
              <w:top w:val="nil"/>
              <w:left w:val="nil"/>
              <w:bottom w:val="nil"/>
              <w:right w:val="nil"/>
            </w:tcBorders>
            <w:noWrap/>
            <w:vAlign w:val="bottom"/>
            <w:hideMark/>
          </w:tcPr>
          <w:p w14:paraId="43FC806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Real Estate Agents &amp; Managers (For Others)</w:t>
            </w:r>
          </w:p>
        </w:tc>
        <w:tc>
          <w:tcPr>
            <w:tcW w:w="1181" w:type="dxa"/>
            <w:tcBorders>
              <w:top w:val="nil"/>
              <w:left w:val="nil"/>
              <w:bottom w:val="nil"/>
              <w:right w:val="nil"/>
            </w:tcBorders>
            <w:noWrap/>
            <w:vAlign w:val="bottom"/>
            <w:hideMark/>
          </w:tcPr>
          <w:p w14:paraId="48D7A9D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9</w:t>
            </w:r>
          </w:p>
        </w:tc>
      </w:tr>
      <w:tr w:rsidR="0097010B" w:rsidRPr="0097010B" w14:paraId="2A0A05B6" w14:textId="77777777" w:rsidTr="00340E24">
        <w:trPr>
          <w:trHeight w:val="288"/>
          <w:jc w:val="center"/>
        </w:trPr>
        <w:tc>
          <w:tcPr>
            <w:tcW w:w="1280" w:type="dxa"/>
            <w:tcBorders>
              <w:top w:val="nil"/>
              <w:left w:val="nil"/>
              <w:right w:val="nil"/>
            </w:tcBorders>
            <w:noWrap/>
            <w:vAlign w:val="bottom"/>
            <w:hideMark/>
          </w:tcPr>
          <w:p w14:paraId="09A1F60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7200</w:t>
            </w:r>
          </w:p>
        </w:tc>
        <w:tc>
          <w:tcPr>
            <w:tcW w:w="5604" w:type="dxa"/>
            <w:tcBorders>
              <w:top w:val="nil"/>
              <w:left w:val="nil"/>
              <w:right w:val="nil"/>
            </w:tcBorders>
            <w:noWrap/>
            <w:vAlign w:val="bottom"/>
            <w:hideMark/>
          </w:tcPr>
          <w:p w14:paraId="2567A99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Services-Personal Services</w:t>
            </w:r>
          </w:p>
        </w:tc>
        <w:tc>
          <w:tcPr>
            <w:tcW w:w="1181" w:type="dxa"/>
            <w:tcBorders>
              <w:top w:val="nil"/>
              <w:left w:val="nil"/>
              <w:right w:val="nil"/>
            </w:tcBorders>
            <w:noWrap/>
            <w:vAlign w:val="bottom"/>
            <w:hideMark/>
          </w:tcPr>
          <w:p w14:paraId="14E1807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w:t>
            </w:r>
          </w:p>
        </w:tc>
      </w:tr>
      <w:tr w:rsidR="0097010B" w:rsidRPr="0097010B" w14:paraId="5C0496B5" w14:textId="77777777" w:rsidTr="00340E24">
        <w:trPr>
          <w:trHeight w:val="288"/>
          <w:jc w:val="center"/>
        </w:trPr>
        <w:tc>
          <w:tcPr>
            <w:tcW w:w="1280" w:type="dxa"/>
            <w:tcBorders>
              <w:top w:val="nil"/>
              <w:left w:val="nil"/>
              <w:bottom w:val="single" w:sz="4" w:space="0" w:color="auto"/>
              <w:right w:val="nil"/>
            </w:tcBorders>
            <w:noWrap/>
            <w:vAlign w:val="bottom"/>
            <w:hideMark/>
          </w:tcPr>
          <w:p w14:paraId="5D89DE9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7510</w:t>
            </w:r>
          </w:p>
        </w:tc>
        <w:tc>
          <w:tcPr>
            <w:tcW w:w="5604" w:type="dxa"/>
            <w:tcBorders>
              <w:top w:val="nil"/>
              <w:left w:val="nil"/>
              <w:bottom w:val="single" w:sz="4" w:space="0" w:color="auto"/>
              <w:right w:val="nil"/>
            </w:tcBorders>
            <w:noWrap/>
            <w:vAlign w:val="bottom"/>
            <w:hideMark/>
          </w:tcPr>
          <w:p w14:paraId="0D2D785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Services-Auto Rental &amp; Leasing</w:t>
            </w:r>
          </w:p>
        </w:tc>
        <w:tc>
          <w:tcPr>
            <w:tcW w:w="1181" w:type="dxa"/>
            <w:tcBorders>
              <w:top w:val="nil"/>
              <w:left w:val="nil"/>
              <w:bottom w:val="single" w:sz="4" w:space="0" w:color="auto"/>
              <w:right w:val="nil"/>
            </w:tcBorders>
            <w:noWrap/>
            <w:vAlign w:val="bottom"/>
            <w:hideMark/>
          </w:tcPr>
          <w:p w14:paraId="246F470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w:t>
            </w:r>
          </w:p>
        </w:tc>
      </w:tr>
    </w:tbl>
    <w:p w14:paraId="37167C50" w14:textId="77777777" w:rsidR="0097010B" w:rsidRPr="0097010B" w:rsidRDefault="0097010B" w:rsidP="0097010B">
      <w:pPr>
        <w:spacing w:line="360" w:lineRule="auto"/>
        <w:rPr>
          <w:rFonts w:ascii="Times New Roman" w:hAnsi="Times New Roman" w:cs="Times New Roman"/>
          <w:b/>
          <w:bCs/>
          <w:sz w:val="24"/>
          <w:szCs w:val="24"/>
        </w:rPr>
      </w:pPr>
    </w:p>
    <w:p w14:paraId="74ABEBBD" w14:textId="77777777" w:rsidR="0097010B" w:rsidRPr="0097010B" w:rsidRDefault="0097010B" w:rsidP="0097010B">
      <w:pPr>
        <w:spacing w:line="360" w:lineRule="auto"/>
        <w:rPr>
          <w:rFonts w:ascii="Times New Roman" w:hAnsi="Times New Roman" w:cs="Times New Roman"/>
          <w:b/>
          <w:bCs/>
          <w:sz w:val="24"/>
          <w:szCs w:val="24"/>
        </w:rPr>
      </w:pPr>
      <w:r w:rsidRPr="0097010B">
        <w:rPr>
          <w:rFonts w:ascii="Times New Roman" w:hAnsi="Times New Roman" w:cs="Times New Roman"/>
          <w:b/>
          <w:bCs/>
          <w:sz w:val="24"/>
          <w:szCs w:val="24"/>
        </w:rPr>
        <w:br w:type="page"/>
      </w:r>
    </w:p>
    <w:p w14:paraId="027FBA55"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B2: First-Stage Regression Control Function Method</w:t>
      </w:r>
    </w:p>
    <w:tbl>
      <w:tblPr>
        <w:tblW w:w="9267" w:type="dxa"/>
        <w:jc w:val="center"/>
        <w:tblLook w:val="04A0" w:firstRow="1" w:lastRow="0" w:firstColumn="1" w:lastColumn="0" w:noHBand="0" w:noVBand="1"/>
      </w:tblPr>
      <w:tblGrid>
        <w:gridCol w:w="4108"/>
        <w:gridCol w:w="2000"/>
        <w:gridCol w:w="1564"/>
        <w:gridCol w:w="1617"/>
      </w:tblGrid>
      <w:tr w:rsidR="0097010B" w:rsidRPr="0097010B" w14:paraId="1742D95B" w14:textId="77777777" w:rsidTr="00340E24">
        <w:trPr>
          <w:trHeight w:val="276"/>
          <w:jc w:val="center"/>
        </w:trPr>
        <w:tc>
          <w:tcPr>
            <w:tcW w:w="4108" w:type="dxa"/>
            <w:tcBorders>
              <w:top w:val="single" w:sz="4" w:space="0" w:color="000000"/>
              <w:left w:val="nil"/>
              <w:right w:val="nil"/>
            </w:tcBorders>
            <w:noWrap/>
            <w:vAlign w:val="bottom"/>
            <w:hideMark/>
          </w:tcPr>
          <w:p w14:paraId="791C0E57"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single" w:sz="4" w:space="0" w:color="000000"/>
              <w:left w:val="nil"/>
              <w:right w:val="nil"/>
            </w:tcBorders>
            <w:noWrap/>
            <w:vAlign w:val="bottom"/>
            <w:hideMark/>
          </w:tcPr>
          <w:p w14:paraId="445F1A0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w:t>
            </w:r>
          </w:p>
        </w:tc>
        <w:tc>
          <w:tcPr>
            <w:tcW w:w="1542" w:type="dxa"/>
            <w:tcBorders>
              <w:top w:val="single" w:sz="4" w:space="0" w:color="000000"/>
              <w:left w:val="nil"/>
              <w:right w:val="nil"/>
            </w:tcBorders>
            <w:noWrap/>
            <w:vAlign w:val="bottom"/>
            <w:hideMark/>
          </w:tcPr>
          <w:p w14:paraId="0F76DAE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w:t>
            </w:r>
          </w:p>
        </w:tc>
        <w:tc>
          <w:tcPr>
            <w:tcW w:w="1617" w:type="dxa"/>
            <w:tcBorders>
              <w:top w:val="single" w:sz="4" w:space="0" w:color="000000"/>
              <w:left w:val="nil"/>
              <w:right w:val="nil"/>
            </w:tcBorders>
            <w:noWrap/>
            <w:vAlign w:val="bottom"/>
            <w:hideMark/>
          </w:tcPr>
          <w:p w14:paraId="5DB8D7F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w:t>
            </w:r>
          </w:p>
        </w:tc>
      </w:tr>
      <w:tr w:rsidR="0097010B" w:rsidRPr="0097010B" w14:paraId="39DCC562" w14:textId="77777777" w:rsidTr="00340E24">
        <w:trPr>
          <w:trHeight w:val="276"/>
          <w:jc w:val="center"/>
        </w:trPr>
        <w:tc>
          <w:tcPr>
            <w:tcW w:w="4108" w:type="dxa"/>
            <w:tcBorders>
              <w:top w:val="nil"/>
              <w:left w:val="nil"/>
              <w:bottom w:val="single" w:sz="4" w:space="0" w:color="auto"/>
              <w:right w:val="nil"/>
            </w:tcBorders>
            <w:noWrap/>
            <w:vAlign w:val="bottom"/>
            <w:hideMark/>
          </w:tcPr>
          <w:p w14:paraId="7A9946BB"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single" w:sz="4" w:space="0" w:color="auto"/>
              <w:right w:val="nil"/>
            </w:tcBorders>
            <w:noWrap/>
            <w:vAlign w:val="bottom"/>
            <w:hideMark/>
          </w:tcPr>
          <w:p w14:paraId="653B697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Environmental Footprint</w:t>
            </w:r>
          </w:p>
        </w:tc>
        <w:tc>
          <w:tcPr>
            <w:tcW w:w="1542" w:type="dxa"/>
            <w:tcBorders>
              <w:top w:val="nil"/>
              <w:left w:val="nil"/>
              <w:bottom w:val="single" w:sz="4" w:space="0" w:color="auto"/>
              <w:right w:val="nil"/>
            </w:tcBorders>
            <w:noWrap/>
            <w:vAlign w:val="bottom"/>
            <w:hideMark/>
          </w:tcPr>
          <w:p w14:paraId="334B06D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Advertising</w:t>
            </w:r>
          </w:p>
        </w:tc>
        <w:tc>
          <w:tcPr>
            <w:tcW w:w="1617" w:type="dxa"/>
            <w:tcBorders>
              <w:top w:val="nil"/>
              <w:left w:val="nil"/>
              <w:bottom w:val="single" w:sz="4" w:space="0" w:color="auto"/>
              <w:right w:val="nil"/>
            </w:tcBorders>
            <w:noWrap/>
            <w:vAlign w:val="bottom"/>
            <w:hideMark/>
          </w:tcPr>
          <w:p w14:paraId="6051B6C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hAnsi="Times New Roman" w:cs="Times New Roman"/>
                <w:sz w:val="24"/>
                <w:szCs w:val="24"/>
              </w:rPr>
              <w:t>CSR Reputation</w:t>
            </w:r>
          </w:p>
        </w:tc>
      </w:tr>
      <w:tr w:rsidR="0097010B" w:rsidRPr="0097010B" w14:paraId="271F8C12" w14:textId="77777777" w:rsidTr="00340E24">
        <w:trPr>
          <w:trHeight w:val="276"/>
          <w:jc w:val="center"/>
        </w:trPr>
        <w:tc>
          <w:tcPr>
            <w:tcW w:w="4108" w:type="dxa"/>
            <w:tcBorders>
              <w:top w:val="single" w:sz="4" w:space="0" w:color="auto"/>
              <w:left w:val="nil"/>
              <w:bottom w:val="nil"/>
              <w:right w:val="nil"/>
            </w:tcBorders>
            <w:noWrap/>
            <w:vAlign w:val="bottom"/>
            <w:hideMark/>
          </w:tcPr>
          <w:p w14:paraId="658D0E13"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Industry average excluding focal firm</w:t>
            </w:r>
          </w:p>
        </w:tc>
        <w:tc>
          <w:tcPr>
            <w:tcW w:w="2000" w:type="dxa"/>
            <w:tcBorders>
              <w:top w:val="single" w:sz="4" w:space="0" w:color="auto"/>
              <w:left w:val="nil"/>
              <w:bottom w:val="nil"/>
              <w:right w:val="nil"/>
            </w:tcBorders>
            <w:noWrap/>
            <w:vAlign w:val="bottom"/>
            <w:hideMark/>
          </w:tcPr>
          <w:p w14:paraId="6F61E80F"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.0509***</w:t>
            </w:r>
          </w:p>
        </w:tc>
        <w:tc>
          <w:tcPr>
            <w:tcW w:w="1542" w:type="dxa"/>
            <w:tcBorders>
              <w:top w:val="single" w:sz="4" w:space="0" w:color="auto"/>
              <w:left w:val="nil"/>
              <w:bottom w:val="nil"/>
              <w:right w:val="nil"/>
            </w:tcBorders>
            <w:noWrap/>
            <w:vAlign w:val="bottom"/>
            <w:hideMark/>
          </w:tcPr>
          <w:p w14:paraId="1A107CA4"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.0688***</w:t>
            </w:r>
          </w:p>
        </w:tc>
        <w:tc>
          <w:tcPr>
            <w:tcW w:w="1617" w:type="dxa"/>
            <w:tcBorders>
              <w:top w:val="single" w:sz="4" w:space="0" w:color="auto"/>
              <w:left w:val="nil"/>
              <w:bottom w:val="nil"/>
              <w:right w:val="nil"/>
            </w:tcBorders>
            <w:noWrap/>
            <w:vAlign w:val="bottom"/>
            <w:hideMark/>
          </w:tcPr>
          <w:p w14:paraId="058A565B"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.753***</w:t>
            </w:r>
          </w:p>
        </w:tc>
      </w:tr>
      <w:tr w:rsidR="0097010B" w:rsidRPr="0097010B" w14:paraId="11CF7295" w14:textId="77777777" w:rsidTr="00340E24">
        <w:trPr>
          <w:trHeight w:val="276"/>
          <w:jc w:val="center"/>
        </w:trPr>
        <w:tc>
          <w:tcPr>
            <w:tcW w:w="4108" w:type="dxa"/>
            <w:tcBorders>
              <w:top w:val="nil"/>
              <w:left w:val="nil"/>
              <w:bottom w:val="nil"/>
              <w:right w:val="nil"/>
            </w:tcBorders>
            <w:noWrap/>
            <w:vAlign w:val="bottom"/>
            <w:hideMark/>
          </w:tcPr>
          <w:p w14:paraId="004D4C0F"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2000" w:type="dxa"/>
            <w:tcBorders>
              <w:top w:val="nil"/>
              <w:left w:val="nil"/>
              <w:bottom w:val="nil"/>
              <w:right w:val="nil"/>
            </w:tcBorders>
            <w:noWrap/>
            <w:vAlign w:val="bottom"/>
            <w:hideMark/>
          </w:tcPr>
          <w:p w14:paraId="306B93CC"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(.0117)</w:t>
            </w:r>
          </w:p>
        </w:tc>
        <w:tc>
          <w:tcPr>
            <w:tcW w:w="1542" w:type="dxa"/>
            <w:tcBorders>
              <w:top w:val="nil"/>
              <w:left w:val="nil"/>
              <w:bottom w:val="nil"/>
              <w:right w:val="nil"/>
            </w:tcBorders>
            <w:noWrap/>
            <w:vAlign w:val="bottom"/>
            <w:hideMark/>
          </w:tcPr>
          <w:p w14:paraId="2A11C35E"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(.0173)</w:t>
            </w:r>
          </w:p>
        </w:tc>
        <w:tc>
          <w:tcPr>
            <w:tcW w:w="1617" w:type="dxa"/>
            <w:tcBorders>
              <w:top w:val="nil"/>
              <w:left w:val="nil"/>
              <w:bottom w:val="nil"/>
              <w:right w:val="nil"/>
            </w:tcBorders>
            <w:noWrap/>
            <w:vAlign w:val="bottom"/>
            <w:hideMark/>
          </w:tcPr>
          <w:p w14:paraId="0680AF3D"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(.0115)</w:t>
            </w:r>
          </w:p>
        </w:tc>
      </w:tr>
      <w:tr w:rsidR="0097010B" w:rsidRPr="0097010B" w14:paraId="04D315FE" w14:textId="77777777" w:rsidTr="00340E24">
        <w:trPr>
          <w:trHeight w:val="276"/>
          <w:jc w:val="center"/>
        </w:trPr>
        <w:tc>
          <w:tcPr>
            <w:tcW w:w="4108" w:type="dxa"/>
            <w:tcBorders>
              <w:top w:val="nil"/>
              <w:left w:val="nil"/>
              <w:bottom w:val="nil"/>
              <w:right w:val="nil"/>
            </w:tcBorders>
            <w:noWrap/>
            <w:vAlign w:val="bottom"/>
            <w:hideMark/>
          </w:tcPr>
          <w:p w14:paraId="5E6B732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Environmental footprint</w:t>
            </w:r>
          </w:p>
        </w:tc>
        <w:tc>
          <w:tcPr>
            <w:tcW w:w="2000" w:type="dxa"/>
            <w:tcBorders>
              <w:top w:val="nil"/>
              <w:left w:val="nil"/>
              <w:bottom w:val="nil"/>
              <w:right w:val="nil"/>
            </w:tcBorders>
            <w:noWrap/>
            <w:vAlign w:val="bottom"/>
            <w:hideMark/>
          </w:tcPr>
          <w:p w14:paraId="5B2E7643"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542" w:type="dxa"/>
            <w:tcBorders>
              <w:top w:val="nil"/>
              <w:left w:val="nil"/>
              <w:bottom w:val="nil"/>
              <w:right w:val="nil"/>
            </w:tcBorders>
            <w:noWrap/>
            <w:vAlign w:val="bottom"/>
            <w:hideMark/>
          </w:tcPr>
          <w:p w14:paraId="207BDE4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−.00113</w:t>
            </w:r>
          </w:p>
        </w:tc>
        <w:tc>
          <w:tcPr>
            <w:tcW w:w="1617" w:type="dxa"/>
            <w:tcBorders>
              <w:top w:val="nil"/>
              <w:left w:val="nil"/>
              <w:bottom w:val="nil"/>
              <w:right w:val="nil"/>
            </w:tcBorders>
            <w:noWrap/>
            <w:vAlign w:val="bottom"/>
            <w:hideMark/>
          </w:tcPr>
          <w:p w14:paraId="4B0B1FE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.262</w:t>
            </w:r>
          </w:p>
        </w:tc>
      </w:tr>
      <w:tr w:rsidR="0097010B" w:rsidRPr="0097010B" w14:paraId="1DF99B58" w14:textId="77777777" w:rsidTr="00340E24">
        <w:trPr>
          <w:trHeight w:val="276"/>
          <w:jc w:val="center"/>
        </w:trPr>
        <w:tc>
          <w:tcPr>
            <w:tcW w:w="4108" w:type="dxa"/>
            <w:tcBorders>
              <w:top w:val="nil"/>
              <w:left w:val="nil"/>
              <w:bottom w:val="nil"/>
              <w:right w:val="nil"/>
            </w:tcBorders>
            <w:noWrap/>
            <w:vAlign w:val="bottom"/>
            <w:hideMark/>
          </w:tcPr>
          <w:p w14:paraId="30FF728A"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52D9D3A0"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542" w:type="dxa"/>
            <w:tcBorders>
              <w:top w:val="nil"/>
              <w:left w:val="nil"/>
              <w:bottom w:val="nil"/>
              <w:right w:val="nil"/>
            </w:tcBorders>
            <w:noWrap/>
            <w:vAlign w:val="bottom"/>
            <w:hideMark/>
          </w:tcPr>
          <w:p w14:paraId="0998838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(.00283)</w:t>
            </w:r>
          </w:p>
        </w:tc>
        <w:tc>
          <w:tcPr>
            <w:tcW w:w="1617" w:type="dxa"/>
            <w:tcBorders>
              <w:top w:val="nil"/>
              <w:left w:val="nil"/>
              <w:bottom w:val="nil"/>
              <w:right w:val="nil"/>
            </w:tcBorders>
            <w:noWrap/>
            <w:vAlign w:val="bottom"/>
            <w:hideMark/>
          </w:tcPr>
          <w:p w14:paraId="3AF9D8A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(3.574)</w:t>
            </w:r>
          </w:p>
        </w:tc>
      </w:tr>
      <w:tr w:rsidR="0097010B" w:rsidRPr="0097010B" w14:paraId="28DF7DE7" w14:textId="77777777" w:rsidTr="00340E24">
        <w:trPr>
          <w:trHeight w:val="276"/>
          <w:jc w:val="center"/>
        </w:trPr>
        <w:tc>
          <w:tcPr>
            <w:tcW w:w="4108" w:type="dxa"/>
            <w:tcBorders>
              <w:top w:val="nil"/>
              <w:left w:val="nil"/>
              <w:bottom w:val="nil"/>
              <w:right w:val="nil"/>
            </w:tcBorders>
            <w:noWrap/>
            <w:vAlign w:val="bottom"/>
            <w:hideMark/>
          </w:tcPr>
          <w:p w14:paraId="0BC9518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Advertising</w:t>
            </w:r>
          </w:p>
        </w:tc>
        <w:tc>
          <w:tcPr>
            <w:tcW w:w="2000" w:type="dxa"/>
            <w:tcBorders>
              <w:top w:val="nil"/>
              <w:left w:val="nil"/>
              <w:bottom w:val="nil"/>
              <w:right w:val="nil"/>
            </w:tcBorders>
            <w:noWrap/>
            <w:vAlign w:val="bottom"/>
            <w:hideMark/>
          </w:tcPr>
          <w:p w14:paraId="4549FB6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−.0112</w:t>
            </w:r>
          </w:p>
        </w:tc>
        <w:tc>
          <w:tcPr>
            <w:tcW w:w="1542" w:type="dxa"/>
            <w:tcBorders>
              <w:top w:val="nil"/>
              <w:left w:val="nil"/>
              <w:bottom w:val="nil"/>
              <w:right w:val="nil"/>
            </w:tcBorders>
            <w:noWrap/>
            <w:vAlign w:val="bottom"/>
            <w:hideMark/>
          </w:tcPr>
          <w:p w14:paraId="423EFB02"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617" w:type="dxa"/>
            <w:tcBorders>
              <w:top w:val="nil"/>
              <w:left w:val="nil"/>
              <w:bottom w:val="nil"/>
              <w:right w:val="nil"/>
            </w:tcBorders>
            <w:noWrap/>
            <w:vAlign w:val="bottom"/>
            <w:hideMark/>
          </w:tcPr>
          <w:p w14:paraId="05304BF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−8.876</w:t>
            </w:r>
          </w:p>
        </w:tc>
      </w:tr>
      <w:tr w:rsidR="0097010B" w:rsidRPr="0097010B" w14:paraId="69061FA2" w14:textId="77777777" w:rsidTr="00340E24">
        <w:trPr>
          <w:trHeight w:val="276"/>
          <w:jc w:val="center"/>
        </w:trPr>
        <w:tc>
          <w:tcPr>
            <w:tcW w:w="4108" w:type="dxa"/>
            <w:tcBorders>
              <w:top w:val="nil"/>
              <w:left w:val="nil"/>
              <w:bottom w:val="nil"/>
              <w:right w:val="nil"/>
            </w:tcBorders>
            <w:noWrap/>
            <w:vAlign w:val="bottom"/>
            <w:hideMark/>
          </w:tcPr>
          <w:p w14:paraId="20EDD6B8"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5F53157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(.0275)</w:t>
            </w:r>
          </w:p>
        </w:tc>
        <w:tc>
          <w:tcPr>
            <w:tcW w:w="1542" w:type="dxa"/>
            <w:tcBorders>
              <w:top w:val="nil"/>
              <w:left w:val="nil"/>
              <w:bottom w:val="nil"/>
              <w:right w:val="nil"/>
            </w:tcBorders>
            <w:noWrap/>
            <w:vAlign w:val="bottom"/>
            <w:hideMark/>
          </w:tcPr>
          <w:p w14:paraId="116BD1D9"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617" w:type="dxa"/>
            <w:tcBorders>
              <w:top w:val="nil"/>
              <w:left w:val="nil"/>
              <w:bottom w:val="nil"/>
              <w:right w:val="nil"/>
            </w:tcBorders>
            <w:noWrap/>
            <w:vAlign w:val="bottom"/>
            <w:hideMark/>
          </w:tcPr>
          <w:p w14:paraId="705E343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(11.10)</w:t>
            </w:r>
          </w:p>
        </w:tc>
      </w:tr>
      <w:tr w:rsidR="0097010B" w:rsidRPr="0097010B" w14:paraId="2D221311" w14:textId="77777777" w:rsidTr="00340E24">
        <w:trPr>
          <w:trHeight w:val="276"/>
          <w:jc w:val="center"/>
        </w:trPr>
        <w:tc>
          <w:tcPr>
            <w:tcW w:w="4108" w:type="dxa"/>
            <w:tcBorders>
              <w:top w:val="nil"/>
              <w:left w:val="nil"/>
              <w:bottom w:val="nil"/>
              <w:right w:val="nil"/>
            </w:tcBorders>
            <w:noWrap/>
            <w:vAlign w:val="bottom"/>
            <w:hideMark/>
          </w:tcPr>
          <w:p w14:paraId="2AF87B3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hAnsi="Times New Roman" w:cs="Times New Roman"/>
                <w:sz w:val="24"/>
                <w:szCs w:val="24"/>
              </w:rPr>
              <w:t>CSR reputation</w:t>
            </w:r>
          </w:p>
        </w:tc>
        <w:tc>
          <w:tcPr>
            <w:tcW w:w="2000" w:type="dxa"/>
            <w:tcBorders>
              <w:top w:val="nil"/>
              <w:left w:val="nil"/>
              <w:bottom w:val="nil"/>
              <w:right w:val="nil"/>
            </w:tcBorders>
            <w:noWrap/>
            <w:vAlign w:val="bottom"/>
            <w:hideMark/>
          </w:tcPr>
          <w:p w14:paraId="199BE65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−1.23e-06</w:t>
            </w:r>
          </w:p>
        </w:tc>
        <w:tc>
          <w:tcPr>
            <w:tcW w:w="1542" w:type="dxa"/>
            <w:tcBorders>
              <w:top w:val="nil"/>
              <w:left w:val="nil"/>
              <w:bottom w:val="nil"/>
              <w:right w:val="nil"/>
            </w:tcBorders>
            <w:noWrap/>
            <w:vAlign w:val="bottom"/>
            <w:hideMark/>
          </w:tcPr>
          <w:p w14:paraId="0CE1618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3.06e-06</w:t>
            </w:r>
          </w:p>
        </w:tc>
        <w:tc>
          <w:tcPr>
            <w:tcW w:w="1617" w:type="dxa"/>
            <w:tcBorders>
              <w:top w:val="nil"/>
              <w:left w:val="nil"/>
              <w:bottom w:val="nil"/>
              <w:right w:val="nil"/>
            </w:tcBorders>
            <w:noWrap/>
            <w:vAlign w:val="bottom"/>
            <w:hideMark/>
          </w:tcPr>
          <w:p w14:paraId="3D66D5BA" w14:textId="77777777" w:rsidR="0097010B" w:rsidRPr="0097010B" w:rsidRDefault="0097010B" w:rsidP="0097010B">
            <w:pPr>
              <w:spacing w:after="0" w:line="360" w:lineRule="auto"/>
              <w:rPr>
                <w:rFonts w:ascii="Times New Roman" w:eastAsia="Times New Roman" w:hAnsi="Times New Roman" w:cs="Times New Roman"/>
                <w:sz w:val="24"/>
                <w:szCs w:val="24"/>
              </w:rPr>
            </w:pPr>
          </w:p>
        </w:tc>
      </w:tr>
      <w:tr w:rsidR="0097010B" w:rsidRPr="0097010B" w14:paraId="1691A720" w14:textId="77777777" w:rsidTr="00340E24">
        <w:trPr>
          <w:trHeight w:val="276"/>
          <w:jc w:val="center"/>
        </w:trPr>
        <w:tc>
          <w:tcPr>
            <w:tcW w:w="4108" w:type="dxa"/>
            <w:tcBorders>
              <w:top w:val="nil"/>
              <w:left w:val="nil"/>
              <w:bottom w:val="nil"/>
              <w:right w:val="nil"/>
            </w:tcBorders>
            <w:noWrap/>
            <w:vAlign w:val="bottom"/>
            <w:hideMark/>
          </w:tcPr>
          <w:p w14:paraId="0F424C7E"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7D7D450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(1.87e-05)</w:t>
            </w:r>
          </w:p>
        </w:tc>
        <w:tc>
          <w:tcPr>
            <w:tcW w:w="1542" w:type="dxa"/>
            <w:tcBorders>
              <w:top w:val="nil"/>
              <w:left w:val="nil"/>
              <w:bottom w:val="nil"/>
              <w:right w:val="nil"/>
            </w:tcBorders>
            <w:noWrap/>
            <w:vAlign w:val="bottom"/>
            <w:hideMark/>
          </w:tcPr>
          <w:p w14:paraId="49CE13C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(6.01e-06)</w:t>
            </w:r>
          </w:p>
        </w:tc>
        <w:tc>
          <w:tcPr>
            <w:tcW w:w="1617" w:type="dxa"/>
            <w:tcBorders>
              <w:top w:val="nil"/>
              <w:left w:val="nil"/>
              <w:bottom w:val="nil"/>
              <w:right w:val="nil"/>
            </w:tcBorders>
            <w:noWrap/>
            <w:vAlign w:val="bottom"/>
            <w:hideMark/>
          </w:tcPr>
          <w:p w14:paraId="01D9AB6A" w14:textId="77777777" w:rsidR="0097010B" w:rsidRPr="0097010B" w:rsidRDefault="0097010B" w:rsidP="0097010B">
            <w:pPr>
              <w:spacing w:after="0" w:line="360" w:lineRule="auto"/>
              <w:rPr>
                <w:rFonts w:ascii="Times New Roman" w:eastAsia="Times New Roman" w:hAnsi="Times New Roman" w:cs="Times New Roman"/>
                <w:sz w:val="24"/>
                <w:szCs w:val="24"/>
              </w:rPr>
            </w:pPr>
          </w:p>
        </w:tc>
      </w:tr>
      <w:tr w:rsidR="0097010B" w:rsidRPr="0097010B" w14:paraId="5355D0C0" w14:textId="77777777" w:rsidTr="00340E24">
        <w:trPr>
          <w:trHeight w:val="276"/>
          <w:jc w:val="center"/>
        </w:trPr>
        <w:tc>
          <w:tcPr>
            <w:tcW w:w="4108" w:type="dxa"/>
            <w:tcBorders>
              <w:top w:val="nil"/>
              <w:left w:val="nil"/>
              <w:bottom w:val="nil"/>
              <w:right w:val="nil"/>
            </w:tcBorders>
            <w:noWrap/>
            <w:vAlign w:val="bottom"/>
            <w:hideMark/>
          </w:tcPr>
          <w:p w14:paraId="6CC5312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R&amp;D</w:t>
            </w:r>
          </w:p>
        </w:tc>
        <w:tc>
          <w:tcPr>
            <w:tcW w:w="2000" w:type="dxa"/>
            <w:tcBorders>
              <w:top w:val="nil"/>
              <w:left w:val="nil"/>
              <w:bottom w:val="nil"/>
              <w:right w:val="nil"/>
            </w:tcBorders>
            <w:noWrap/>
            <w:vAlign w:val="bottom"/>
            <w:hideMark/>
          </w:tcPr>
          <w:p w14:paraId="63FB43F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−.0149**</w:t>
            </w:r>
          </w:p>
        </w:tc>
        <w:tc>
          <w:tcPr>
            <w:tcW w:w="1542" w:type="dxa"/>
            <w:tcBorders>
              <w:top w:val="nil"/>
              <w:left w:val="nil"/>
              <w:bottom w:val="nil"/>
              <w:right w:val="nil"/>
            </w:tcBorders>
            <w:noWrap/>
            <w:vAlign w:val="bottom"/>
            <w:hideMark/>
          </w:tcPr>
          <w:p w14:paraId="396B276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.00400*</w:t>
            </w:r>
          </w:p>
        </w:tc>
        <w:tc>
          <w:tcPr>
            <w:tcW w:w="1617" w:type="dxa"/>
            <w:tcBorders>
              <w:top w:val="nil"/>
              <w:left w:val="nil"/>
              <w:bottom w:val="nil"/>
              <w:right w:val="nil"/>
            </w:tcBorders>
            <w:noWrap/>
            <w:vAlign w:val="bottom"/>
            <w:hideMark/>
          </w:tcPr>
          <w:p w14:paraId="5ED2AD7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−3.515</w:t>
            </w:r>
          </w:p>
        </w:tc>
      </w:tr>
      <w:tr w:rsidR="0097010B" w:rsidRPr="0097010B" w14:paraId="352DA8EB" w14:textId="77777777" w:rsidTr="00340E24">
        <w:trPr>
          <w:trHeight w:val="276"/>
          <w:jc w:val="center"/>
        </w:trPr>
        <w:tc>
          <w:tcPr>
            <w:tcW w:w="4108" w:type="dxa"/>
            <w:tcBorders>
              <w:top w:val="nil"/>
              <w:left w:val="nil"/>
              <w:bottom w:val="nil"/>
              <w:right w:val="nil"/>
            </w:tcBorders>
            <w:noWrap/>
            <w:vAlign w:val="bottom"/>
            <w:hideMark/>
          </w:tcPr>
          <w:p w14:paraId="1E362EC4"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1FACE6F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(.00746)</w:t>
            </w:r>
          </w:p>
        </w:tc>
        <w:tc>
          <w:tcPr>
            <w:tcW w:w="1542" w:type="dxa"/>
            <w:tcBorders>
              <w:top w:val="nil"/>
              <w:left w:val="nil"/>
              <w:bottom w:val="nil"/>
              <w:right w:val="nil"/>
            </w:tcBorders>
            <w:noWrap/>
            <w:vAlign w:val="bottom"/>
            <w:hideMark/>
          </w:tcPr>
          <w:p w14:paraId="4724D8A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(.00241)</w:t>
            </w:r>
          </w:p>
        </w:tc>
        <w:tc>
          <w:tcPr>
            <w:tcW w:w="1617" w:type="dxa"/>
            <w:tcBorders>
              <w:top w:val="nil"/>
              <w:left w:val="nil"/>
              <w:bottom w:val="nil"/>
              <w:right w:val="nil"/>
            </w:tcBorders>
            <w:noWrap/>
            <w:vAlign w:val="bottom"/>
            <w:hideMark/>
          </w:tcPr>
          <w:p w14:paraId="6B97AF5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(3.046)</w:t>
            </w:r>
          </w:p>
        </w:tc>
      </w:tr>
      <w:tr w:rsidR="0097010B" w:rsidRPr="0097010B" w14:paraId="6C20702D" w14:textId="77777777" w:rsidTr="00340E24">
        <w:trPr>
          <w:trHeight w:val="276"/>
          <w:jc w:val="center"/>
        </w:trPr>
        <w:tc>
          <w:tcPr>
            <w:tcW w:w="4108" w:type="dxa"/>
            <w:tcBorders>
              <w:top w:val="nil"/>
              <w:left w:val="nil"/>
              <w:bottom w:val="nil"/>
              <w:right w:val="nil"/>
            </w:tcBorders>
            <w:noWrap/>
            <w:vAlign w:val="bottom"/>
            <w:hideMark/>
          </w:tcPr>
          <w:p w14:paraId="33B607D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Pricing power</w:t>
            </w:r>
          </w:p>
        </w:tc>
        <w:tc>
          <w:tcPr>
            <w:tcW w:w="2000" w:type="dxa"/>
            <w:tcBorders>
              <w:top w:val="nil"/>
              <w:left w:val="nil"/>
              <w:bottom w:val="nil"/>
              <w:right w:val="nil"/>
            </w:tcBorders>
            <w:noWrap/>
            <w:vAlign w:val="bottom"/>
            <w:hideMark/>
          </w:tcPr>
          <w:p w14:paraId="69571C4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−.0141***</w:t>
            </w:r>
          </w:p>
        </w:tc>
        <w:tc>
          <w:tcPr>
            <w:tcW w:w="1542" w:type="dxa"/>
            <w:tcBorders>
              <w:top w:val="nil"/>
              <w:left w:val="nil"/>
              <w:bottom w:val="nil"/>
              <w:right w:val="nil"/>
            </w:tcBorders>
            <w:noWrap/>
            <w:vAlign w:val="bottom"/>
            <w:hideMark/>
          </w:tcPr>
          <w:p w14:paraId="4DE53FA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.00102</w:t>
            </w:r>
          </w:p>
        </w:tc>
        <w:tc>
          <w:tcPr>
            <w:tcW w:w="1617" w:type="dxa"/>
            <w:tcBorders>
              <w:top w:val="nil"/>
              <w:left w:val="nil"/>
              <w:bottom w:val="nil"/>
              <w:right w:val="nil"/>
            </w:tcBorders>
            <w:noWrap/>
            <w:vAlign w:val="bottom"/>
            <w:hideMark/>
          </w:tcPr>
          <w:p w14:paraId="6EC73A9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−2.925**</w:t>
            </w:r>
          </w:p>
        </w:tc>
      </w:tr>
      <w:tr w:rsidR="0097010B" w:rsidRPr="0097010B" w14:paraId="1B8E8D66" w14:textId="77777777" w:rsidTr="00340E24">
        <w:trPr>
          <w:trHeight w:val="276"/>
          <w:jc w:val="center"/>
        </w:trPr>
        <w:tc>
          <w:tcPr>
            <w:tcW w:w="4108" w:type="dxa"/>
            <w:tcBorders>
              <w:top w:val="nil"/>
              <w:left w:val="nil"/>
              <w:bottom w:val="nil"/>
              <w:right w:val="nil"/>
            </w:tcBorders>
            <w:noWrap/>
            <w:vAlign w:val="bottom"/>
            <w:hideMark/>
          </w:tcPr>
          <w:p w14:paraId="337C51C7"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435A1AA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(.00365)</w:t>
            </w:r>
          </w:p>
        </w:tc>
        <w:tc>
          <w:tcPr>
            <w:tcW w:w="1542" w:type="dxa"/>
            <w:tcBorders>
              <w:top w:val="nil"/>
              <w:left w:val="nil"/>
              <w:bottom w:val="nil"/>
              <w:right w:val="nil"/>
            </w:tcBorders>
            <w:noWrap/>
            <w:vAlign w:val="bottom"/>
            <w:hideMark/>
          </w:tcPr>
          <w:p w14:paraId="72BC7C6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(.00118)</w:t>
            </w:r>
          </w:p>
        </w:tc>
        <w:tc>
          <w:tcPr>
            <w:tcW w:w="1617" w:type="dxa"/>
            <w:tcBorders>
              <w:top w:val="nil"/>
              <w:left w:val="nil"/>
              <w:bottom w:val="nil"/>
              <w:right w:val="nil"/>
            </w:tcBorders>
            <w:noWrap/>
            <w:vAlign w:val="bottom"/>
            <w:hideMark/>
          </w:tcPr>
          <w:p w14:paraId="43FEA86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(1.490)</w:t>
            </w:r>
          </w:p>
        </w:tc>
      </w:tr>
      <w:tr w:rsidR="0097010B" w:rsidRPr="0097010B" w14:paraId="596379AB" w14:textId="77777777" w:rsidTr="00340E24">
        <w:trPr>
          <w:trHeight w:val="276"/>
          <w:jc w:val="center"/>
        </w:trPr>
        <w:tc>
          <w:tcPr>
            <w:tcW w:w="4108" w:type="dxa"/>
            <w:tcBorders>
              <w:top w:val="nil"/>
              <w:left w:val="nil"/>
              <w:bottom w:val="nil"/>
              <w:right w:val="nil"/>
            </w:tcBorders>
            <w:noWrap/>
            <w:vAlign w:val="bottom"/>
            <w:hideMark/>
          </w:tcPr>
          <w:p w14:paraId="46D334B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Distribution</w:t>
            </w:r>
          </w:p>
        </w:tc>
        <w:tc>
          <w:tcPr>
            <w:tcW w:w="2000" w:type="dxa"/>
            <w:tcBorders>
              <w:top w:val="nil"/>
              <w:left w:val="nil"/>
              <w:bottom w:val="nil"/>
              <w:right w:val="nil"/>
            </w:tcBorders>
            <w:noWrap/>
            <w:vAlign w:val="bottom"/>
            <w:hideMark/>
          </w:tcPr>
          <w:p w14:paraId="2F99D58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−.000225</w:t>
            </w:r>
          </w:p>
        </w:tc>
        <w:tc>
          <w:tcPr>
            <w:tcW w:w="1542" w:type="dxa"/>
            <w:tcBorders>
              <w:top w:val="nil"/>
              <w:left w:val="nil"/>
              <w:bottom w:val="nil"/>
              <w:right w:val="nil"/>
            </w:tcBorders>
            <w:noWrap/>
            <w:vAlign w:val="bottom"/>
            <w:hideMark/>
          </w:tcPr>
          <w:p w14:paraId="3BA06FD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−.000965</w:t>
            </w:r>
          </w:p>
        </w:tc>
        <w:tc>
          <w:tcPr>
            <w:tcW w:w="1617" w:type="dxa"/>
            <w:tcBorders>
              <w:top w:val="nil"/>
              <w:left w:val="nil"/>
              <w:bottom w:val="nil"/>
              <w:right w:val="nil"/>
            </w:tcBorders>
            <w:noWrap/>
            <w:vAlign w:val="bottom"/>
            <w:hideMark/>
          </w:tcPr>
          <w:p w14:paraId="14F0150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−6.083*</w:t>
            </w:r>
          </w:p>
        </w:tc>
      </w:tr>
      <w:tr w:rsidR="0097010B" w:rsidRPr="0097010B" w14:paraId="5B6E6EDA" w14:textId="77777777" w:rsidTr="00340E24">
        <w:trPr>
          <w:trHeight w:val="276"/>
          <w:jc w:val="center"/>
        </w:trPr>
        <w:tc>
          <w:tcPr>
            <w:tcW w:w="4108" w:type="dxa"/>
            <w:tcBorders>
              <w:top w:val="nil"/>
              <w:left w:val="nil"/>
              <w:bottom w:val="nil"/>
              <w:right w:val="nil"/>
            </w:tcBorders>
            <w:noWrap/>
            <w:vAlign w:val="bottom"/>
            <w:hideMark/>
          </w:tcPr>
          <w:p w14:paraId="583F83F0"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17B580D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(.00792)</w:t>
            </w:r>
          </w:p>
        </w:tc>
        <w:tc>
          <w:tcPr>
            <w:tcW w:w="1542" w:type="dxa"/>
            <w:tcBorders>
              <w:top w:val="nil"/>
              <w:left w:val="nil"/>
              <w:bottom w:val="nil"/>
              <w:right w:val="nil"/>
            </w:tcBorders>
            <w:noWrap/>
            <w:vAlign w:val="bottom"/>
            <w:hideMark/>
          </w:tcPr>
          <w:p w14:paraId="291C1B6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(.00255)</w:t>
            </w:r>
          </w:p>
        </w:tc>
        <w:tc>
          <w:tcPr>
            <w:tcW w:w="1617" w:type="dxa"/>
            <w:tcBorders>
              <w:top w:val="nil"/>
              <w:left w:val="nil"/>
              <w:bottom w:val="nil"/>
              <w:right w:val="nil"/>
            </w:tcBorders>
            <w:noWrap/>
            <w:vAlign w:val="bottom"/>
            <w:hideMark/>
          </w:tcPr>
          <w:p w14:paraId="36544F2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(3.229)</w:t>
            </w:r>
          </w:p>
        </w:tc>
      </w:tr>
      <w:tr w:rsidR="0097010B" w:rsidRPr="0097010B" w14:paraId="6A7337E8" w14:textId="77777777" w:rsidTr="00340E24">
        <w:trPr>
          <w:trHeight w:val="276"/>
          <w:jc w:val="center"/>
        </w:trPr>
        <w:tc>
          <w:tcPr>
            <w:tcW w:w="4108" w:type="dxa"/>
            <w:tcBorders>
              <w:top w:val="nil"/>
              <w:left w:val="nil"/>
              <w:bottom w:val="nil"/>
              <w:right w:val="nil"/>
            </w:tcBorders>
            <w:noWrap/>
            <w:vAlign w:val="bottom"/>
          </w:tcPr>
          <w:p w14:paraId="369F848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Size</w:t>
            </w:r>
          </w:p>
        </w:tc>
        <w:tc>
          <w:tcPr>
            <w:tcW w:w="2000" w:type="dxa"/>
            <w:tcBorders>
              <w:top w:val="nil"/>
              <w:left w:val="nil"/>
              <w:bottom w:val="nil"/>
              <w:right w:val="nil"/>
            </w:tcBorders>
            <w:noWrap/>
            <w:vAlign w:val="bottom"/>
          </w:tcPr>
          <w:p w14:paraId="20ACE98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−.000873</w:t>
            </w:r>
          </w:p>
        </w:tc>
        <w:tc>
          <w:tcPr>
            <w:tcW w:w="1542" w:type="dxa"/>
            <w:tcBorders>
              <w:top w:val="nil"/>
              <w:left w:val="nil"/>
              <w:bottom w:val="nil"/>
              <w:right w:val="nil"/>
            </w:tcBorders>
            <w:noWrap/>
            <w:vAlign w:val="bottom"/>
          </w:tcPr>
          <w:p w14:paraId="2487540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−.00283***</w:t>
            </w:r>
          </w:p>
        </w:tc>
        <w:tc>
          <w:tcPr>
            <w:tcW w:w="1617" w:type="dxa"/>
            <w:tcBorders>
              <w:top w:val="nil"/>
              <w:left w:val="nil"/>
              <w:bottom w:val="nil"/>
              <w:right w:val="nil"/>
            </w:tcBorders>
            <w:noWrap/>
            <w:vAlign w:val="bottom"/>
          </w:tcPr>
          <w:p w14:paraId="76B0748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.517</w:t>
            </w:r>
          </w:p>
        </w:tc>
      </w:tr>
      <w:tr w:rsidR="0097010B" w:rsidRPr="0097010B" w14:paraId="7379DF2F" w14:textId="77777777" w:rsidTr="00340E24">
        <w:trPr>
          <w:trHeight w:val="276"/>
          <w:jc w:val="center"/>
        </w:trPr>
        <w:tc>
          <w:tcPr>
            <w:tcW w:w="4108" w:type="dxa"/>
            <w:tcBorders>
              <w:top w:val="nil"/>
              <w:left w:val="nil"/>
              <w:bottom w:val="nil"/>
              <w:right w:val="nil"/>
            </w:tcBorders>
            <w:noWrap/>
            <w:vAlign w:val="bottom"/>
          </w:tcPr>
          <w:p w14:paraId="6134A99A"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tcPr>
          <w:p w14:paraId="3C5B6F7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(.000865)</w:t>
            </w:r>
          </w:p>
        </w:tc>
        <w:tc>
          <w:tcPr>
            <w:tcW w:w="1542" w:type="dxa"/>
            <w:tcBorders>
              <w:top w:val="nil"/>
              <w:left w:val="nil"/>
              <w:bottom w:val="nil"/>
              <w:right w:val="nil"/>
            </w:tcBorders>
            <w:noWrap/>
            <w:vAlign w:val="bottom"/>
          </w:tcPr>
          <w:p w14:paraId="1AD0A92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(.000277)</w:t>
            </w:r>
          </w:p>
        </w:tc>
        <w:tc>
          <w:tcPr>
            <w:tcW w:w="1617" w:type="dxa"/>
            <w:tcBorders>
              <w:top w:val="nil"/>
              <w:left w:val="nil"/>
              <w:bottom w:val="nil"/>
              <w:right w:val="nil"/>
            </w:tcBorders>
            <w:noWrap/>
            <w:vAlign w:val="bottom"/>
          </w:tcPr>
          <w:p w14:paraId="51F65DD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(.352)</w:t>
            </w:r>
          </w:p>
        </w:tc>
      </w:tr>
      <w:tr w:rsidR="0097010B" w:rsidRPr="0097010B" w14:paraId="09CE998E" w14:textId="77777777" w:rsidTr="00340E24">
        <w:trPr>
          <w:trHeight w:val="276"/>
          <w:jc w:val="center"/>
        </w:trPr>
        <w:tc>
          <w:tcPr>
            <w:tcW w:w="4108" w:type="dxa"/>
            <w:tcBorders>
              <w:top w:val="nil"/>
              <w:left w:val="nil"/>
              <w:bottom w:val="nil"/>
              <w:right w:val="nil"/>
            </w:tcBorders>
            <w:noWrap/>
            <w:vAlign w:val="bottom"/>
            <w:hideMark/>
          </w:tcPr>
          <w:p w14:paraId="2573FA1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Cost efficiency</w:t>
            </w:r>
          </w:p>
        </w:tc>
        <w:tc>
          <w:tcPr>
            <w:tcW w:w="2000" w:type="dxa"/>
            <w:tcBorders>
              <w:top w:val="nil"/>
              <w:left w:val="nil"/>
              <w:bottom w:val="nil"/>
              <w:right w:val="nil"/>
            </w:tcBorders>
            <w:noWrap/>
            <w:vAlign w:val="bottom"/>
            <w:hideMark/>
          </w:tcPr>
          <w:p w14:paraId="6D4F4E6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2.06e-07</w:t>
            </w:r>
          </w:p>
        </w:tc>
        <w:tc>
          <w:tcPr>
            <w:tcW w:w="1542" w:type="dxa"/>
            <w:tcBorders>
              <w:top w:val="nil"/>
              <w:left w:val="nil"/>
              <w:bottom w:val="nil"/>
              <w:right w:val="nil"/>
            </w:tcBorders>
            <w:noWrap/>
            <w:vAlign w:val="bottom"/>
            <w:hideMark/>
          </w:tcPr>
          <w:p w14:paraId="167FA8C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−2.70e-07</w:t>
            </w:r>
          </w:p>
        </w:tc>
        <w:tc>
          <w:tcPr>
            <w:tcW w:w="1617" w:type="dxa"/>
            <w:tcBorders>
              <w:top w:val="nil"/>
              <w:left w:val="nil"/>
              <w:bottom w:val="nil"/>
              <w:right w:val="nil"/>
            </w:tcBorders>
            <w:noWrap/>
            <w:vAlign w:val="bottom"/>
            <w:hideMark/>
          </w:tcPr>
          <w:p w14:paraId="3A7A886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−.00243</w:t>
            </w:r>
          </w:p>
        </w:tc>
      </w:tr>
      <w:tr w:rsidR="0097010B" w:rsidRPr="0097010B" w14:paraId="7A7DE55C" w14:textId="77777777" w:rsidTr="00340E24">
        <w:trPr>
          <w:trHeight w:val="276"/>
          <w:jc w:val="center"/>
        </w:trPr>
        <w:tc>
          <w:tcPr>
            <w:tcW w:w="4108" w:type="dxa"/>
            <w:tcBorders>
              <w:top w:val="nil"/>
              <w:left w:val="nil"/>
              <w:bottom w:val="nil"/>
              <w:right w:val="nil"/>
            </w:tcBorders>
            <w:noWrap/>
            <w:vAlign w:val="bottom"/>
            <w:hideMark/>
          </w:tcPr>
          <w:p w14:paraId="55E5856C"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613C59D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(6.64e-06)</w:t>
            </w:r>
          </w:p>
        </w:tc>
        <w:tc>
          <w:tcPr>
            <w:tcW w:w="1542" w:type="dxa"/>
            <w:tcBorders>
              <w:top w:val="nil"/>
              <w:left w:val="nil"/>
              <w:bottom w:val="nil"/>
              <w:right w:val="nil"/>
            </w:tcBorders>
            <w:noWrap/>
            <w:vAlign w:val="bottom"/>
            <w:hideMark/>
          </w:tcPr>
          <w:p w14:paraId="634FBCF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(2.14e-06)</w:t>
            </w:r>
          </w:p>
        </w:tc>
        <w:tc>
          <w:tcPr>
            <w:tcW w:w="1617" w:type="dxa"/>
            <w:tcBorders>
              <w:top w:val="nil"/>
              <w:left w:val="nil"/>
              <w:bottom w:val="nil"/>
              <w:right w:val="nil"/>
            </w:tcBorders>
            <w:noWrap/>
            <w:vAlign w:val="bottom"/>
            <w:hideMark/>
          </w:tcPr>
          <w:p w14:paraId="05110F2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(.00271)</w:t>
            </w:r>
          </w:p>
        </w:tc>
      </w:tr>
      <w:tr w:rsidR="0097010B" w:rsidRPr="0097010B" w14:paraId="5583C0FB" w14:textId="77777777" w:rsidTr="00340E24">
        <w:trPr>
          <w:trHeight w:val="276"/>
          <w:jc w:val="center"/>
        </w:trPr>
        <w:tc>
          <w:tcPr>
            <w:tcW w:w="4108" w:type="dxa"/>
            <w:tcBorders>
              <w:top w:val="nil"/>
              <w:left w:val="nil"/>
              <w:bottom w:val="nil"/>
              <w:right w:val="nil"/>
            </w:tcBorders>
            <w:noWrap/>
            <w:vAlign w:val="bottom"/>
            <w:hideMark/>
          </w:tcPr>
          <w:p w14:paraId="4AD4F71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Employee intensity</w:t>
            </w:r>
          </w:p>
        </w:tc>
        <w:tc>
          <w:tcPr>
            <w:tcW w:w="2000" w:type="dxa"/>
            <w:tcBorders>
              <w:top w:val="nil"/>
              <w:left w:val="nil"/>
              <w:bottom w:val="nil"/>
              <w:right w:val="nil"/>
            </w:tcBorders>
            <w:noWrap/>
            <w:vAlign w:val="bottom"/>
            <w:hideMark/>
          </w:tcPr>
          <w:p w14:paraId="671883E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−.0328</w:t>
            </w:r>
          </w:p>
        </w:tc>
        <w:tc>
          <w:tcPr>
            <w:tcW w:w="1542" w:type="dxa"/>
            <w:tcBorders>
              <w:top w:val="nil"/>
              <w:left w:val="nil"/>
              <w:bottom w:val="nil"/>
              <w:right w:val="nil"/>
            </w:tcBorders>
            <w:noWrap/>
            <w:vAlign w:val="bottom"/>
            <w:hideMark/>
          </w:tcPr>
          <w:p w14:paraId="328803A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.431***</w:t>
            </w:r>
          </w:p>
        </w:tc>
        <w:tc>
          <w:tcPr>
            <w:tcW w:w="1617" w:type="dxa"/>
            <w:tcBorders>
              <w:top w:val="nil"/>
              <w:left w:val="nil"/>
              <w:bottom w:val="nil"/>
              <w:right w:val="nil"/>
            </w:tcBorders>
            <w:noWrap/>
            <w:vAlign w:val="bottom"/>
            <w:hideMark/>
          </w:tcPr>
          <w:p w14:paraId="2700673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−6.399</w:t>
            </w:r>
          </w:p>
        </w:tc>
      </w:tr>
      <w:tr w:rsidR="0097010B" w:rsidRPr="0097010B" w14:paraId="74712A74" w14:textId="77777777" w:rsidTr="00340E24">
        <w:trPr>
          <w:trHeight w:val="276"/>
          <w:jc w:val="center"/>
        </w:trPr>
        <w:tc>
          <w:tcPr>
            <w:tcW w:w="4108" w:type="dxa"/>
            <w:tcBorders>
              <w:top w:val="nil"/>
              <w:left w:val="nil"/>
              <w:bottom w:val="nil"/>
              <w:right w:val="nil"/>
            </w:tcBorders>
            <w:noWrap/>
            <w:vAlign w:val="bottom"/>
            <w:hideMark/>
          </w:tcPr>
          <w:p w14:paraId="3A8F3287"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22923A9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(.145)</w:t>
            </w:r>
          </w:p>
        </w:tc>
        <w:tc>
          <w:tcPr>
            <w:tcW w:w="1542" w:type="dxa"/>
            <w:tcBorders>
              <w:top w:val="nil"/>
              <w:left w:val="nil"/>
              <w:bottom w:val="nil"/>
              <w:right w:val="nil"/>
            </w:tcBorders>
            <w:noWrap/>
            <w:vAlign w:val="bottom"/>
            <w:hideMark/>
          </w:tcPr>
          <w:p w14:paraId="5EDF5D2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(.0466)</w:t>
            </w:r>
          </w:p>
        </w:tc>
        <w:tc>
          <w:tcPr>
            <w:tcW w:w="1617" w:type="dxa"/>
            <w:tcBorders>
              <w:top w:val="nil"/>
              <w:left w:val="nil"/>
              <w:bottom w:val="nil"/>
              <w:right w:val="nil"/>
            </w:tcBorders>
            <w:noWrap/>
            <w:vAlign w:val="bottom"/>
            <w:hideMark/>
          </w:tcPr>
          <w:p w14:paraId="3A05328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(59.09)</w:t>
            </w:r>
          </w:p>
        </w:tc>
      </w:tr>
      <w:tr w:rsidR="0097010B" w:rsidRPr="0097010B" w14:paraId="658E767C" w14:textId="77777777" w:rsidTr="00340E24">
        <w:trPr>
          <w:trHeight w:val="276"/>
          <w:jc w:val="center"/>
        </w:trPr>
        <w:tc>
          <w:tcPr>
            <w:tcW w:w="4108" w:type="dxa"/>
            <w:tcBorders>
              <w:top w:val="nil"/>
              <w:left w:val="nil"/>
              <w:bottom w:val="nil"/>
              <w:right w:val="nil"/>
            </w:tcBorders>
            <w:noWrap/>
            <w:vAlign w:val="bottom"/>
            <w:hideMark/>
          </w:tcPr>
          <w:p w14:paraId="34769F2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Intercept</w:t>
            </w:r>
          </w:p>
        </w:tc>
        <w:tc>
          <w:tcPr>
            <w:tcW w:w="2000" w:type="dxa"/>
            <w:tcBorders>
              <w:top w:val="nil"/>
              <w:left w:val="nil"/>
              <w:bottom w:val="nil"/>
              <w:right w:val="nil"/>
            </w:tcBorders>
            <w:noWrap/>
            <w:vAlign w:val="bottom"/>
            <w:hideMark/>
          </w:tcPr>
          <w:p w14:paraId="45C53EB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.0549***</w:t>
            </w:r>
          </w:p>
        </w:tc>
        <w:tc>
          <w:tcPr>
            <w:tcW w:w="1542" w:type="dxa"/>
            <w:tcBorders>
              <w:top w:val="nil"/>
              <w:left w:val="nil"/>
              <w:bottom w:val="nil"/>
              <w:right w:val="nil"/>
            </w:tcBorders>
            <w:noWrap/>
            <w:vAlign w:val="bottom"/>
            <w:hideMark/>
          </w:tcPr>
          <w:p w14:paraId="3B03C34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.0308***</w:t>
            </w:r>
          </w:p>
        </w:tc>
        <w:tc>
          <w:tcPr>
            <w:tcW w:w="1617" w:type="dxa"/>
            <w:tcBorders>
              <w:top w:val="nil"/>
              <w:left w:val="nil"/>
              <w:bottom w:val="nil"/>
              <w:right w:val="nil"/>
            </w:tcBorders>
            <w:noWrap/>
            <w:vAlign w:val="bottom"/>
            <w:hideMark/>
          </w:tcPr>
          <w:p w14:paraId="1A66671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4.024</w:t>
            </w:r>
          </w:p>
        </w:tc>
      </w:tr>
      <w:tr w:rsidR="0097010B" w:rsidRPr="0097010B" w14:paraId="2DE48270" w14:textId="77777777" w:rsidTr="00340E24">
        <w:trPr>
          <w:trHeight w:val="276"/>
          <w:jc w:val="center"/>
        </w:trPr>
        <w:tc>
          <w:tcPr>
            <w:tcW w:w="4108" w:type="dxa"/>
            <w:tcBorders>
              <w:top w:val="nil"/>
              <w:left w:val="nil"/>
              <w:bottom w:val="nil"/>
              <w:right w:val="nil"/>
            </w:tcBorders>
            <w:noWrap/>
            <w:vAlign w:val="bottom"/>
            <w:hideMark/>
          </w:tcPr>
          <w:p w14:paraId="256460AB"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16DD4FF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(.00730)</w:t>
            </w:r>
          </w:p>
        </w:tc>
        <w:tc>
          <w:tcPr>
            <w:tcW w:w="1542" w:type="dxa"/>
            <w:tcBorders>
              <w:top w:val="nil"/>
              <w:left w:val="nil"/>
              <w:bottom w:val="nil"/>
              <w:right w:val="nil"/>
            </w:tcBorders>
            <w:noWrap/>
            <w:vAlign w:val="bottom"/>
            <w:hideMark/>
          </w:tcPr>
          <w:p w14:paraId="4352B53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(.00234)</w:t>
            </w:r>
          </w:p>
        </w:tc>
        <w:tc>
          <w:tcPr>
            <w:tcW w:w="1617" w:type="dxa"/>
            <w:tcBorders>
              <w:top w:val="nil"/>
              <w:left w:val="nil"/>
              <w:bottom w:val="nil"/>
              <w:right w:val="nil"/>
            </w:tcBorders>
            <w:noWrap/>
            <w:vAlign w:val="bottom"/>
            <w:hideMark/>
          </w:tcPr>
          <w:p w14:paraId="56FFC99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(2.999)</w:t>
            </w:r>
          </w:p>
        </w:tc>
      </w:tr>
      <w:tr w:rsidR="0097010B" w:rsidRPr="0097010B" w14:paraId="7B6A8505" w14:textId="77777777" w:rsidTr="00340E24">
        <w:trPr>
          <w:trHeight w:val="276"/>
          <w:jc w:val="center"/>
        </w:trPr>
        <w:tc>
          <w:tcPr>
            <w:tcW w:w="4108" w:type="dxa"/>
            <w:tcBorders>
              <w:top w:val="nil"/>
              <w:left w:val="nil"/>
              <w:bottom w:val="nil"/>
              <w:right w:val="nil"/>
            </w:tcBorders>
            <w:noWrap/>
            <w:vAlign w:val="bottom"/>
            <w:hideMark/>
          </w:tcPr>
          <w:p w14:paraId="326CD675"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000" w:type="dxa"/>
            <w:tcBorders>
              <w:top w:val="nil"/>
              <w:left w:val="nil"/>
              <w:bottom w:val="nil"/>
              <w:right w:val="nil"/>
            </w:tcBorders>
            <w:noWrap/>
            <w:vAlign w:val="bottom"/>
            <w:hideMark/>
          </w:tcPr>
          <w:p w14:paraId="146C2331"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542" w:type="dxa"/>
            <w:tcBorders>
              <w:top w:val="nil"/>
              <w:left w:val="nil"/>
              <w:bottom w:val="nil"/>
              <w:right w:val="nil"/>
            </w:tcBorders>
            <w:noWrap/>
            <w:vAlign w:val="bottom"/>
            <w:hideMark/>
          </w:tcPr>
          <w:p w14:paraId="138EDCBB"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617" w:type="dxa"/>
            <w:tcBorders>
              <w:top w:val="nil"/>
              <w:left w:val="nil"/>
              <w:bottom w:val="nil"/>
              <w:right w:val="nil"/>
            </w:tcBorders>
            <w:noWrap/>
            <w:vAlign w:val="bottom"/>
            <w:hideMark/>
          </w:tcPr>
          <w:p w14:paraId="6AB6A1CF" w14:textId="77777777" w:rsidR="0097010B" w:rsidRPr="0097010B" w:rsidRDefault="0097010B" w:rsidP="0097010B">
            <w:pPr>
              <w:spacing w:after="0" w:line="360" w:lineRule="auto"/>
              <w:rPr>
                <w:rFonts w:ascii="Times New Roman" w:eastAsia="Times New Roman" w:hAnsi="Times New Roman" w:cs="Times New Roman"/>
                <w:sz w:val="24"/>
                <w:szCs w:val="24"/>
              </w:rPr>
            </w:pPr>
          </w:p>
        </w:tc>
      </w:tr>
      <w:tr w:rsidR="0097010B" w:rsidRPr="0097010B" w14:paraId="0903C84B" w14:textId="77777777" w:rsidTr="00340E24">
        <w:trPr>
          <w:trHeight w:val="276"/>
          <w:jc w:val="center"/>
        </w:trPr>
        <w:tc>
          <w:tcPr>
            <w:tcW w:w="4108" w:type="dxa"/>
            <w:tcBorders>
              <w:top w:val="nil"/>
              <w:left w:val="nil"/>
              <w:bottom w:val="nil"/>
              <w:right w:val="nil"/>
            </w:tcBorders>
            <w:noWrap/>
            <w:vAlign w:val="bottom"/>
            <w:hideMark/>
          </w:tcPr>
          <w:p w14:paraId="407E169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Firm fixed effects</w:t>
            </w:r>
          </w:p>
        </w:tc>
        <w:tc>
          <w:tcPr>
            <w:tcW w:w="2000" w:type="dxa"/>
            <w:tcBorders>
              <w:top w:val="nil"/>
              <w:left w:val="nil"/>
              <w:bottom w:val="nil"/>
              <w:right w:val="nil"/>
            </w:tcBorders>
            <w:noWrap/>
            <w:vAlign w:val="bottom"/>
            <w:hideMark/>
          </w:tcPr>
          <w:p w14:paraId="403474F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c>
          <w:tcPr>
            <w:tcW w:w="1542" w:type="dxa"/>
            <w:tcBorders>
              <w:top w:val="nil"/>
              <w:left w:val="nil"/>
              <w:bottom w:val="nil"/>
              <w:right w:val="nil"/>
            </w:tcBorders>
            <w:noWrap/>
            <w:vAlign w:val="bottom"/>
            <w:hideMark/>
          </w:tcPr>
          <w:p w14:paraId="3779169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c>
          <w:tcPr>
            <w:tcW w:w="1617" w:type="dxa"/>
            <w:tcBorders>
              <w:top w:val="nil"/>
              <w:left w:val="nil"/>
              <w:bottom w:val="nil"/>
              <w:right w:val="nil"/>
            </w:tcBorders>
            <w:noWrap/>
            <w:vAlign w:val="bottom"/>
            <w:hideMark/>
          </w:tcPr>
          <w:p w14:paraId="3B64119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r>
      <w:tr w:rsidR="0097010B" w:rsidRPr="0097010B" w14:paraId="17A49D19" w14:textId="77777777" w:rsidTr="00340E24">
        <w:trPr>
          <w:trHeight w:val="276"/>
          <w:jc w:val="center"/>
        </w:trPr>
        <w:tc>
          <w:tcPr>
            <w:tcW w:w="4108" w:type="dxa"/>
            <w:tcBorders>
              <w:top w:val="nil"/>
              <w:left w:val="nil"/>
              <w:bottom w:val="nil"/>
              <w:right w:val="nil"/>
            </w:tcBorders>
            <w:noWrap/>
            <w:vAlign w:val="bottom"/>
            <w:hideMark/>
          </w:tcPr>
          <w:p w14:paraId="7127911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Year fixed effects</w:t>
            </w:r>
          </w:p>
        </w:tc>
        <w:tc>
          <w:tcPr>
            <w:tcW w:w="2000" w:type="dxa"/>
            <w:tcBorders>
              <w:top w:val="nil"/>
              <w:left w:val="nil"/>
              <w:bottom w:val="nil"/>
              <w:right w:val="nil"/>
            </w:tcBorders>
            <w:noWrap/>
            <w:vAlign w:val="bottom"/>
            <w:hideMark/>
          </w:tcPr>
          <w:p w14:paraId="15F5901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c>
          <w:tcPr>
            <w:tcW w:w="1542" w:type="dxa"/>
            <w:tcBorders>
              <w:top w:val="nil"/>
              <w:left w:val="nil"/>
              <w:bottom w:val="nil"/>
              <w:right w:val="nil"/>
            </w:tcBorders>
            <w:noWrap/>
            <w:vAlign w:val="bottom"/>
            <w:hideMark/>
          </w:tcPr>
          <w:p w14:paraId="08A4DA4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c>
          <w:tcPr>
            <w:tcW w:w="1617" w:type="dxa"/>
            <w:tcBorders>
              <w:top w:val="nil"/>
              <w:left w:val="nil"/>
              <w:bottom w:val="nil"/>
              <w:right w:val="nil"/>
            </w:tcBorders>
            <w:noWrap/>
            <w:vAlign w:val="bottom"/>
            <w:hideMark/>
          </w:tcPr>
          <w:p w14:paraId="3756CA8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r>
      <w:tr w:rsidR="0097010B" w:rsidRPr="0097010B" w14:paraId="73414697" w14:textId="77777777" w:rsidTr="00340E24">
        <w:trPr>
          <w:trHeight w:val="276"/>
          <w:jc w:val="center"/>
        </w:trPr>
        <w:tc>
          <w:tcPr>
            <w:tcW w:w="4108" w:type="dxa"/>
            <w:tcBorders>
              <w:top w:val="nil"/>
              <w:left w:val="nil"/>
              <w:bottom w:val="nil"/>
              <w:right w:val="nil"/>
            </w:tcBorders>
            <w:noWrap/>
            <w:vAlign w:val="bottom"/>
            <w:hideMark/>
          </w:tcPr>
          <w:p w14:paraId="212B8BD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Observations</w:t>
            </w:r>
          </w:p>
        </w:tc>
        <w:tc>
          <w:tcPr>
            <w:tcW w:w="2000" w:type="dxa"/>
            <w:tcBorders>
              <w:top w:val="nil"/>
              <w:left w:val="nil"/>
              <w:bottom w:val="nil"/>
              <w:right w:val="nil"/>
            </w:tcBorders>
            <w:noWrap/>
            <w:vAlign w:val="bottom"/>
            <w:hideMark/>
          </w:tcPr>
          <w:p w14:paraId="1E9FB28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15,291</w:t>
            </w:r>
          </w:p>
        </w:tc>
        <w:tc>
          <w:tcPr>
            <w:tcW w:w="1542" w:type="dxa"/>
            <w:tcBorders>
              <w:top w:val="nil"/>
              <w:left w:val="nil"/>
              <w:bottom w:val="nil"/>
              <w:right w:val="nil"/>
            </w:tcBorders>
            <w:noWrap/>
            <w:vAlign w:val="bottom"/>
            <w:hideMark/>
          </w:tcPr>
          <w:p w14:paraId="6F91E56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15,463</w:t>
            </w:r>
          </w:p>
        </w:tc>
        <w:tc>
          <w:tcPr>
            <w:tcW w:w="1617" w:type="dxa"/>
            <w:tcBorders>
              <w:top w:val="nil"/>
              <w:left w:val="nil"/>
              <w:bottom w:val="nil"/>
              <w:right w:val="nil"/>
            </w:tcBorders>
            <w:noWrap/>
            <w:vAlign w:val="bottom"/>
            <w:hideMark/>
          </w:tcPr>
          <w:p w14:paraId="4B1B596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15,463</w:t>
            </w:r>
          </w:p>
        </w:tc>
      </w:tr>
      <w:tr w:rsidR="0097010B" w:rsidRPr="0097010B" w14:paraId="30D22792" w14:textId="77777777" w:rsidTr="00340E24">
        <w:trPr>
          <w:trHeight w:val="276"/>
          <w:jc w:val="center"/>
        </w:trPr>
        <w:tc>
          <w:tcPr>
            <w:tcW w:w="4108" w:type="dxa"/>
            <w:tcBorders>
              <w:top w:val="nil"/>
              <w:left w:val="nil"/>
              <w:bottom w:val="nil"/>
              <w:right w:val="nil"/>
            </w:tcBorders>
            <w:noWrap/>
            <w:vAlign w:val="bottom"/>
            <w:hideMark/>
          </w:tcPr>
          <w:p w14:paraId="2A3DF2F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R-squared</w:t>
            </w:r>
          </w:p>
        </w:tc>
        <w:tc>
          <w:tcPr>
            <w:tcW w:w="2000" w:type="dxa"/>
            <w:tcBorders>
              <w:top w:val="nil"/>
              <w:left w:val="nil"/>
              <w:bottom w:val="nil"/>
              <w:right w:val="nil"/>
            </w:tcBorders>
            <w:noWrap/>
            <w:vAlign w:val="bottom"/>
            <w:hideMark/>
          </w:tcPr>
          <w:p w14:paraId="259E949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.009</w:t>
            </w:r>
          </w:p>
        </w:tc>
        <w:tc>
          <w:tcPr>
            <w:tcW w:w="1542" w:type="dxa"/>
            <w:tcBorders>
              <w:top w:val="nil"/>
              <w:left w:val="nil"/>
              <w:bottom w:val="nil"/>
              <w:right w:val="nil"/>
            </w:tcBorders>
            <w:noWrap/>
            <w:vAlign w:val="bottom"/>
            <w:hideMark/>
          </w:tcPr>
          <w:p w14:paraId="4FB855A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.025</w:t>
            </w:r>
          </w:p>
        </w:tc>
        <w:tc>
          <w:tcPr>
            <w:tcW w:w="1617" w:type="dxa"/>
            <w:tcBorders>
              <w:top w:val="nil"/>
              <w:left w:val="nil"/>
              <w:bottom w:val="nil"/>
              <w:right w:val="nil"/>
            </w:tcBorders>
            <w:noWrap/>
            <w:vAlign w:val="bottom"/>
            <w:hideMark/>
          </w:tcPr>
          <w:p w14:paraId="6DBAC2D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.264</w:t>
            </w:r>
          </w:p>
        </w:tc>
      </w:tr>
      <w:tr w:rsidR="0097010B" w:rsidRPr="0097010B" w14:paraId="684910B8" w14:textId="77777777" w:rsidTr="00340E24">
        <w:trPr>
          <w:trHeight w:val="276"/>
          <w:jc w:val="center"/>
        </w:trPr>
        <w:tc>
          <w:tcPr>
            <w:tcW w:w="4108" w:type="dxa"/>
            <w:tcBorders>
              <w:top w:val="nil"/>
              <w:left w:val="nil"/>
              <w:bottom w:val="single" w:sz="4" w:space="0" w:color="000000"/>
              <w:right w:val="nil"/>
            </w:tcBorders>
            <w:noWrap/>
            <w:vAlign w:val="bottom"/>
            <w:hideMark/>
          </w:tcPr>
          <w:p w14:paraId="0944E7F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Number of firms</w:t>
            </w:r>
          </w:p>
        </w:tc>
        <w:tc>
          <w:tcPr>
            <w:tcW w:w="2000" w:type="dxa"/>
            <w:tcBorders>
              <w:top w:val="nil"/>
              <w:left w:val="nil"/>
              <w:bottom w:val="single" w:sz="4" w:space="0" w:color="000000"/>
              <w:right w:val="nil"/>
            </w:tcBorders>
            <w:noWrap/>
            <w:vAlign w:val="bottom"/>
            <w:hideMark/>
          </w:tcPr>
          <w:p w14:paraId="338436C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2,432</w:t>
            </w:r>
          </w:p>
        </w:tc>
        <w:tc>
          <w:tcPr>
            <w:tcW w:w="1542" w:type="dxa"/>
            <w:tcBorders>
              <w:top w:val="nil"/>
              <w:left w:val="nil"/>
              <w:bottom w:val="single" w:sz="4" w:space="0" w:color="000000"/>
              <w:right w:val="nil"/>
            </w:tcBorders>
            <w:noWrap/>
            <w:vAlign w:val="bottom"/>
            <w:hideMark/>
          </w:tcPr>
          <w:p w14:paraId="7236BC7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2,460</w:t>
            </w:r>
          </w:p>
        </w:tc>
        <w:tc>
          <w:tcPr>
            <w:tcW w:w="1617" w:type="dxa"/>
            <w:tcBorders>
              <w:top w:val="nil"/>
              <w:left w:val="nil"/>
              <w:bottom w:val="single" w:sz="4" w:space="0" w:color="000000"/>
              <w:right w:val="nil"/>
            </w:tcBorders>
            <w:noWrap/>
            <w:vAlign w:val="bottom"/>
            <w:hideMark/>
          </w:tcPr>
          <w:p w14:paraId="38E946A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2,460</w:t>
            </w:r>
          </w:p>
        </w:tc>
      </w:tr>
    </w:tbl>
    <w:p w14:paraId="561353AF"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.01, **</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.05, *</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.1</w:t>
      </w:r>
    </w:p>
    <w:p w14:paraId="3E7E4F8B"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br w:type="page"/>
      </w:r>
    </w:p>
    <w:p w14:paraId="0EBE61B7"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B3: Environmental Footprint → Brand Equity: Non-Polluting Industries Versus Polluting Industries</w:t>
      </w:r>
    </w:p>
    <w:tbl>
      <w:tblPr>
        <w:tblStyle w:val="PlainTable1"/>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7"/>
        <w:gridCol w:w="2578"/>
        <w:gridCol w:w="2693"/>
      </w:tblGrid>
      <w:tr w:rsidR="0097010B" w:rsidRPr="0097010B" w14:paraId="2E4FE34C" w14:textId="77777777" w:rsidTr="00340E24">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tcBorders>
              <w:top w:val="single" w:sz="4" w:space="0" w:color="auto"/>
              <w:bottom w:val="single" w:sz="4" w:space="0" w:color="auto"/>
            </w:tcBorders>
            <w:noWrap/>
            <w:hideMark/>
          </w:tcPr>
          <w:p w14:paraId="38B75145" w14:textId="77777777" w:rsidR="0097010B" w:rsidRPr="0097010B" w:rsidRDefault="0097010B" w:rsidP="0097010B">
            <w:pPr>
              <w:spacing w:line="360" w:lineRule="auto"/>
              <w:rPr>
                <w:rFonts w:ascii="Times New Roman" w:hAnsi="Times New Roman" w:cs="Times New Roman"/>
                <w:sz w:val="24"/>
                <w:szCs w:val="24"/>
              </w:rPr>
            </w:pPr>
          </w:p>
        </w:tc>
        <w:tc>
          <w:tcPr>
            <w:tcW w:w="5271" w:type="dxa"/>
            <w:gridSpan w:val="2"/>
            <w:tcBorders>
              <w:top w:val="single" w:sz="4" w:space="0" w:color="auto"/>
              <w:bottom w:val="single" w:sz="4" w:space="0" w:color="auto"/>
            </w:tcBorders>
            <w:noWrap/>
            <w:hideMark/>
          </w:tcPr>
          <w:p w14:paraId="6BB588D9" w14:textId="77777777" w:rsidR="0097010B" w:rsidRPr="0097010B" w:rsidRDefault="0097010B" w:rsidP="0097010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DV = Brand Equity</w:t>
            </w:r>
          </w:p>
        </w:tc>
      </w:tr>
      <w:tr w:rsidR="0097010B" w:rsidRPr="0097010B" w14:paraId="3B326448"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tcBorders>
              <w:top w:val="single" w:sz="4" w:space="0" w:color="auto"/>
              <w:bottom w:val="single" w:sz="4" w:space="0" w:color="auto"/>
            </w:tcBorders>
            <w:noWrap/>
            <w:hideMark/>
          </w:tcPr>
          <w:p w14:paraId="49CF94D4" w14:textId="3A9FFF28" w:rsidR="0097010B" w:rsidRPr="0097010B" w:rsidRDefault="0097010B" w:rsidP="0097010B">
            <w:pPr>
              <w:spacing w:line="360" w:lineRule="auto"/>
              <w:rPr>
                <w:rFonts w:ascii="Times New Roman" w:hAnsi="Times New Roman" w:cs="Times New Roman"/>
                <w:b w:val="0"/>
                <w:bCs w:val="0"/>
                <w:sz w:val="24"/>
                <w:szCs w:val="24"/>
              </w:rPr>
            </w:pPr>
          </w:p>
        </w:tc>
        <w:tc>
          <w:tcPr>
            <w:tcW w:w="2578" w:type="dxa"/>
            <w:tcBorders>
              <w:top w:val="single" w:sz="4" w:space="0" w:color="auto"/>
              <w:bottom w:val="single" w:sz="4" w:space="0" w:color="auto"/>
            </w:tcBorders>
            <w:noWrap/>
            <w:hideMark/>
          </w:tcPr>
          <w:p w14:paraId="3B8D680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Subsample of firms in low-polluting industries</w:t>
            </w:r>
          </w:p>
        </w:tc>
        <w:tc>
          <w:tcPr>
            <w:tcW w:w="2693" w:type="dxa"/>
            <w:tcBorders>
              <w:top w:val="single" w:sz="4" w:space="0" w:color="auto"/>
              <w:bottom w:val="single" w:sz="4" w:space="0" w:color="auto"/>
            </w:tcBorders>
            <w:noWrap/>
            <w:hideMark/>
          </w:tcPr>
          <w:p w14:paraId="3ADC944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Subsample of firms in high-polluting industries</w:t>
            </w:r>
          </w:p>
        </w:tc>
      </w:tr>
      <w:tr w:rsidR="0097010B" w:rsidRPr="0097010B" w14:paraId="69526A4A"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tcBorders>
              <w:top w:val="single" w:sz="4" w:space="0" w:color="auto"/>
            </w:tcBorders>
            <w:shd w:val="clear" w:color="auto" w:fill="BFBFBF" w:themeFill="background1" w:themeFillShade="BF"/>
            <w:noWrap/>
            <w:hideMark/>
          </w:tcPr>
          <w:p w14:paraId="173DDFDF"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Environmental footprint</w:t>
            </w:r>
          </w:p>
        </w:tc>
        <w:tc>
          <w:tcPr>
            <w:tcW w:w="2578" w:type="dxa"/>
            <w:tcBorders>
              <w:top w:val="single" w:sz="4" w:space="0" w:color="auto"/>
            </w:tcBorders>
            <w:shd w:val="clear" w:color="auto" w:fill="BFBFBF" w:themeFill="background1" w:themeFillShade="BF"/>
            <w:noWrap/>
            <w:hideMark/>
          </w:tcPr>
          <w:p w14:paraId="3BC22CF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-6,932***</w:t>
            </w:r>
          </w:p>
        </w:tc>
        <w:tc>
          <w:tcPr>
            <w:tcW w:w="2693" w:type="dxa"/>
            <w:tcBorders>
              <w:top w:val="single" w:sz="4" w:space="0" w:color="auto"/>
            </w:tcBorders>
            <w:shd w:val="clear" w:color="auto" w:fill="BFBFBF" w:themeFill="background1" w:themeFillShade="BF"/>
            <w:noWrap/>
            <w:hideMark/>
          </w:tcPr>
          <w:p w14:paraId="2343564C"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-259.3</w:t>
            </w:r>
          </w:p>
        </w:tc>
      </w:tr>
      <w:tr w:rsidR="0097010B" w:rsidRPr="0097010B" w14:paraId="4E55B515"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19C47A11"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218BA83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(2,193)</w:t>
            </w:r>
          </w:p>
        </w:tc>
        <w:tc>
          <w:tcPr>
            <w:tcW w:w="2693" w:type="dxa"/>
            <w:noWrap/>
            <w:hideMark/>
          </w:tcPr>
          <w:p w14:paraId="05C0BE6B"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(182.0)</w:t>
            </w:r>
          </w:p>
        </w:tc>
      </w:tr>
      <w:tr w:rsidR="0097010B" w:rsidRPr="0097010B" w14:paraId="4FF4E00C"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4910D8E5"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Advertising</w:t>
            </w:r>
          </w:p>
        </w:tc>
        <w:tc>
          <w:tcPr>
            <w:tcW w:w="2578" w:type="dxa"/>
            <w:noWrap/>
            <w:hideMark/>
          </w:tcPr>
          <w:p w14:paraId="265DA31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1,468</w:t>
            </w:r>
          </w:p>
        </w:tc>
        <w:tc>
          <w:tcPr>
            <w:tcW w:w="2693" w:type="dxa"/>
            <w:noWrap/>
            <w:hideMark/>
          </w:tcPr>
          <w:p w14:paraId="71471B72"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-571.2</w:t>
            </w:r>
          </w:p>
        </w:tc>
      </w:tr>
      <w:tr w:rsidR="0097010B" w:rsidRPr="0097010B" w14:paraId="1443E2FA"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0043FB1D"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4B05375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(3,216)</w:t>
            </w:r>
          </w:p>
        </w:tc>
        <w:tc>
          <w:tcPr>
            <w:tcW w:w="2693" w:type="dxa"/>
            <w:noWrap/>
            <w:hideMark/>
          </w:tcPr>
          <w:p w14:paraId="2228DA1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(481.0)</w:t>
            </w:r>
          </w:p>
        </w:tc>
      </w:tr>
      <w:tr w:rsidR="0097010B" w:rsidRPr="0097010B" w14:paraId="357FFAD1"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0B6747E5"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CSR reputation</w:t>
            </w:r>
          </w:p>
        </w:tc>
        <w:tc>
          <w:tcPr>
            <w:tcW w:w="2578" w:type="dxa"/>
            <w:noWrap/>
            <w:hideMark/>
          </w:tcPr>
          <w:p w14:paraId="143DE31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-0.103</w:t>
            </w:r>
          </w:p>
        </w:tc>
        <w:tc>
          <w:tcPr>
            <w:tcW w:w="2693" w:type="dxa"/>
            <w:noWrap/>
            <w:hideMark/>
          </w:tcPr>
          <w:p w14:paraId="253D234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-0.0640</w:t>
            </w:r>
          </w:p>
        </w:tc>
      </w:tr>
      <w:tr w:rsidR="0097010B" w:rsidRPr="0097010B" w14:paraId="0C6CA7F4"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09C60676"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0CF28AE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(0.0999)</w:t>
            </w:r>
          </w:p>
        </w:tc>
        <w:tc>
          <w:tcPr>
            <w:tcW w:w="2693" w:type="dxa"/>
            <w:noWrap/>
            <w:hideMark/>
          </w:tcPr>
          <w:p w14:paraId="4FC67B1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(0.0448)</w:t>
            </w:r>
          </w:p>
        </w:tc>
      </w:tr>
      <w:tr w:rsidR="0097010B" w:rsidRPr="0097010B" w14:paraId="0997D591"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3F73EE84"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R&amp;D</w:t>
            </w:r>
          </w:p>
        </w:tc>
        <w:tc>
          <w:tcPr>
            <w:tcW w:w="2578" w:type="dxa"/>
            <w:noWrap/>
            <w:hideMark/>
          </w:tcPr>
          <w:p w14:paraId="5D92249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-389.7***</w:t>
            </w:r>
          </w:p>
        </w:tc>
        <w:tc>
          <w:tcPr>
            <w:tcW w:w="2693" w:type="dxa"/>
            <w:noWrap/>
            <w:hideMark/>
          </w:tcPr>
          <w:p w14:paraId="4A93224E"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12.58</w:t>
            </w:r>
          </w:p>
        </w:tc>
      </w:tr>
      <w:tr w:rsidR="0097010B" w:rsidRPr="0097010B" w14:paraId="59BFA57B"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20E8DD3E"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207C448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(125.2)</w:t>
            </w:r>
          </w:p>
        </w:tc>
        <w:tc>
          <w:tcPr>
            <w:tcW w:w="2693" w:type="dxa"/>
            <w:noWrap/>
            <w:hideMark/>
          </w:tcPr>
          <w:p w14:paraId="5A5DC0F0"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(32.81)</w:t>
            </w:r>
          </w:p>
        </w:tc>
      </w:tr>
      <w:tr w:rsidR="0097010B" w:rsidRPr="0097010B" w14:paraId="56F93226"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283C47E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Pricing power</w:t>
            </w:r>
          </w:p>
        </w:tc>
        <w:tc>
          <w:tcPr>
            <w:tcW w:w="2578" w:type="dxa"/>
            <w:noWrap/>
            <w:hideMark/>
          </w:tcPr>
          <w:p w14:paraId="2B9F828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-167.5***</w:t>
            </w:r>
          </w:p>
        </w:tc>
        <w:tc>
          <w:tcPr>
            <w:tcW w:w="2693" w:type="dxa"/>
            <w:noWrap/>
            <w:hideMark/>
          </w:tcPr>
          <w:p w14:paraId="215F101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-4.679</w:t>
            </w:r>
          </w:p>
        </w:tc>
      </w:tr>
      <w:tr w:rsidR="0097010B" w:rsidRPr="0097010B" w14:paraId="4162F0A2"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3105B5F2"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4321CC1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(37.35)</w:t>
            </w:r>
          </w:p>
        </w:tc>
        <w:tc>
          <w:tcPr>
            <w:tcW w:w="2693" w:type="dxa"/>
            <w:noWrap/>
            <w:hideMark/>
          </w:tcPr>
          <w:p w14:paraId="029FA3F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(16.37)</w:t>
            </w:r>
          </w:p>
        </w:tc>
      </w:tr>
      <w:tr w:rsidR="0097010B" w:rsidRPr="0097010B" w14:paraId="4CA5AF11"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tcPr>
          <w:p w14:paraId="0BB65AE3"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Distribution</w:t>
            </w:r>
          </w:p>
        </w:tc>
        <w:tc>
          <w:tcPr>
            <w:tcW w:w="2578" w:type="dxa"/>
            <w:noWrap/>
          </w:tcPr>
          <w:p w14:paraId="6DC96D6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-38.28</w:t>
            </w:r>
          </w:p>
        </w:tc>
        <w:tc>
          <w:tcPr>
            <w:tcW w:w="2693" w:type="dxa"/>
            <w:noWrap/>
          </w:tcPr>
          <w:p w14:paraId="63764E4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39.25</w:t>
            </w:r>
          </w:p>
        </w:tc>
      </w:tr>
      <w:tr w:rsidR="0097010B" w:rsidRPr="0097010B" w14:paraId="3E81B7E3"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tcPr>
          <w:p w14:paraId="0B39FEA3"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tcPr>
          <w:p w14:paraId="4AEA766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(33.24)</w:t>
            </w:r>
          </w:p>
        </w:tc>
        <w:tc>
          <w:tcPr>
            <w:tcW w:w="2693" w:type="dxa"/>
            <w:noWrap/>
          </w:tcPr>
          <w:p w14:paraId="1FCE0AD1"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(41.02)</w:t>
            </w:r>
          </w:p>
        </w:tc>
      </w:tr>
      <w:tr w:rsidR="0097010B" w:rsidRPr="0097010B" w14:paraId="4D217FF7"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tcPr>
          <w:p w14:paraId="11784FA4"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Size</w:t>
            </w:r>
          </w:p>
        </w:tc>
        <w:tc>
          <w:tcPr>
            <w:tcW w:w="2578" w:type="dxa"/>
            <w:noWrap/>
          </w:tcPr>
          <w:p w14:paraId="4F9407B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-10.37</w:t>
            </w:r>
          </w:p>
        </w:tc>
        <w:tc>
          <w:tcPr>
            <w:tcW w:w="2693" w:type="dxa"/>
            <w:noWrap/>
          </w:tcPr>
          <w:p w14:paraId="7CF7E53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-0.0622</w:t>
            </w:r>
          </w:p>
        </w:tc>
      </w:tr>
      <w:tr w:rsidR="0097010B" w:rsidRPr="0097010B" w14:paraId="41C4C000"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tcPr>
          <w:p w14:paraId="193712DB"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tcPr>
          <w:p w14:paraId="70DB132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(10.55)</w:t>
            </w:r>
          </w:p>
        </w:tc>
        <w:tc>
          <w:tcPr>
            <w:tcW w:w="2693" w:type="dxa"/>
            <w:noWrap/>
          </w:tcPr>
          <w:p w14:paraId="1F7AB6D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(3.270)</w:t>
            </w:r>
          </w:p>
        </w:tc>
      </w:tr>
      <w:tr w:rsidR="0097010B" w:rsidRPr="0097010B" w14:paraId="2131F024"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tcPr>
          <w:p w14:paraId="3406A9CD"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Cost efficiency</w:t>
            </w:r>
          </w:p>
        </w:tc>
        <w:tc>
          <w:tcPr>
            <w:tcW w:w="2578" w:type="dxa"/>
            <w:noWrap/>
          </w:tcPr>
          <w:p w14:paraId="7EACE33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11.50***</w:t>
            </w:r>
          </w:p>
        </w:tc>
        <w:tc>
          <w:tcPr>
            <w:tcW w:w="2693" w:type="dxa"/>
            <w:noWrap/>
          </w:tcPr>
          <w:p w14:paraId="49962C6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1.036</w:t>
            </w:r>
          </w:p>
        </w:tc>
      </w:tr>
      <w:tr w:rsidR="0097010B" w:rsidRPr="0097010B" w14:paraId="03C0B468"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tcPr>
          <w:p w14:paraId="13D65991"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tcPr>
          <w:p w14:paraId="2136C3E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(3.128)</w:t>
            </w:r>
          </w:p>
        </w:tc>
        <w:tc>
          <w:tcPr>
            <w:tcW w:w="2693" w:type="dxa"/>
            <w:noWrap/>
          </w:tcPr>
          <w:p w14:paraId="4D063F8C"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(1.393)</w:t>
            </w:r>
          </w:p>
        </w:tc>
      </w:tr>
      <w:tr w:rsidR="0097010B" w:rsidRPr="0097010B" w14:paraId="2ECE489A"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12D5A565"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Employee intensity</w:t>
            </w:r>
          </w:p>
        </w:tc>
        <w:tc>
          <w:tcPr>
            <w:tcW w:w="2578" w:type="dxa"/>
            <w:noWrap/>
            <w:hideMark/>
          </w:tcPr>
          <w:p w14:paraId="2936BC3B"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-103.0</w:t>
            </w:r>
          </w:p>
        </w:tc>
        <w:tc>
          <w:tcPr>
            <w:tcW w:w="2693" w:type="dxa"/>
            <w:noWrap/>
            <w:hideMark/>
          </w:tcPr>
          <w:p w14:paraId="33DFE12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752.1</w:t>
            </w:r>
          </w:p>
        </w:tc>
      </w:tr>
      <w:tr w:rsidR="0097010B" w:rsidRPr="0097010B" w14:paraId="3F80D4E5"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3AC3F9D6"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0B5461E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(1,445)</w:t>
            </w:r>
          </w:p>
        </w:tc>
        <w:tc>
          <w:tcPr>
            <w:tcW w:w="2693" w:type="dxa"/>
            <w:noWrap/>
            <w:hideMark/>
          </w:tcPr>
          <w:p w14:paraId="3F3DC379"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(985.1)</w:t>
            </w:r>
          </w:p>
        </w:tc>
      </w:tr>
      <w:tr w:rsidR="0097010B" w:rsidRPr="0097010B" w14:paraId="66680993"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4C742A2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Control function: Environmental footprint</w:t>
            </w:r>
          </w:p>
        </w:tc>
        <w:tc>
          <w:tcPr>
            <w:tcW w:w="2578" w:type="dxa"/>
            <w:noWrap/>
            <w:hideMark/>
          </w:tcPr>
          <w:p w14:paraId="1F823FF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7,003***</w:t>
            </w:r>
          </w:p>
        </w:tc>
        <w:tc>
          <w:tcPr>
            <w:tcW w:w="2693" w:type="dxa"/>
            <w:noWrap/>
            <w:hideMark/>
          </w:tcPr>
          <w:p w14:paraId="62DD7F43"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248.9</w:t>
            </w:r>
          </w:p>
        </w:tc>
      </w:tr>
      <w:tr w:rsidR="0097010B" w:rsidRPr="0097010B" w14:paraId="37009910"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40443D3F"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14EE627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(2,217)</w:t>
            </w:r>
          </w:p>
        </w:tc>
        <w:tc>
          <w:tcPr>
            <w:tcW w:w="2693" w:type="dxa"/>
            <w:noWrap/>
            <w:hideMark/>
          </w:tcPr>
          <w:p w14:paraId="184555F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(186.0)</w:t>
            </w:r>
          </w:p>
        </w:tc>
      </w:tr>
      <w:tr w:rsidR="0097010B" w:rsidRPr="0097010B" w14:paraId="3820D1E3"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2CFCBF99"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Control function: Advertising</w:t>
            </w:r>
          </w:p>
        </w:tc>
        <w:tc>
          <w:tcPr>
            <w:tcW w:w="2578" w:type="dxa"/>
            <w:noWrap/>
            <w:hideMark/>
          </w:tcPr>
          <w:p w14:paraId="774F20A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-1,460</w:t>
            </w:r>
          </w:p>
        </w:tc>
        <w:tc>
          <w:tcPr>
            <w:tcW w:w="2693" w:type="dxa"/>
            <w:noWrap/>
            <w:hideMark/>
          </w:tcPr>
          <w:p w14:paraId="31A593B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561.0</w:t>
            </w:r>
          </w:p>
        </w:tc>
      </w:tr>
      <w:tr w:rsidR="0097010B" w:rsidRPr="0097010B" w14:paraId="3E9858B7"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5E20B559"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27DA06E7"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(3,230)</w:t>
            </w:r>
          </w:p>
        </w:tc>
        <w:tc>
          <w:tcPr>
            <w:tcW w:w="2693" w:type="dxa"/>
            <w:noWrap/>
            <w:hideMark/>
          </w:tcPr>
          <w:p w14:paraId="7247912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(480.1)</w:t>
            </w:r>
          </w:p>
        </w:tc>
      </w:tr>
      <w:tr w:rsidR="0097010B" w:rsidRPr="0097010B" w14:paraId="70BF1247"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75902C55"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Control function: CSR reputation</w:t>
            </w:r>
          </w:p>
        </w:tc>
        <w:tc>
          <w:tcPr>
            <w:tcW w:w="2578" w:type="dxa"/>
            <w:noWrap/>
            <w:hideMark/>
          </w:tcPr>
          <w:p w14:paraId="3701C080"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0.363***</w:t>
            </w:r>
          </w:p>
        </w:tc>
        <w:tc>
          <w:tcPr>
            <w:tcW w:w="2693" w:type="dxa"/>
            <w:noWrap/>
            <w:hideMark/>
          </w:tcPr>
          <w:p w14:paraId="5942BFA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0.0731</w:t>
            </w:r>
          </w:p>
        </w:tc>
      </w:tr>
      <w:tr w:rsidR="0097010B" w:rsidRPr="0097010B" w14:paraId="6D644A3C"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6D2D18DD"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761FC5DA"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(0.106)</w:t>
            </w:r>
          </w:p>
        </w:tc>
        <w:tc>
          <w:tcPr>
            <w:tcW w:w="2693" w:type="dxa"/>
            <w:noWrap/>
            <w:hideMark/>
          </w:tcPr>
          <w:p w14:paraId="3BF627DE"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(0.0523)</w:t>
            </w:r>
          </w:p>
        </w:tc>
      </w:tr>
      <w:tr w:rsidR="0097010B" w:rsidRPr="0097010B" w14:paraId="312E0271"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3B80D0CA"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Intercept</w:t>
            </w:r>
          </w:p>
        </w:tc>
        <w:tc>
          <w:tcPr>
            <w:tcW w:w="2578" w:type="dxa"/>
            <w:noWrap/>
            <w:hideMark/>
          </w:tcPr>
          <w:p w14:paraId="57D6ABED"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451.2***</w:t>
            </w:r>
          </w:p>
        </w:tc>
        <w:tc>
          <w:tcPr>
            <w:tcW w:w="2693" w:type="dxa"/>
            <w:noWrap/>
            <w:hideMark/>
          </w:tcPr>
          <w:p w14:paraId="618E751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70.45*</w:t>
            </w:r>
          </w:p>
        </w:tc>
      </w:tr>
      <w:tr w:rsidR="0097010B" w:rsidRPr="0097010B" w14:paraId="7B346E2A"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4D2066CB"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6F1446FF"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(168.0)</w:t>
            </w:r>
          </w:p>
        </w:tc>
        <w:tc>
          <w:tcPr>
            <w:tcW w:w="2693" w:type="dxa"/>
            <w:noWrap/>
            <w:hideMark/>
          </w:tcPr>
          <w:p w14:paraId="77F488E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(36.30)</w:t>
            </w:r>
          </w:p>
        </w:tc>
      </w:tr>
      <w:tr w:rsidR="0097010B" w:rsidRPr="0097010B" w14:paraId="36DD60C7"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25732B49" w14:textId="77777777" w:rsidR="0097010B" w:rsidRPr="0097010B" w:rsidRDefault="0097010B" w:rsidP="0097010B">
            <w:pPr>
              <w:spacing w:line="360" w:lineRule="auto"/>
              <w:rPr>
                <w:rFonts w:ascii="Times New Roman" w:hAnsi="Times New Roman" w:cs="Times New Roman"/>
                <w:b w:val="0"/>
                <w:bCs w:val="0"/>
                <w:sz w:val="24"/>
                <w:szCs w:val="24"/>
              </w:rPr>
            </w:pPr>
          </w:p>
        </w:tc>
        <w:tc>
          <w:tcPr>
            <w:tcW w:w="2578" w:type="dxa"/>
            <w:noWrap/>
            <w:hideMark/>
          </w:tcPr>
          <w:p w14:paraId="4E5043E5"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93" w:type="dxa"/>
            <w:noWrap/>
            <w:hideMark/>
          </w:tcPr>
          <w:p w14:paraId="784980C1"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7010B" w:rsidRPr="0097010B" w14:paraId="52D91547"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65D68516" w14:textId="270C78D3"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Firm fixed effects</w:t>
            </w:r>
          </w:p>
        </w:tc>
        <w:tc>
          <w:tcPr>
            <w:tcW w:w="2578" w:type="dxa"/>
            <w:noWrap/>
            <w:hideMark/>
          </w:tcPr>
          <w:p w14:paraId="71BC922D"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Yes</w:t>
            </w:r>
          </w:p>
        </w:tc>
        <w:tc>
          <w:tcPr>
            <w:tcW w:w="2693" w:type="dxa"/>
            <w:noWrap/>
            <w:hideMark/>
          </w:tcPr>
          <w:p w14:paraId="6A40CBD8"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Yes</w:t>
            </w:r>
          </w:p>
        </w:tc>
      </w:tr>
      <w:tr w:rsidR="0097010B" w:rsidRPr="0097010B" w14:paraId="63AA62BC"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6D122FA3" w14:textId="77777777" w:rsidR="0097010B" w:rsidRPr="0097010B" w:rsidRDefault="0097010B" w:rsidP="0097010B">
            <w:pPr>
              <w:spacing w:line="360" w:lineRule="auto"/>
              <w:rPr>
                <w:rFonts w:ascii="Times New Roman" w:hAnsi="Times New Roman" w:cs="Times New Roman"/>
                <w:b w:val="0"/>
                <w:bCs w:val="0"/>
                <w:sz w:val="24"/>
                <w:szCs w:val="24"/>
              </w:rPr>
            </w:pPr>
            <w:r w:rsidRPr="0097010B">
              <w:rPr>
                <w:rFonts w:ascii="Times New Roman" w:hAnsi="Times New Roman" w:cs="Times New Roman"/>
                <w:b w:val="0"/>
                <w:bCs w:val="0"/>
                <w:sz w:val="24"/>
                <w:szCs w:val="24"/>
              </w:rPr>
              <w:t>Year fixed effects</w:t>
            </w:r>
          </w:p>
        </w:tc>
        <w:tc>
          <w:tcPr>
            <w:tcW w:w="2578" w:type="dxa"/>
            <w:noWrap/>
            <w:hideMark/>
          </w:tcPr>
          <w:p w14:paraId="6DBA812A"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Yes</w:t>
            </w:r>
          </w:p>
        </w:tc>
        <w:tc>
          <w:tcPr>
            <w:tcW w:w="2693" w:type="dxa"/>
            <w:noWrap/>
            <w:hideMark/>
          </w:tcPr>
          <w:p w14:paraId="26FA1954"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Yes</w:t>
            </w:r>
          </w:p>
        </w:tc>
      </w:tr>
      <w:tr w:rsidR="0097010B" w:rsidRPr="0097010B" w14:paraId="04CE1E85"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1A9AC17B"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Observations</w:t>
            </w:r>
          </w:p>
        </w:tc>
        <w:tc>
          <w:tcPr>
            <w:tcW w:w="2578" w:type="dxa"/>
            <w:noWrap/>
            <w:hideMark/>
          </w:tcPr>
          <w:p w14:paraId="3DFD56D6"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151</w:t>
            </w:r>
          </w:p>
        </w:tc>
        <w:tc>
          <w:tcPr>
            <w:tcW w:w="2693" w:type="dxa"/>
            <w:noWrap/>
            <w:hideMark/>
          </w:tcPr>
          <w:p w14:paraId="3AF930B3"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364</w:t>
            </w:r>
          </w:p>
        </w:tc>
      </w:tr>
      <w:tr w:rsidR="0097010B" w:rsidRPr="0097010B" w14:paraId="66CC93ED" w14:textId="77777777" w:rsidTr="00340E24">
        <w:trPr>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72757F79"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Number of firms</w:t>
            </w:r>
          </w:p>
        </w:tc>
        <w:tc>
          <w:tcPr>
            <w:tcW w:w="2578" w:type="dxa"/>
            <w:noWrap/>
            <w:hideMark/>
          </w:tcPr>
          <w:p w14:paraId="20A836C6"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18</w:t>
            </w:r>
          </w:p>
        </w:tc>
        <w:tc>
          <w:tcPr>
            <w:tcW w:w="2693" w:type="dxa"/>
            <w:noWrap/>
            <w:hideMark/>
          </w:tcPr>
          <w:p w14:paraId="704A2078" w14:textId="77777777" w:rsidR="0097010B" w:rsidRPr="0097010B" w:rsidRDefault="0097010B" w:rsidP="0097010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37</w:t>
            </w:r>
          </w:p>
        </w:tc>
      </w:tr>
      <w:tr w:rsidR="0097010B" w:rsidRPr="0097010B" w14:paraId="2E2EDEE8" w14:textId="77777777" w:rsidTr="00340E24">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667" w:type="dxa"/>
            <w:noWrap/>
            <w:hideMark/>
          </w:tcPr>
          <w:p w14:paraId="5153E082"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R-squared</w:t>
            </w:r>
          </w:p>
        </w:tc>
        <w:tc>
          <w:tcPr>
            <w:tcW w:w="2578" w:type="dxa"/>
            <w:noWrap/>
            <w:hideMark/>
          </w:tcPr>
          <w:p w14:paraId="19D8CD45"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0.512</w:t>
            </w:r>
          </w:p>
        </w:tc>
        <w:tc>
          <w:tcPr>
            <w:tcW w:w="2693" w:type="dxa"/>
            <w:noWrap/>
            <w:hideMark/>
          </w:tcPr>
          <w:p w14:paraId="2D479514" w14:textId="77777777" w:rsidR="0097010B" w:rsidRPr="0097010B" w:rsidRDefault="0097010B" w:rsidP="0097010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010B">
              <w:rPr>
                <w:rFonts w:ascii="Times New Roman" w:hAnsi="Times New Roman" w:cs="Times New Roman"/>
                <w:sz w:val="24"/>
                <w:szCs w:val="24"/>
              </w:rPr>
              <w:t>0.118</w:t>
            </w:r>
          </w:p>
        </w:tc>
      </w:tr>
    </w:tbl>
    <w:p w14:paraId="572A3E6D" w14:textId="77777777" w:rsidR="0097010B" w:rsidRPr="0097010B" w:rsidRDefault="0097010B" w:rsidP="0097010B">
      <w:pPr>
        <w:spacing w:line="360" w:lineRule="auto"/>
        <w:rPr>
          <w:rFonts w:ascii="Times New Roman" w:hAnsi="Times New Roman" w:cs="Times New Roman"/>
          <w:i/>
          <w:iCs/>
          <w:sz w:val="24"/>
          <w:szCs w:val="24"/>
        </w:rPr>
      </w:pPr>
      <w:r w:rsidRPr="0097010B">
        <w:rPr>
          <w:rFonts w:ascii="Times New Roman" w:hAnsi="Times New Roman" w:cs="Times New Roman"/>
          <w:i/>
          <w:iCs/>
          <w:sz w:val="24"/>
          <w:szCs w:val="24"/>
        </w:rPr>
        <w:t xml:space="preserve">*** p&lt;.01, ** p&lt;.05, * p&lt;.1. </w:t>
      </w:r>
      <w:r w:rsidRPr="0097010B">
        <w:rPr>
          <w:rFonts w:ascii="Times New Roman" w:hAnsi="Times New Roman" w:cs="Times New Roman"/>
          <w:sz w:val="24"/>
          <w:szCs w:val="24"/>
        </w:rPr>
        <w:t>Standard errors are reported in parentheses.</w:t>
      </w:r>
    </w:p>
    <w:p w14:paraId="0AA9B4C4" w14:textId="77777777" w:rsidR="0097010B" w:rsidRPr="0097010B" w:rsidRDefault="0097010B" w:rsidP="0097010B">
      <w:pPr>
        <w:spacing w:line="360" w:lineRule="auto"/>
        <w:rPr>
          <w:rFonts w:ascii="Times New Roman" w:eastAsiaTheme="majorEastAsia" w:hAnsi="Times New Roman" w:cs="Times New Roman"/>
          <w:b/>
          <w:bCs/>
          <w:sz w:val="24"/>
          <w:szCs w:val="24"/>
        </w:rPr>
      </w:pPr>
      <w:r w:rsidRPr="0097010B">
        <w:rPr>
          <w:rFonts w:ascii="Times New Roman" w:hAnsi="Times New Roman" w:cs="Times New Roman"/>
          <w:b/>
          <w:bCs/>
          <w:sz w:val="24"/>
          <w:szCs w:val="24"/>
        </w:rPr>
        <w:br w:type="page"/>
      </w:r>
    </w:p>
    <w:p w14:paraId="2B887C86"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B4: Firm’s Environmental Footprint and Brand Equity: Random Effects Estimation with Industry Fixed Effects</w:t>
      </w:r>
    </w:p>
    <w:tbl>
      <w:tblPr>
        <w:tblW w:w="8174" w:type="dxa"/>
        <w:jc w:val="center"/>
        <w:tblLook w:val="04A0" w:firstRow="1" w:lastRow="0" w:firstColumn="1" w:lastColumn="0" w:noHBand="0" w:noVBand="1"/>
      </w:tblPr>
      <w:tblGrid>
        <w:gridCol w:w="5482"/>
        <w:gridCol w:w="1346"/>
        <w:gridCol w:w="1346"/>
      </w:tblGrid>
      <w:tr w:rsidR="0097010B" w:rsidRPr="0097010B" w14:paraId="143ED38A" w14:textId="77777777" w:rsidTr="00340E24">
        <w:trPr>
          <w:trHeight w:val="305"/>
          <w:jc w:val="center"/>
        </w:trPr>
        <w:tc>
          <w:tcPr>
            <w:tcW w:w="5482" w:type="dxa"/>
            <w:tcBorders>
              <w:top w:val="single" w:sz="4" w:space="0" w:color="auto"/>
              <w:left w:val="nil"/>
              <w:bottom w:val="single" w:sz="4" w:space="0" w:color="auto"/>
              <w:right w:val="nil"/>
            </w:tcBorders>
            <w:noWrap/>
            <w:vAlign w:val="bottom"/>
            <w:hideMark/>
          </w:tcPr>
          <w:p w14:paraId="2E1DF8CC"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single" w:sz="4" w:space="0" w:color="auto"/>
              <w:left w:val="nil"/>
              <w:bottom w:val="single" w:sz="4" w:space="0" w:color="auto"/>
              <w:right w:val="nil"/>
            </w:tcBorders>
            <w:noWrap/>
            <w:vAlign w:val="bottom"/>
            <w:hideMark/>
          </w:tcPr>
          <w:p w14:paraId="4EDE74F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Brand Equity</w:t>
            </w:r>
          </w:p>
        </w:tc>
        <w:tc>
          <w:tcPr>
            <w:tcW w:w="1346" w:type="dxa"/>
            <w:tcBorders>
              <w:top w:val="single" w:sz="4" w:space="0" w:color="auto"/>
              <w:left w:val="nil"/>
              <w:bottom w:val="single" w:sz="4" w:space="0" w:color="auto"/>
              <w:right w:val="nil"/>
            </w:tcBorders>
            <w:noWrap/>
            <w:vAlign w:val="bottom"/>
            <w:hideMark/>
          </w:tcPr>
          <w:p w14:paraId="4739ECD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Brand Equity</w:t>
            </w:r>
          </w:p>
        </w:tc>
      </w:tr>
      <w:tr w:rsidR="0097010B" w:rsidRPr="0097010B" w14:paraId="33CC3C16" w14:textId="77777777" w:rsidTr="00340E24">
        <w:trPr>
          <w:trHeight w:val="305"/>
          <w:jc w:val="center"/>
        </w:trPr>
        <w:tc>
          <w:tcPr>
            <w:tcW w:w="5482" w:type="dxa"/>
            <w:tcBorders>
              <w:top w:val="single" w:sz="4" w:space="0" w:color="auto"/>
              <w:left w:val="nil"/>
              <w:bottom w:val="nil"/>
              <w:right w:val="nil"/>
            </w:tcBorders>
            <w:noWrap/>
            <w:vAlign w:val="bottom"/>
            <w:hideMark/>
          </w:tcPr>
          <w:p w14:paraId="4945FECB"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Environmental footprint</w:t>
            </w:r>
          </w:p>
        </w:tc>
        <w:tc>
          <w:tcPr>
            <w:tcW w:w="1346" w:type="dxa"/>
            <w:tcBorders>
              <w:top w:val="single" w:sz="4" w:space="0" w:color="auto"/>
              <w:left w:val="nil"/>
              <w:bottom w:val="nil"/>
              <w:right w:val="nil"/>
            </w:tcBorders>
            <w:noWrap/>
            <w:vAlign w:val="bottom"/>
            <w:hideMark/>
          </w:tcPr>
          <w:p w14:paraId="1D4C8B4A"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−291.9*</w:t>
            </w:r>
          </w:p>
        </w:tc>
        <w:tc>
          <w:tcPr>
            <w:tcW w:w="1346" w:type="dxa"/>
            <w:tcBorders>
              <w:top w:val="single" w:sz="4" w:space="0" w:color="auto"/>
              <w:left w:val="nil"/>
              <w:bottom w:val="nil"/>
              <w:right w:val="nil"/>
            </w:tcBorders>
            <w:noWrap/>
            <w:vAlign w:val="bottom"/>
            <w:hideMark/>
          </w:tcPr>
          <w:p w14:paraId="1C884BAF"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−231.3</w:t>
            </w:r>
          </w:p>
        </w:tc>
      </w:tr>
      <w:tr w:rsidR="0097010B" w:rsidRPr="0097010B" w14:paraId="5A518946" w14:textId="77777777" w:rsidTr="00340E24">
        <w:trPr>
          <w:trHeight w:val="305"/>
          <w:jc w:val="center"/>
        </w:trPr>
        <w:tc>
          <w:tcPr>
            <w:tcW w:w="5482" w:type="dxa"/>
            <w:tcBorders>
              <w:top w:val="nil"/>
              <w:left w:val="nil"/>
              <w:bottom w:val="nil"/>
              <w:right w:val="nil"/>
            </w:tcBorders>
            <w:noWrap/>
            <w:vAlign w:val="bottom"/>
            <w:hideMark/>
          </w:tcPr>
          <w:p w14:paraId="3D29E4B8"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0B3840B0"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(176.2)</w:t>
            </w:r>
          </w:p>
        </w:tc>
        <w:tc>
          <w:tcPr>
            <w:tcW w:w="1346" w:type="dxa"/>
            <w:tcBorders>
              <w:top w:val="nil"/>
              <w:left w:val="nil"/>
              <w:bottom w:val="nil"/>
              <w:right w:val="nil"/>
            </w:tcBorders>
            <w:noWrap/>
            <w:vAlign w:val="bottom"/>
            <w:hideMark/>
          </w:tcPr>
          <w:p w14:paraId="08164B40"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(175.6)</w:t>
            </w:r>
          </w:p>
        </w:tc>
      </w:tr>
      <w:tr w:rsidR="0097010B" w:rsidRPr="0097010B" w14:paraId="07CA8957" w14:textId="77777777" w:rsidTr="00340E24">
        <w:trPr>
          <w:trHeight w:val="305"/>
          <w:jc w:val="center"/>
        </w:trPr>
        <w:tc>
          <w:tcPr>
            <w:tcW w:w="5482" w:type="dxa"/>
            <w:tcBorders>
              <w:top w:val="nil"/>
              <w:left w:val="nil"/>
              <w:bottom w:val="nil"/>
              <w:right w:val="nil"/>
            </w:tcBorders>
            <w:noWrap/>
            <w:vAlign w:val="bottom"/>
            <w:hideMark/>
          </w:tcPr>
          <w:p w14:paraId="050C3706"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Environmental footprint × Advertising</w:t>
            </w:r>
          </w:p>
        </w:tc>
        <w:tc>
          <w:tcPr>
            <w:tcW w:w="1346" w:type="dxa"/>
            <w:tcBorders>
              <w:top w:val="nil"/>
              <w:left w:val="nil"/>
              <w:bottom w:val="nil"/>
              <w:right w:val="nil"/>
            </w:tcBorders>
            <w:noWrap/>
            <w:vAlign w:val="bottom"/>
            <w:hideMark/>
          </w:tcPr>
          <w:p w14:paraId="40A78692"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75E25B03"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−755.9*</w:t>
            </w:r>
          </w:p>
        </w:tc>
      </w:tr>
      <w:tr w:rsidR="0097010B" w:rsidRPr="0097010B" w14:paraId="60504DA4" w14:textId="77777777" w:rsidTr="00340E24">
        <w:trPr>
          <w:trHeight w:val="305"/>
          <w:jc w:val="center"/>
        </w:trPr>
        <w:tc>
          <w:tcPr>
            <w:tcW w:w="5482" w:type="dxa"/>
            <w:tcBorders>
              <w:top w:val="nil"/>
              <w:left w:val="nil"/>
              <w:bottom w:val="nil"/>
              <w:right w:val="nil"/>
            </w:tcBorders>
            <w:noWrap/>
            <w:vAlign w:val="bottom"/>
            <w:hideMark/>
          </w:tcPr>
          <w:p w14:paraId="00037CD7"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20D8FA5B"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3F093C04"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(393.1)</w:t>
            </w:r>
          </w:p>
        </w:tc>
      </w:tr>
      <w:tr w:rsidR="0097010B" w:rsidRPr="0097010B" w14:paraId="59266B31" w14:textId="77777777" w:rsidTr="00340E24">
        <w:trPr>
          <w:trHeight w:val="305"/>
          <w:jc w:val="center"/>
        </w:trPr>
        <w:tc>
          <w:tcPr>
            <w:tcW w:w="5482" w:type="dxa"/>
            <w:tcBorders>
              <w:top w:val="nil"/>
              <w:left w:val="nil"/>
              <w:bottom w:val="nil"/>
              <w:right w:val="nil"/>
            </w:tcBorders>
            <w:noWrap/>
            <w:vAlign w:val="bottom"/>
            <w:hideMark/>
          </w:tcPr>
          <w:p w14:paraId="03BF6932"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 xml:space="preserve">Environmental footprint × </w:t>
            </w:r>
            <w:r w:rsidRPr="0097010B">
              <w:rPr>
                <w:rFonts w:ascii="Times New Roman" w:hAnsi="Times New Roman" w:cs="Times New Roman"/>
                <w:b/>
                <w:bCs/>
                <w:sz w:val="24"/>
                <w:szCs w:val="24"/>
              </w:rPr>
              <w:t>CSR reputation</w:t>
            </w:r>
          </w:p>
        </w:tc>
        <w:tc>
          <w:tcPr>
            <w:tcW w:w="1346" w:type="dxa"/>
            <w:tcBorders>
              <w:top w:val="nil"/>
              <w:left w:val="nil"/>
              <w:bottom w:val="nil"/>
              <w:right w:val="nil"/>
            </w:tcBorders>
            <w:noWrap/>
            <w:vAlign w:val="bottom"/>
            <w:hideMark/>
          </w:tcPr>
          <w:p w14:paraId="613343C2"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06BB43D8"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−.859***</w:t>
            </w:r>
          </w:p>
        </w:tc>
      </w:tr>
      <w:tr w:rsidR="0097010B" w:rsidRPr="0097010B" w14:paraId="6B029756" w14:textId="77777777" w:rsidTr="00340E24">
        <w:trPr>
          <w:trHeight w:val="305"/>
          <w:jc w:val="center"/>
        </w:trPr>
        <w:tc>
          <w:tcPr>
            <w:tcW w:w="5482" w:type="dxa"/>
            <w:tcBorders>
              <w:top w:val="nil"/>
              <w:left w:val="nil"/>
              <w:bottom w:val="nil"/>
              <w:right w:val="nil"/>
            </w:tcBorders>
            <w:noWrap/>
            <w:vAlign w:val="bottom"/>
            <w:hideMark/>
          </w:tcPr>
          <w:p w14:paraId="31EB19B5"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2346059B"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1346" w:type="dxa"/>
            <w:tcBorders>
              <w:top w:val="nil"/>
              <w:left w:val="nil"/>
              <w:bottom w:val="nil"/>
              <w:right w:val="nil"/>
            </w:tcBorders>
            <w:noWrap/>
            <w:vAlign w:val="bottom"/>
            <w:hideMark/>
          </w:tcPr>
          <w:p w14:paraId="5051BE69"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(.326)</w:t>
            </w:r>
          </w:p>
        </w:tc>
      </w:tr>
      <w:tr w:rsidR="0097010B" w:rsidRPr="0097010B" w14:paraId="0CC3E28F" w14:textId="77777777" w:rsidTr="00340E24">
        <w:trPr>
          <w:trHeight w:val="305"/>
          <w:jc w:val="center"/>
        </w:trPr>
        <w:tc>
          <w:tcPr>
            <w:tcW w:w="5482" w:type="dxa"/>
            <w:tcBorders>
              <w:top w:val="nil"/>
              <w:left w:val="nil"/>
              <w:bottom w:val="nil"/>
              <w:right w:val="nil"/>
            </w:tcBorders>
            <w:noWrap/>
            <w:vAlign w:val="bottom"/>
            <w:hideMark/>
          </w:tcPr>
          <w:p w14:paraId="5D74AC3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Advertising</w:t>
            </w:r>
          </w:p>
        </w:tc>
        <w:tc>
          <w:tcPr>
            <w:tcW w:w="1346" w:type="dxa"/>
            <w:tcBorders>
              <w:top w:val="nil"/>
              <w:left w:val="nil"/>
              <w:bottom w:val="nil"/>
              <w:right w:val="nil"/>
            </w:tcBorders>
            <w:noWrap/>
            <w:vAlign w:val="bottom"/>
            <w:hideMark/>
          </w:tcPr>
          <w:p w14:paraId="60006C8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−359.3</w:t>
            </w:r>
          </w:p>
        </w:tc>
        <w:tc>
          <w:tcPr>
            <w:tcW w:w="1346" w:type="dxa"/>
            <w:tcBorders>
              <w:top w:val="nil"/>
              <w:left w:val="nil"/>
              <w:bottom w:val="nil"/>
              <w:right w:val="nil"/>
            </w:tcBorders>
            <w:noWrap/>
            <w:vAlign w:val="bottom"/>
            <w:hideMark/>
          </w:tcPr>
          <w:p w14:paraId="0B4FBAF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−405.8</w:t>
            </w:r>
          </w:p>
        </w:tc>
      </w:tr>
      <w:tr w:rsidR="0097010B" w:rsidRPr="0097010B" w14:paraId="4667D671" w14:textId="77777777" w:rsidTr="00340E24">
        <w:trPr>
          <w:trHeight w:val="305"/>
          <w:jc w:val="center"/>
        </w:trPr>
        <w:tc>
          <w:tcPr>
            <w:tcW w:w="5482" w:type="dxa"/>
            <w:tcBorders>
              <w:top w:val="nil"/>
              <w:left w:val="nil"/>
              <w:bottom w:val="nil"/>
              <w:right w:val="nil"/>
            </w:tcBorders>
            <w:noWrap/>
            <w:vAlign w:val="bottom"/>
            <w:hideMark/>
          </w:tcPr>
          <w:p w14:paraId="51D7391A"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48B67A4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(453.6)</w:t>
            </w:r>
          </w:p>
        </w:tc>
        <w:tc>
          <w:tcPr>
            <w:tcW w:w="1346" w:type="dxa"/>
            <w:tcBorders>
              <w:top w:val="nil"/>
              <w:left w:val="nil"/>
              <w:bottom w:val="nil"/>
              <w:right w:val="nil"/>
            </w:tcBorders>
            <w:noWrap/>
            <w:vAlign w:val="bottom"/>
            <w:hideMark/>
          </w:tcPr>
          <w:p w14:paraId="1B7DDBD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(449.4)</w:t>
            </w:r>
          </w:p>
        </w:tc>
      </w:tr>
      <w:tr w:rsidR="0097010B" w:rsidRPr="0097010B" w14:paraId="1088BFE2" w14:textId="77777777" w:rsidTr="00340E24">
        <w:trPr>
          <w:trHeight w:val="305"/>
          <w:jc w:val="center"/>
        </w:trPr>
        <w:tc>
          <w:tcPr>
            <w:tcW w:w="5482" w:type="dxa"/>
            <w:tcBorders>
              <w:top w:val="nil"/>
              <w:left w:val="nil"/>
              <w:bottom w:val="nil"/>
              <w:right w:val="nil"/>
            </w:tcBorders>
            <w:noWrap/>
            <w:vAlign w:val="bottom"/>
            <w:hideMark/>
          </w:tcPr>
          <w:p w14:paraId="189A994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hAnsi="Times New Roman" w:cs="Times New Roman"/>
                <w:sz w:val="24"/>
                <w:szCs w:val="24"/>
              </w:rPr>
              <w:t>CSR reputation</w:t>
            </w:r>
          </w:p>
        </w:tc>
        <w:tc>
          <w:tcPr>
            <w:tcW w:w="1346" w:type="dxa"/>
            <w:tcBorders>
              <w:top w:val="nil"/>
              <w:left w:val="nil"/>
              <w:bottom w:val="nil"/>
              <w:right w:val="nil"/>
            </w:tcBorders>
            <w:noWrap/>
            <w:vAlign w:val="bottom"/>
            <w:hideMark/>
          </w:tcPr>
          <w:p w14:paraId="7DF5EAD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−.0228</w:t>
            </w:r>
          </w:p>
        </w:tc>
        <w:tc>
          <w:tcPr>
            <w:tcW w:w="1346" w:type="dxa"/>
            <w:tcBorders>
              <w:top w:val="nil"/>
              <w:left w:val="nil"/>
              <w:bottom w:val="nil"/>
              <w:right w:val="nil"/>
            </w:tcBorders>
            <w:noWrap/>
            <w:vAlign w:val="bottom"/>
            <w:hideMark/>
          </w:tcPr>
          <w:p w14:paraId="5E3E211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.0507</w:t>
            </w:r>
          </w:p>
        </w:tc>
      </w:tr>
      <w:tr w:rsidR="0097010B" w:rsidRPr="0097010B" w14:paraId="677FC701" w14:textId="77777777" w:rsidTr="00340E24">
        <w:trPr>
          <w:trHeight w:val="305"/>
          <w:jc w:val="center"/>
        </w:trPr>
        <w:tc>
          <w:tcPr>
            <w:tcW w:w="5482" w:type="dxa"/>
            <w:tcBorders>
              <w:top w:val="nil"/>
              <w:left w:val="nil"/>
              <w:bottom w:val="nil"/>
              <w:right w:val="nil"/>
            </w:tcBorders>
            <w:noWrap/>
            <w:vAlign w:val="bottom"/>
            <w:hideMark/>
          </w:tcPr>
          <w:p w14:paraId="693607FB"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58DD21F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(.0398)</w:t>
            </w:r>
          </w:p>
        </w:tc>
        <w:tc>
          <w:tcPr>
            <w:tcW w:w="1346" w:type="dxa"/>
            <w:tcBorders>
              <w:top w:val="nil"/>
              <w:left w:val="nil"/>
              <w:bottom w:val="nil"/>
              <w:right w:val="nil"/>
            </w:tcBorders>
            <w:noWrap/>
            <w:vAlign w:val="bottom"/>
            <w:hideMark/>
          </w:tcPr>
          <w:p w14:paraId="366BFAC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(.0491)</w:t>
            </w:r>
          </w:p>
        </w:tc>
      </w:tr>
      <w:tr w:rsidR="0097010B" w:rsidRPr="0097010B" w14:paraId="10B2DCA2" w14:textId="77777777" w:rsidTr="00340E24">
        <w:trPr>
          <w:trHeight w:val="305"/>
          <w:jc w:val="center"/>
        </w:trPr>
        <w:tc>
          <w:tcPr>
            <w:tcW w:w="5482" w:type="dxa"/>
            <w:tcBorders>
              <w:top w:val="nil"/>
              <w:left w:val="nil"/>
              <w:bottom w:val="nil"/>
              <w:right w:val="nil"/>
            </w:tcBorders>
            <w:noWrap/>
            <w:vAlign w:val="bottom"/>
            <w:hideMark/>
          </w:tcPr>
          <w:p w14:paraId="2C026C19" w14:textId="24840195"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R&amp;D</w:t>
            </w:r>
          </w:p>
        </w:tc>
        <w:tc>
          <w:tcPr>
            <w:tcW w:w="1346" w:type="dxa"/>
            <w:tcBorders>
              <w:top w:val="nil"/>
              <w:left w:val="nil"/>
              <w:bottom w:val="nil"/>
              <w:right w:val="nil"/>
            </w:tcBorders>
            <w:noWrap/>
            <w:vAlign w:val="bottom"/>
            <w:hideMark/>
          </w:tcPr>
          <w:p w14:paraId="73F9C2C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−46.01</w:t>
            </w:r>
          </w:p>
        </w:tc>
        <w:tc>
          <w:tcPr>
            <w:tcW w:w="1346" w:type="dxa"/>
            <w:tcBorders>
              <w:top w:val="nil"/>
              <w:left w:val="nil"/>
              <w:bottom w:val="nil"/>
              <w:right w:val="nil"/>
            </w:tcBorders>
            <w:noWrap/>
            <w:vAlign w:val="bottom"/>
            <w:hideMark/>
          </w:tcPr>
          <w:p w14:paraId="4FB292B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−50.55*</w:t>
            </w:r>
          </w:p>
        </w:tc>
      </w:tr>
      <w:tr w:rsidR="0097010B" w:rsidRPr="0097010B" w14:paraId="5136EDEA" w14:textId="77777777" w:rsidTr="00340E24">
        <w:trPr>
          <w:trHeight w:val="305"/>
          <w:jc w:val="center"/>
        </w:trPr>
        <w:tc>
          <w:tcPr>
            <w:tcW w:w="5482" w:type="dxa"/>
            <w:tcBorders>
              <w:top w:val="nil"/>
              <w:left w:val="nil"/>
              <w:bottom w:val="nil"/>
              <w:right w:val="nil"/>
            </w:tcBorders>
            <w:noWrap/>
            <w:vAlign w:val="bottom"/>
            <w:hideMark/>
          </w:tcPr>
          <w:p w14:paraId="38C6F324"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436A801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(28.44)</w:t>
            </w:r>
          </w:p>
        </w:tc>
        <w:tc>
          <w:tcPr>
            <w:tcW w:w="1346" w:type="dxa"/>
            <w:tcBorders>
              <w:top w:val="nil"/>
              <w:left w:val="nil"/>
              <w:bottom w:val="nil"/>
              <w:right w:val="nil"/>
            </w:tcBorders>
            <w:noWrap/>
            <w:vAlign w:val="bottom"/>
            <w:hideMark/>
          </w:tcPr>
          <w:p w14:paraId="67C0242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(28.24)</w:t>
            </w:r>
          </w:p>
        </w:tc>
      </w:tr>
      <w:tr w:rsidR="0097010B" w:rsidRPr="0097010B" w14:paraId="24CD8026" w14:textId="77777777" w:rsidTr="00340E24">
        <w:trPr>
          <w:trHeight w:val="305"/>
          <w:jc w:val="center"/>
        </w:trPr>
        <w:tc>
          <w:tcPr>
            <w:tcW w:w="5482" w:type="dxa"/>
            <w:tcBorders>
              <w:top w:val="nil"/>
              <w:left w:val="nil"/>
              <w:bottom w:val="nil"/>
              <w:right w:val="nil"/>
            </w:tcBorders>
            <w:noWrap/>
            <w:vAlign w:val="bottom"/>
            <w:hideMark/>
          </w:tcPr>
          <w:p w14:paraId="4352016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Pricing power</w:t>
            </w:r>
          </w:p>
        </w:tc>
        <w:tc>
          <w:tcPr>
            <w:tcW w:w="1346" w:type="dxa"/>
            <w:tcBorders>
              <w:top w:val="nil"/>
              <w:left w:val="nil"/>
              <w:bottom w:val="nil"/>
              <w:right w:val="nil"/>
            </w:tcBorders>
            <w:noWrap/>
            <w:vAlign w:val="bottom"/>
            <w:hideMark/>
          </w:tcPr>
          <w:p w14:paraId="3C0B91C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−20.42</w:t>
            </w:r>
          </w:p>
        </w:tc>
        <w:tc>
          <w:tcPr>
            <w:tcW w:w="1346" w:type="dxa"/>
            <w:tcBorders>
              <w:top w:val="nil"/>
              <w:left w:val="nil"/>
              <w:bottom w:val="nil"/>
              <w:right w:val="nil"/>
            </w:tcBorders>
            <w:noWrap/>
            <w:vAlign w:val="bottom"/>
            <w:hideMark/>
          </w:tcPr>
          <w:p w14:paraId="22E420D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−27.79**</w:t>
            </w:r>
          </w:p>
        </w:tc>
      </w:tr>
      <w:tr w:rsidR="0097010B" w:rsidRPr="0097010B" w14:paraId="2F580A9E" w14:textId="77777777" w:rsidTr="00340E24">
        <w:trPr>
          <w:trHeight w:val="305"/>
          <w:jc w:val="center"/>
        </w:trPr>
        <w:tc>
          <w:tcPr>
            <w:tcW w:w="5482" w:type="dxa"/>
            <w:tcBorders>
              <w:top w:val="nil"/>
              <w:left w:val="nil"/>
              <w:bottom w:val="nil"/>
              <w:right w:val="nil"/>
            </w:tcBorders>
            <w:noWrap/>
            <w:vAlign w:val="bottom"/>
            <w:hideMark/>
          </w:tcPr>
          <w:p w14:paraId="7AB9FEAE"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4C6C40F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(12.94)</w:t>
            </w:r>
          </w:p>
        </w:tc>
        <w:tc>
          <w:tcPr>
            <w:tcW w:w="1346" w:type="dxa"/>
            <w:tcBorders>
              <w:top w:val="nil"/>
              <w:left w:val="nil"/>
              <w:bottom w:val="nil"/>
              <w:right w:val="nil"/>
            </w:tcBorders>
            <w:noWrap/>
            <w:vAlign w:val="bottom"/>
            <w:hideMark/>
          </w:tcPr>
          <w:p w14:paraId="7005F36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(13.10)</w:t>
            </w:r>
          </w:p>
        </w:tc>
      </w:tr>
      <w:tr w:rsidR="0097010B" w:rsidRPr="0097010B" w14:paraId="23197427" w14:textId="77777777" w:rsidTr="00340E24">
        <w:trPr>
          <w:trHeight w:val="305"/>
          <w:jc w:val="center"/>
        </w:trPr>
        <w:tc>
          <w:tcPr>
            <w:tcW w:w="5482" w:type="dxa"/>
            <w:tcBorders>
              <w:top w:val="nil"/>
              <w:left w:val="nil"/>
              <w:bottom w:val="nil"/>
              <w:right w:val="nil"/>
            </w:tcBorders>
            <w:noWrap/>
            <w:vAlign w:val="bottom"/>
            <w:hideMark/>
          </w:tcPr>
          <w:p w14:paraId="5F9C1275" w14:textId="773D7D2E"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Distribution</w:t>
            </w:r>
          </w:p>
        </w:tc>
        <w:tc>
          <w:tcPr>
            <w:tcW w:w="1346" w:type="dxa"/>
            <w:tcBorders>
              <w:top w:val="nil"/>
              <w:left w:val="nil"/>
              <w:bottom w:val="nil"/>
              <w:right w:val="nil"/>
            </w:tcBorders>
            <w:noWrap/>
            <w:vAlign w:val="bottom"/>
            <w:hideMark/>
          </w:tcPr>
          <w:p w14:paraId="017D022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−19.44</w:t>
            </w:r>
          </w:p>
        </w:tc>
        <w:tc>
          <w:tcPr>
            <w:tcW w:w="1346" w:type="dxa"/>
            <w:tcBorders>
              <w:top w:val="nil"/>
              <w:left w:val="nil"/>
              <w:bottom w:val="nil"/>
              <w:right w:val="nil"/>
            </w:tcBorders>
            <w:noWrap/>
            <w:vAlign w:val="bottom"/>
            <w:hideMark/>
          </w:tcPr>
          <w:p w14:paraId="33C8380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−10.78</w:t>
            </w:r>
          </w:p>
        </w:tc>
      </w:tr>
      <w:tr w:rsidR="0097010B" w:rsidRPr="0097010B" w14:paraId="5D9E20E9" w14:textId="77777777" w:rsidTr="00340E24">
        <w:trPr>
          <w:trHeight w:val="305"/>
          <w:jc w:val="center"/>
        </w:trPr>
        <w:tc>
          <w:tcPr>
            <w:tcW w:w="5482" w:type="dxa"/>
            <w:tcBorders>
              <w:top w:val="nil"/>
              <w:left w:val="nil"/>
              <w:bottom w:val="nil"/>
              <w:right w:val="nil"/>
            </w:tcBorders>
            <w:noWrap/>
            <w:vAlign w:val="bottom"/>
            <w:hideMark/>
          </w:tcPr>
          <w:p w14:paraId="2289CFD4"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1BF6B71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(23.99)</w:t>
            </w:r>
          </w:p>
        </w:tc>
        <w:tc>
          <w:tcPr>
            <w:tcW w:w="1346" w:type="dxa"/>
            <w:tcBorders>
              <w:top w:val="nil"/>
              <w:left w:val="nil"/>
              <w:bottom w:val="nil"/>
              <w:right w:val="nil"/>
            </w:tcBorders>
            <w:noWrap/>
            <w:vAlign w:val="bottom"/>
            <w:hideMark/>
          </w:tcPr>
          <w:p w14:paraId="62D9EE7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(23.89)</w:t>
            </w:r>
          </w:p>
        </w:tc>
      </w:tr>
      <w:tr w:rsidR="0097010B" w:rsidRPr="0097010B" w14:paraId="5915F750" w14:textId="77777777" w:rsidTr="00340E24">
        <w:trPr>
          <w:trHeight w:val="305"/>
          <w:jc w:val="center"/>
        </w:trPr>
        <w:tc>
          <w:tcPr>
            <w:tcW w:w="5482" w:type="dxa"/>
            <w:tcBorders>
              <w:top w:val="nil"/>
              <w:left w:val="nil"/>
              <w:bottom w:val="nil"/>
              <w:right w:val="nil"/>
            </w:tcBorders>
            <w:noWrap/>
            <w:vAlign w:val="bottom"/>
            <w:hideMark/>
          </w:tcPr>
          <w:p w14:paraId="16616C5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Size</w:t>
            </w:r>
          </w:p>
        </w:tc>
        <w:tc>
          <w:tcPr>
            <w:tcW w:w="1346" w:type="dxa"/>
            <w:tcBorders>
              <w:top w:val="nil"/>
              <w:left w:val="nil"/>
              <w:bottom w:val="nil"/>
              <w:right w:val="nil"/>
            </w:tcBorders>
            <w:noWrap/>
            <w:vAlign w:val="bottom"/>
            <w:hideMark/>
          </w:tcPr>
          <w:p w14:paraId="32868D2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−2.851</w:t>
            </w:r>
          </w:p>
        </w:tc>
        <w:tc>
          <w:tcPr>
            <w:tcW w:w="1346" w:type="dxa"/>
            <w:tcBorders>
              <w:top w:val="nil"/>
              <w:left w:val="nil"/>
              <w:bottom w:val="nil"/>
              <w:right w:val="nil"/>
            </w:tcBorders>
            <w:noWrap/>
            <w:vAlign w:val="bottom"/>
            <w:hideMark/>
          </w:tcPr>
          <w:p w14:paraId="6EE16CC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−3.578*</w:t>
            </w:r>
          </w:p>
        </w:tc>
      </w:tr>
      <w:tr w:rsidR="0097010B" w:rsidRPr="0097010B" w14:paraId="24A9ECB5" w14:textId="77777777" w:rsidTr="00340E24">
        <w:trPr>
          <w:trHeight w:val="305"/>
          <w:jc w:val="center"/>
        </w:trPr>
        <w:tc>
          <w:tcPr>
            <w:tcW w:w="5482" w:type="dxa"/>
            <w:tcBorders>
              <w:top w:val="nil"/>
              <w:left w:val="nil"/>
              <w:bottom w:val="nil"/>
              <w:right w:val="nil"/>
            </w:tcBorders>
            <w:noWrap/>
            <w:vAlign w:val="bottom"/>
            <w:hideMark/>
          </w:tcPr>
          <w:p w14:paraId="3ABD91C1"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158D5CD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(2.058)</w:t>
            </w:r>
          </w:p>
        </w:tc>
        <w:tc>
          <w:tcPr>
            <w:tcW w:w="1346" w:type="dxa"/>
            <w:tcBorders>
              <w:top w:val="nil"/>
              <w:left w:val="nil"/>
              <w:bottom w:val="nil"/>
              <w:right w:val="nil"/>
            </w:tcBorders>
            <w:noWrap/>
            <w:vAlign w:val="bottom"/>
            <w:hideMark/>
          </w:tcPr>
          <w:p w14:paraId="6B2FD27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(2.073)</w:t>
            </w:r>
          </w:p>
        </w:tc>
      </w:tr>
      <w:tr w:rsidR="0097010B" w:rsidRPr="0097010B" w14:paraId="0E7CB4EB" w14:textId="77777777" w:rsidTr="00340E24">
        <w:trPr>
          <w:trHeight w:val="305"/>
          <w:jc w:val="center"/>
        </w:trPr>
        <w:tc>
          <w:tcPr>
            <w:tcW w:w="5482" w:type="dxa"/>
            <w:tcBorders>
              <w:top w:val="nil"/>
              <w:left w:val="nil"/>
              <w:bottom w:val="nil"/>
              <w:right w:val="nil"/>
            </w:tcBorders>
            <w:noWrap/>
            <w:vAlign w:val="bottom"/>
            <w:hideMark/>
          </w:tcPr>
          <w:p w14:paraId="25EAAEB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Cost efficiency</w:t>
            </w:r>
          </w:p>
        </w:tc>
        <w:tc>
          <w:tcPr>
            <w:tcW w:w="1346" w:type="dxa"/>
            <w:tcBorders>
              <w:top w:val="nil"/>
              <w:left w:val="nil"/>
              <w:bottom w:val="nil"/>
              <w:right w:val="nil"/>
            </w:tcBorders>
            <w:noWrap/>
            <w:vAlign w:val="bottom"/>
            <w:hideMark/>
          </w:tcPr>
          <w:p w14:paraId="373CE5C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1.697</w:t>
            </w:r>
          </w:p>
        </w:tc>
        <w:tc>
          <w:tcPr>
            <w:tcW w:w="1346" w:type="dxa"/>
            <w:tcBorders>
              <w:top w:val="nil"/>
              <w:left w:val="nil"/>
              <w:bottom w:val="nil"/>
              <w:right w:val="nil"/>
            </w:tcBorders>
            <w:noWrap/>
            <w:vAlign w:val="bottom"/>
            <w:hideMark/>
          </w:tcPr>
          <w:p w14:paraId="36484B4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2.022*</w:t>
            </w:r>
          </w:p>
        </w:tc>
      </w:tr>
      <w:tr w:rsidR="0097010B" w:rsidRPr="0097010B" w14:paraId="0E98D5F4" w14:textId="77777777" w:rsidTr="00340E24">
        <w:trPr>
          <w:trHeight w:val="305"/>
          <w:jc w:val="center"/>
        </w:trPr>
        <w:tc>
          <w:tcPr>
            <w:tcW w:w="5482" w:type="dxa"/>
            <w:tcBorders>
              <w:top w:val="nil"/>
              <w:left w:val="nil"/>
              <w:bottom w:val="nil"/>
              <w:right w:val="nil"/>
            </w:tcBorders>
            <w:noWrap/>
            <w:vAlign w:val="bottom"/>
            <w:hideMark/>
          </w:tcPr>
          <w:p w14:paraId="613551D8"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5591A75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(1.206)</w:t>
            </w:r>
          </w:p>
        </w:tc>
        <w:tc>
          <w:tcPr>
            <w:tcW w:w="1346" w:type="dxa"/>
            <w:tcBorders>
              <w:top w:val="nil"/>
              <w:left w:val="nil"/>
              <w:bottom w:val="nil"/>
              <w:right w:val="nil"/>
            </w:tcBorders>
            <w:noWrap/>
            <w:vAlign w:val="bottom"/>
            <w:hideMark/>
          </w:tcPr>
          <w:p w14:paraId="4FCD35E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(1.203)</w:t>
            </w:r>
          </w:p>
        </w:tc>
      </w:tr>
      <w:tr w:rsidR="0097010B" w:rsidRPr="0097010B" w14:paraId="2E97A122" w14:textId="77777777" w:rsidTr="00340E24">
        <w:trPr>
          <w:trHeight w:val="305"/>
          <w:jc w:val="center"/>
        </w:trPr>
        <w:tc>
          <w:tcPr>
            <w:tcW w:w="5482" w:type="dxa"/>
            <w:tcBorders>
              <w:top w:val="nil"/>
              <w:left w:val="nil"/>
              <w:bottom w:val="nil"/>
              <w:right w:val="nil"/>
            </w:tcBorders>
            <w:noWrap/>
            <w:vAlign w:val="bottom"/>
            <w:hideMark/>
          </w:tcPr>
          <w:p w14:paraId="1854A39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Employee intensity</w:t>
            </w:r>
          </w:p>
        </w:tc>
        <w:tc>
          <w:tcPr>
            <w:tcW w:w="1346" w:type="dxa"/>
            <w:tcBorders>
              <w:top w:val="nil"/>
              <w:left w:val="nil"/>
              <w:bottom w:val="nil"/>
              <w:right w:val="nil"/>
            </w:tcBorders>
            <w:noWrap/>
            <w:vAlign w:val="bottom"/>
            <w:hideMark/>
          </w:tcPr>
          <w:p w14:paraId="0215C42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871.9***</w:t>
            </w:r>
          </w:p>
        </w:tc>
        <w:tc>
          <w:tcPr>
            <w:tcW w:w="1346" w:type="dxa"/>
            <w:tcBorders>
              <w:top w:val="nil"/>
              <w:left w:val="nil"/>
              <w:bottom w:val="nil"/>
              <w:right w:val="nil"/>
            </w:tcBorders>
            <w:noWrap/>
            <w:vAlign w:val="bottom"/>
            <w:hideMark/>
          </w:tcPr>
          <w:p w14:paraId="1813119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961.7***</w:t>
            </w:r>
          </w:p>
        </w:tc>
      </w:tr>
      <w:tr w:rsidR="0097010B" w:rsidRPr="0097010B" w14:paraId="6C20A6A7" w14:textId="77777777" w:rsidTr="00340E24">
        <w:trPr>
          <w:trHeight w:val="305"/>
          <w:jc w:val="center"/>
        </w:trPr>
        <w:tc>
          <w:tcPr>
            <w:tcW w:w="5482" w:type="dxa"/>
            <w:tcBorders>
              <w:top w:val="nil"/>
              <w:left w:val="nil"/>
              <w:bottom w:val="nil"/>
              <w:right w:val="nil"/>
            </w:tcBorders>
            <w:noWrap/>
            <w:vAlign w:val="bottom"/>
            <w:hideMark/>
          </w:tcPr>
          <w:p w14:paraId="0A0D71D1"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40D417F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(241.6)</w:t>
            </w:r>
          </w:p>
        </w:tc>
        <w:tc>
          <w:tcPr>
            <w:tcW w:w="1346" w:type="dxa"/>
            <w:tcBorders>
              <w:top w:val="nil"/>
              <w:left w:val="nil"/>
              <w:bottom w:val="nil"/>
              <w:right w:val="nil"/>
            </w:tcBorders>
            <w:noWrap/>
            <w:vAlign w:val="bottom"/>
            <w:hideMark/>
          </w:tcPr>
          <w:p w14:paraId="23A7818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(240.8)</w:t>
            </w:r>
          </w:p>
        </w:tc>
      </w:tr>
      <w:tr w:rsidR="0097010B" w:rsidRPr="0097010B" w14:paraId="638BE3AA" w14:textId="77777777" w:rsidTr="00340E24">
        <w:trPr>
          <w:trHeight w:val="305"/>
          <w:jc w:val="center"/>
        </w:trPr>
        <w:tc>
          <w:tcPr>
            <w:tcW w:w="5482" w:type="dxa"/>
            <w:tcBorders>
              <w:top w:val="nil"/>
              <w:left w:val="nil"/>
              <w:bottom w:val="nil"/>
              <w:right w:val="nil"/>
            </w:tcBorders>
            <w:noWrap/>
            <w:vAlign w:val="bottom"/>
            <w:hideMark/>
          </w:tcPr>
          <w:p w14:paraId="3BA63E9E" w14:textId="0CF83591"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Control function: Environmental footprint</w:t>
            </w:r>
          </w:p>
        </w:tc>
        <w:tc>
          <w:tcPr>
            <w:tcW w:w="1346" w:type="dxa"/>
            <w:tcBorders>
              <w:top w:val="nil"/>
              <w:left w:val="nil"/>
              <w:bottom w:val="nil"/>
              <w:right w:val="nil"/>
            </w:tcBorders>
            <w:noWrap/>
            <w:vAlign w:val="bottom"/>
            <w:hideMark/>
          </w:tcPr>
          <w:p w14:paraId="73BD073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287.6</w:t>
            </w:r>
          </w:p>
        </w:tc>
        <w:tc>
          <w:tcPr>
            <w:tcW w:w="1346" w:type="dxa"/>
            <w:tcBorders>
              <w:top w:val="nil"/>
              <w:left w:val="nil"/>
              <w:bottom w:val="nil"/>
              <w:right w:val="nil"/>
            </w:tcBorders>
            <w:noWrap/>
            <w:vAlign w:val="bottom"/>
            <w:hideMark/>
          </w:tcPr>
          <w:p w14:paraId="35CBB92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314.4*</w:t>
            </w:r>
          </w:p>
        </w:tc>
      </w:tr>
      <w:tr w:rsidR="0097010B" w:rsidRPr="0097010B" w14:paraId="27818596" w14:textId="77777777" w:rsidTr="00340E24">
        <w:trPr>
          <w:trHeight w:val="305"/>
          <w:jc w:val="center"/>
        </w:trPr>
        <w:tc>
          <w:tcPr>
            <w:tcW w:w="5482" w:type="dxa"/>
            <w:tcBorders>
              <w:top w:val="nil"/>
              <w:left w:val="nil"/>
              <w:bottom w:val="nil"/>
              <w:right w:val="nil"/>
            </w:tcBorders>
            <w:noWrap/>
            <w:vAlign w:val="bottom"/>
            <w:hideMark/>
          </w:tcPr>
          <w:p w14:paraId="08A9D551"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76692EC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(180.7)</w:t>
            </w:r>
          </w:p>
        </w:tc>
        <w:tc>
          <w:tcPr>
            <w:tcW w:w="1346" w:type="dxa"/>
            <w:tcBorders>
              <w:top w:val="nil"/>
              <w:left w:val="nil"/>
              <w:bottom w:val="nil"/>
              <w:right w:val="nil"/>
            </w:tcBorders>
            <w:noWrap/>
            <w:vAlign w:val="bottom"/>
            <w:hideMark/>
          </w:tcPr>
          <w:p w14:paraId="3C33BA5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(179.1)</w:t>
            </w:r>
          </w:p>
        </w:tc>
      </w:tr>
      <w:tr w:rsidR="0097010B" w:rsidRPr="0097010B" w14:paraId="30A49AF6" w14:textId="77777777" w:rsidTr="00340E24">
        <w:trPr>
          <w:trHeight w:val="305"/>
          <w:jc w:val="center"/>
        </w:trPr>
        <w:tc>
          <w:tcPr>
            <w:tcW w:w="5482" w:type="dxa"/>
            <w:tcBorders>
              <w:top w:val="nil"/>
              <w:left w:val="nil"/>
              <w:bottom w:val="nil"/>
              <w:right w:val="nil"/>
            </w:tcBorders>
            <w:noWrap/>
            <w:vAlign w:val="bottom"/>
            <w:hideMark/>
          </w:tcPr>
          <w:p w14:paraId="2EEE926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Control function: Advertising</w:t>
            </w:r>
          </w:p>
        </w:tc>
        <w:tc>
          <w:tcPr>
            <w:tcW w:w="1346" w:type="dxa"/>
            <w:tcBorders>
              <w:top w:val="nil"/>
              <w:left w:val="nil"/>
              <w:bottom w:val="nil"/>
              <w:right w:val="nil"/>
            </w:tcBorders>
            <w:noWrap/>
            <w:vAlign w:val="bottom"/>
            <w:hideMark/>
          </w:tcPr>
          <w:p w14:paraId="1172404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374.4</w:t>
            </w:r>
          </w:p>
        </w:tc>
        <w:tc>
          <w:tcPr>
            <w:tcW w:w="1346" w:type="dxa"/>
            <w:tcBorders>
              <w:top w:val="nil"/>
              <w:left w:val="nil"/>
              <w:bottom w:val="nil"/>
              <w:right w:val="nil"/>
            </w:tcBorders>
            <w:noWrap/>
            <w:vAlign w:val="bottom"/>
            <w:hideMark/>
          </w:tcPr>
          <w:p w14:paraId="6718774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496.6</w:t>
            </w:r>
          </w:p>
        </w:tc>
      </w:tr>
      <w:tr w:rsidR="0097010B" w:rsidRPr="0097010B" w14:paraId="718B12D5" w14:textId="77777777" w:rsidTr="00340E24">
        <w:trPr>
          <w:trHeight w:val="305"/>
          <w:jc w:val="center"/>
        </w:trPr>
        <w:tc>
          <w:tcPr>
            <w:tcW w:w="5482" w:type="dxa"/>
            <w:tcBorders>
              <w:top w:val="nil"/>
              <w:left w:val="nil"/>
              <w:bottom w:val="nil"/>
              <w:right w:val="nil"/>
            </w:tcBorders>
            <w:noWrap/>
            <w:vAlign w:val="bottom"/>
            <w:hideMark/>
          </w:tcPr>
          <w:p w14:paraId="35D9A3BD"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796B515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(453.6)</w:t>
            </w:r>
          </w:p>
        </w:tc>
        <w:tc>
          <w:tcPr>
            <w:tcW w:w="1346" w:type="dxa"/>
            <w:tcBorders>
              <w:top w:val="nil"/>
              <w:left w:val="nil"/>
              <w:bottom w:val="nil"/>
              <w:right w:val="nil"/>
            </w:tcBorders>
            <w:noWrap/>
            <w:vAlign w:val="bottom"/>
            <w:hideMark/>
          </w:tcPr>
          <w:p w14:paraId="251D567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(451.6)</w:t>
            </w:r>
          </w:p>
        </w:tc>
      </w:tr>
      <w:tr w:rsidR="0097010B" w:rsidRPr="0097010B" w14:paraId="7C99CE04" w14:textId="77777777" w:rsidTr="00340E24">
        <w:trPr>
          <w:trHeight w:val="305"/>
          <w:jc w:val="center"/>
        </w:trPr>
        <w:tc>
          <w:tcPr>
            <w:tcW w:w="5482" w:type="dxa"/>
            <w:tcBorders>
              <w:top w:val="nil"/>
              <w:left w:val="nil"/>
              <w:bottom w:val="nil"/>
              <w:right w:val="nil"/>
            </w:tcBorders>
            <w:noWrap/>
            <w:vAlign w:val="bottom"/>
            <w:hideMark/>
          </w:tcPr>
          <w:p w14:paraId="7F5E5C0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Control function: </w:t>
            </w:r>
            <w:r w:rsidRPr="0097010B">
              <w:rPr>
                <w:rFonts w:ascii="Times New Roman" w:hAnsi="Times New Roman" w:cs="Times New Roman"/>
                <w:sz w:val="24"/>
                <w:szCs w:val="24"/>
              </w:rPr>
              <w:t>CSR reputation</w:t>
            </w:r>
          </w:p>
        </w:tc>
        <w:tc>
          <w:tcPr>
            <w:tcW w:w="1346" w:type="dxa"/>
            <w:tcBorders>
              <w:top w:val="nil"/>
              <w:left w:val="nil"/>
              <w:bottom w:val="nil"/>
              <w:right w:val="nil"/>
            </w:tcBorders>
            <w:noWrap/>
            <w:vAlign w:val="bottom"/>
            <w:hideMark/>
          </w:tcPr>
          <w:p w14:paraId="61FD730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.0887**</w:t>
            </w:r>
          </w:p>
        </w:tc>
        <w:tc>
          <w:tcPr>
            <w:tcW w:w="1346" w:type="dxa"/>
            <w:tcBorders>
              <w:top w:val="nil"/>
              <w:left w:val="nil"/>
              <w:bottom w:val="nil"/>
              <w:right w:val="nil"/>
            </w:tcBorders>
            <w:noWrap/>
            <w:vAlign w:val="bottom"/>
            <w:hideMark/>
          </w:tcPr>
          <w:p w14:paraId="533392F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.0935**</w:t>
            </w:r>
          </w:p>
        </w:tc>
      </w:tr>
      <w:tr w:rsidR="0097010B" w:rsidRPr="0097010B" w14:paraId="4B6DA3F5" w14:textId="77777777" w:rsidTr="00340E24">
        <w:trPr>
          <w:trHeight w:val="305"/>
          <w:jc w:val="center"/>
        </w:trPr>
        <w:tc>
          <w:tcPr>
            <w:tcW w:w="5482" w:type="dxa"/>
            <w:tcBorders>
              <w:top w:val="nil"/>
              <w:left w:val="nil"/>
              <w:bottom w:val="nil"/>
              <w:right w:val="nil"/>
            </w:tcBorders>
            <w:noWrap/>
            <w:vAlign w:val="bottom"/>
            <w:hideMark/>
          </w:tcPr>
          <w:p w14:paraId="338169D0"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06C51BD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(.0443)</w:t>
            </w:r>
          </w:p>
        </w:tc>
        <w:tc>
          <w:tcPr>
            <w:tcW w:w="1346" w:type="dxa"/>
            <w:tcBorders>
              <w:top w:val="nil"/>
              <w:left w:val="nil"/>
              <w:bottom w:val="nil"/>
              <w:right w:val="nil"/>
            </w:tcBorders>
            <w:noWrap/>
            <w:vAlign w:val="bottom"/>
            <w:hideMark/>
          </w:tcPr>
          <w:p w14:paraId="52CADC2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(.0444)</w:t>
            </w:r>
          </w:p>
        </w:tc>
      </w:tr>
      <w:tr w:rsidR="0097010B" w:rsidRPr="0097010B" w14:paraId="5D513E57" w14:textId="77777777" w:rsidTr="00340E24">
        <w:trPr>
          <w:trHeight w:val="305"/>
          <w:jc w:val="center"/>
        </w:trPr>
        <w:tc>
          <w:tcPr>
            <w:tcW w:w="5482" w:type="dxa"/>
            <w:tcBorders>
              <w:top w:val="nil"/>
              <w:left w:val="nil"/>
              <w:bottom w:val="nil"/>
              <w:right w:val="nil"/>
            </w:tcBorders>
            <w:noWrap/>
            <w:vAlign w:val="bottom"/>
            <w:hideMark/>
          </w:tcPr>
          <w:p w14:paraId="4837C04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Intercept</w:t>
            </w:r>
          </w:p>
        </w:tc>
        <w:tc>
          <w:tcPr>
            <w:tcW w:w="1346" w:type="dxa"/>
            <w:tcBorders>
              <w:top w:val="nil"/>
              <w:left w:val="nil"/>
              <w:bottom w:val="nil"/>
              <w:right w:val="nil"/>
            </w:tcBorders>
            <w:noWrap/>
            <w:vAlign w:val="bottom"/>
            <w:hideMark/>
          </w:tcPr>
          <w:p w14:paraId="1DD8283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97.24***</w:t>
            </w:r>
          </w:p>
        </w:tc>
        <w:tc>
          <w:tcPr>
            <w:tcW w:w="1346" w:type="dxa"/>
            <w:tcBorders>
              <w:top w:val="nil"/>
              <w:left w:val="nil"/>
              <w:bottom w:val="nil"/>
              <w:right w:val="nil"/>
            </w:tcBorders>
            <w:noWrap/>
            <w:vAlign w:val="bottom"/>
            <w:hideMark/>
          </w:tcPr>
          <w:p w14:paraId="088B268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97.62***</w:t>
            </w:r>
          </w:p>
        </w:tc>
      </w:tr>
      <w:tr w:rsidR="0097010B" w:rsidRPr="0097010B" w14:paraId="640000E4" w14:textId="77777777" w:rsidTr="00340E24">
        <w:trPr>
          <w:trHeight w:val="305"/>
          <w:jc w:val="center"/>
        </w:trPr>
        <w:tc>
          <w:tcPr>
            <w:tcW w:w="5482" w:type="dxa"/>
            <w:tcBorders>
              <w:top w:val="nil"/>
              <w:left w:val="nil"/>
              <w:bottom w:val="nil"/>
              <w:right w:val="nil"/>
            </w:tcBorders>
            <w:noWrap/>
            <w:vAlign w:val="bottom"/>
            <w:hideMark/>
          </w:tcPr>
          <w:p w14:paraId="10D165C7"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4C3A326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(24.49)</w:t>
            </w:r>
          </w:p>
        </w:tc>
        <w:tc>
          <w:tcPr>
            <w:tcW w:w="1346" w:type="dxa"/>
            <w:tcBorders>
              <w:top w:val="nil"/>
              <w:left w:val="nil"/>
              <w:bottom w:val="nil"/>
              <w:right w:val="nil"/>
            </w:tcBorders>
            <w:noWrap/>
            <w:vAlign w:val="bottom"/>
            <w:hideMark/>
          </w:tcPr>
          <w:p w14:paraId="6FAD3CB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(24.67)</w:t>
            </w:r>
          </w:p>
        </w:tc>
      </w:tr>
      <w:tr w:rsidR="0097010B" w:rsidRPr="0097010B" w14:paraId="7AF9F88B" w14:textId="77777777" w:rsidTr="00340E24">
        <w:trPr>
          <w:trHeight w:val="305"/>
          <w:jc w:val="center"/>
        </w:trPr>
        <w:tc>
          <w:tcPr>
            <w:tcW w:w="5482" w:type="dxa"/>
            <w:tcBorders>
              <w:top w:val="nil"/>
              <w:left w:val="nil"/>
              <w:bottom w:val="nil"/>
              <w:right w:val="nil"/>
            </w:tcBorders>
            <w:noWrap/>
            <w:vAlign w:val="bottom"/>
            <w:hideMark/>
          </w:tcPr>
          <w:p w14:paraId="6F2F09C2"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7A965CFF"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1346" w:type="dxa"/>
            <w:tcBorders>
              <w:top w:val="nil"/>
              <w:left w:val="nil"/>
              <w:bottom w:val="nil"/>
              <w:right w:val="nil"/>
            </w:tcBorders>
            <w:noWrap/>
            <w:vAlign w:val="bottom"/>
            <w:hideMark/>
          </w:tcPr>
          <w:p w14:paraId="757A96D9" w14:textId="77777777" w:rsidR="0097010B" w:rsidRPr="0097010B" w:rsidRDefault="0097010B" w:rsidP="0097010B">
            <w:pPr>
              <w:spacing w:after="0" w:line="360" w:lineRule="auto"/>
              <w:rPr>
                <w:rFonts w:ascii="Times New Roman" w:eastAsia="Times New Roman" w:hAnsi="Times New Roman" w:cs="Times New Roman"/>
                <w:sz w:val="24"/>
                <w:szCs w:val="24"/>
              </w:rPr>
            </w:pPr>
          </w:p>
        </w:tc>
      </w:tr>
      <w:tr w:rsidR="0097010B" w:rsidRPr="0097010B" w14:paraId="2CE65A7B" w14:textId="77777777" w:rsidTr="00340E24">
        <w:trPr>
          <w:trHeight w:val="305"/>
          <w:jc w:val="center"/>
        </w:trPr>
        <w:tc>
          <w:tcPr>
            <w:tcW w:w="5482" w:type="dxa"/>
            <w:tcBorders>
              <w:top w:val="nil"/>
              <w:left w:val="nil"/>
              <w:bottom w:val="nil"/>
              <w:right w:val="nil"/>
            </w:tcBorders>
            <w:noWrap/>
            <w:vAlign w:val="bottom"/>
            <w:hideMark/>
          </w:tcPr>
          <w:p w14:paraId="62C0D41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Industry fixed effects</w:t>
            </w:r>
          </w:p>
        </w:tc>
        <w:tc>
          <w:tcPr>
            <w:tcW w:w="1346" w:type="dxa"/>
            <w:tcBorders>
              <w:top w:val="nil"/>
              <w:left w:val="nil"/>
              <w:bottom w:val="nil"/>
              <w:right w:val="nil"/>
            </w:tcBorders>
            <w:noWrap/>
            <w:vAlign w:val="bottom"/>
            <w:hideMark/>
          </w:tcPr>
          <w:p w14:paraId="1A968B3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c>
          <w:tcPr>
            <w:tcW w:w="1346" w:type="dxa"/>
            <w:tcBorders>
              <w:top w:val="nil"/>
              <w:left w:val="nil"/>
              <w:bottom w:val="nil"/>
              <w:right w:val="nil"/>
            </w:tcBorders>
            <w:noWrap/>
            <w:vAlign w:val="bottom"/>
            <w:hideMark/>
          </w:tcPr>
          <w:p w14:paraId="1C66C02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r>
      <w:tr w:rsidR="0097010B" w:rsidRPr="0097010B" w14:paraId="504E0677" w14:textId="77777777" w:rsidTr="00340E24">
        <w:trPr>
          <w:trHeight w:val="305"/>
          <w:jc w:val="center"/>
        </w:trPr>
        <w:tc>
          <w:tcPr>
            <w:tcW w:w="5482" w:type="dxa"/>
            <w:tcBorders>
              <w:top w:val="nil"/>
              <w:left w:val="nil"/>
              <w:bottom w:val="nil"/>
              <w:right w:val="nil"/>
            </w:tcBorders>
            <w:noWrap/>
            <w:vAlign w:val="bottom"/>
            <w:hideMark/>
          </w:tcPr>
          <w:p w14:paraId="1C29F10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Year fixed effects</w:t>
            </w:r>
          </w:p>
        </w:tc>
        <w:tc>
          <w:tcPr>
            <w:tcW w:w="1346" w:type="dxa"/>
            <w:tcBorders>
              <w:top w:val="nil"/>
              <w:left w:val="nil"/>
              <w:bottom w:val="nil"/>
              <w:right w:val="nil"/>
            </w:tcBorders>
            <w:noWrap/>
            <w:vAlign w:val="bottom"/>
            <w:hideMark/>
          </w:tcPr>
          <w:p w14:paraId="100FA8C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c>
          <w:tcPr>
            <w:tcW w:w="1346" w:type="dxa"/>
            <w:tcBorders>
              <w:top w:val="nil"/>
              <w:left w:val="nil"/>
              <w:bottom w:val="nil"/>
              <w:right w:val="nil"/>
            </w:tcBorders>
            <w:noWrap/>
            <w:vAlign w:val="bottom"/>
            <w:hideMark/>
          </w:tcPr>
          <w:p w14:paraId="43CAA5F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r>
      <w:tr w:rsidR="0097010B" w:rsidRPr="0097010B" w14:paraId="19EA4B2B" w14:textId="77777777" w:rsidTr="00340E24">
        <w:trPr>
          <w:trHeight w:val="305"/>
          <w:jc w:val="center"/>
        </w:trPr>
        <w:tc>
          <w:tcPr>
            <w:tcW w:w="5482" w:type="dxa"/>
            <w:tcBorders>
              <w:top w:val="nil"/>
              <w:left w:val="nil"/>
              <w:bottom w:val="nil"/>
              <w:right w:val="nil"/>
            </w:tcBorders>
            <w:noWrap/>
            <w:vAlign w:val="bottom"/>
            <w:hideMark/>
          </w:tcPr>
          <w:p w14:paraId="5C5AE83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Observations</w:t>
            </w:r>
          </w:p>
        </w:tc>
        <w:tc>
          <w:tcPr>
            <w:tcW w:w="1346" w:type="dxa"/>
            <w:tcBorders>
              <w:top w:val="nil"/>
              <w:left w:val="nil"/>
              <w:bottom w:val="nil"/>
              <w:right w:val="nil"/>
            </w:tcBorders>
            <w:noWrap/>
            <w:vAlign w:val="bottom"/>
            <w:hideMark/>
          </w:tcPr>
          <w:p w14:paraId="268C19F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515</w:t>
            </w:r>
          </w:p>
        </w:tc>
        <w:tc>
          <w:tcPr>
            <w:tcW w:w="1346" w:type="dxa"/>
            <w:tcBorders>
              <w:top w:val="nil"/>
              <w:left w:val="nil"/>
              <w:bottom w:val="nil"/>
              <w:right w:val="nil"/>
            </w:tcBorders>
            <w:noWrap/>
            <w:vAlign w:val="bottom"/>
            <w:hideMark/>
          </w:tcPr>
          <w:p w14:paraId="67CC0BB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515</w:t>
            </w:r>
          </w:p>
        </w:tc>
      </w:tr>
      <w:tr w:rsidR="0097010B" w:rsidRPr="0097010B" w14:paraId="12BC836E" w14:textId="77777777" w:rsidTr="00340E24">
        <w:trPr>
          <w:trHeight w:val="305"/>
          <w:jc w:val="center"/>
        </w:trPr>
        <w:tc>
          <w:tcPr>
            <w:tcW w:w="5482" w:type="dxa"/>
            <w:tcBorders>
              <w:top w:val="nil"/>
              <w:left w:val="nil"/>
              <w:bottom w:val="single" w:sz="4" w:space="0" w:color="000000"/>
              <w:right w:val="nil"/>
            </w:tcBorders>
            <w:noWrap/>
            <w:vAlign w:val="bottom"/>
            <w:hideMark/>
          </w:tcPr>
          <w:p w14:paraId="4C526260" w14:textId="292BA5DD"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Number of firms</w:t>
            </w:r>
          </w:p>
        </w:tc>
        <w:tc>
          <w:tcPr>
            <w:tcW w:w="1346" w:type="dxa"/>
            <w:tcBorders>
              <w:top w:val="nil"/>
              <w:left w:val="nil"/>
              <w:bottom w:val="single" w:sz="4" w:space="0" w:color="000000"/>
              <w:right w:val="nil"/>
            </w:tcBorders>
            <w:noWrap/>
            <w:vAlign w:val="bottom"/>
            <w:hideMark/>
          </w:tcPr>
          <w:p w14:paraId="0F94C7B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55</w:t>
            </w:r>
          </w:p>
        </w:tc>
        <w:tc>
          <w:tcPr>
            <w:tcW w:w="1346" w:type="dxa"/>
            <w:tcBorders>
              <w:top w:val="nil"/>
              <w:left w:val="nil"/>
              <w:bottom w:val="single" w:sz="4" w:space="0" w:color="000000"/>
              <w:right w:val="nil"/>
            </w:tcBorders>
            <w:noWrap/>
            <w:vAlign w:val="bottom"/>
            <w:hideMark/>
          </w:tcPr>
          <w:p w14:paraId="59BF160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55</w:t>
            </w:r>
          </w:p>
        </w:tc>
      </w:tr>
    </w:tbl>
    <w:p w14:paraId="650ABC9E"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.01, **</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.05, *</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.1</w:t>
      </w:r>
    </w:p>
    <w:p w14:paraId="67F2F94D"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br w:type="page"/>
      </w:r>
    </w:p>
    <w:p w14:paraId="6F52DB22" w14:textId="77777777" w:rsidR="0097010B" w:rsidRPr="0097010B" w:rsidRDefault="0097010B" w:rsidP="0097010B">
      <w:pPr>
        <w:pStyle w:val="Heading2"/>
        <w:spacing w:line="360" w:lineRule="auto"/>
        <w:rPr>
          <w:rFonts w:ascii="Times New Roman" w:hAnsi="Times New Roman" w:cs="Times New Roman"/>
          <w:b/>
          <w:bCs/>
          <w:color w:val="auto"/>
          <w:sz w:val="24"/>
          <w:szCs w:val="24"/>
        </w:rPr>
      </w:pPr>
      <w:r w:rsidRPr="0097010B">
        <w:rPr>
          <w:rFonts w:ascii="Times New Roman" w:hAnsi="Times New Roman" w:cs="Times New Roman"/>
          <w:b/>
          <w:bCs/>
          <w:color w:val="auto"/>
          <w:sz w:val="24"/>
          <w:szCs w:val="24"/>
        </w:rPr>
        <w:t>Table B5: Firm’s Environmental Footprint and Brand Equity: Revenues as a Measure of Size</w:t>
      </w:r>
    </w:p>
    <w:tbl>
      <w:tblPr>
        <w:tblW w:w="7765" w:type="dxa"/>
        <w:jc w:val="center"/>
        <w:tblLook w:val="04A0" w:firstRow="1" w:lastRow="0" w:firstColumn="1" w:lastColumn="0" w:noHBand="0" w:noVBand="1"/>
      </w:tblPr>
      <w:tblGrid>
        <w:gridCol w:w="5085"/>
        <w:gridCol w:w="2680"/>
      </w:tblGrid>
      <w:tr w:rsidR="0097010B" w:rsidRPr="0097010B" w14:paraId="15DE8DD2" w14:textId="77777777" w:rsidTr="00340E24">
        <w:trPr>
          <w:trHeight w:val="312"/>
          <w:jc w:val="center"/>
        </w:trPr>
        <w:tc>
          <w:tcPr>
            <w:tcW w:w="5085" w:type="dxa"/>
            <w:tcBorders>
              <w:top w:val="single" w:sz="4" w:space="0" w:color="auto"/>
              <w:left w:val="nil"/>
              <w:bottom w:val="single" w:sz="4" w:space="0" w:color="000000"/>
              <w:right w:val="nil"/>
            </w:tcBorders>
            <w:noWrap/>
            <w:vAlign w:val="bottom"/>
            <w:hideMark/>
          </w:tcPr>
          <w:p w14:paraId="58AD9139"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single" w:sz="4" w:space="0" w:color="auto"/>
              <w:left w:val="nil"/>
              <w:bottom w:val="single" w:sz="4" w:space="0" w:color="000000"/>
              <w:right w:val="nil"/>
            </w:tcBorders>
            <w:noWrap/>
            <w:vAlign w:val="bottom"/>
            <w:hideMark/>
          </w:tcPr>
          <w:p w14:paraId="15A92AE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Brand Equity</w:t>
            </w:r>
          </w:p>
        </w:tc>
      </w:tr>
      <w:tr w:rsidR="0097010B" w:rsidRPr="0097010B" w14:paraId="2D4750B7" w14:textId="77777777" w:rsidTr="00340E24">
        <w:trPr>
          <w:trHeight w:val="312"/>
          <w:jc w:val="center"/>
        </w:trPr>
        <w:tc>
          <w:tcPr>
            <w:tcW w:w="5085" w:type="dxa"/>
            <w:tcBorders>
              <w:top w:val="nil"/>
              <w:left w:val="nil"/>
              <w:bottom w:val="nil"/>
              <w:right w:val="nil"/>
            </w:tcBorders>
            <w:noWrap/>
            <w:vAlign w:val="bottom"/>
            <w:hideMark/>
          </w:tcPr>
          <w:p w14:paraId="15F37ED8"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Environmental footprint</w:t>
            </w:r>
          </w:p>
        </w:tc>
        <w:tc>
          <w:tcPr>
            <w:tcW w:w="2680" w:type="dxa"/>
            <w:tcBorders>
              <w:top w:val="nil"/>
              <w:left w:val="nil"/>
              <w:bottom w:val="nil"/>
              <w:right w:val="nil"/>
            </w:tcBorders>
            <w:noWrap/>
            <w:vAlign w:val="bottom"/>
            <w:hideMark/>
          </w:tcPr>
          <w:p w14:paraId="3955D7DF"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−157.9</w:t>
            </w:r>
          </w:p>
        </w:tc>
      </w:tr>
      <w:tr w:rsidR="0097010B" w:rsidRPr="0097010B" w14:paraId="19EB21E7" w14:textId="77777777" w:rsidTr="00340E24">
        <w:trPr>
          <w:trHeight w:val="312"/>
          <w:jc w:val="center"/>
        </w:trPr>
        <w:tc>
          <w:tcPr>
            <w:tcW w:w="5085" w:type="dxa"/>
            <w:tcBorders>
              <w:top w:val="nil"/>
              <w:left w:val="nil"/>
              <w:bottom w:val="nil"/>
              <w:right w:val="nil"/>
            </w:tcBorders>
            <w:noWrap/>
            <w:vAlign w:val="bottom"/>
            <w:hideMark/>
          </w:tcPr>
          <w:p w14:paraId="23F059FE"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2680" w:type="dxa"/>
            <w:tcBorders>
              <w:top w:val="nil"/>
              <w:left w:val="nil"/>
              <w:bottom w:val="nil"/>
              <w:right w:val="nil"/>
            </w:tcBorders>
            <w:noWrap/>
            <w:vAlign w:val="bottom"/>
            <w:hideMark/>
          </w:tcPr>
          <w:p w14:paraId="56B9331F"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(177.6)</w:t>
            </w:r>
          </w:p>
        </w:tc>
      </w:tr>
      <w:tr w:rsidR="0097010B" w:rsidRPr="0097010B" w14:paraId="7B8EE555" w14:textId="77777777" w:rsidTr="00340E24">
        <w:trPr>
          <w:trHeight w:val="312"/>
          <w:jc w:val="center"/>
        </w:trPr>
        <w:tc>
          <w:tcPr>
            <w:tcW w:w="5085" w:type="dxa"/>
            <w:tcBorders>
              <w:top w:val="nil"/>
              <w:left w:val="nil"/>
              <w:bottom w:val="nil"/>
              <w:right w:val="nil"/>
            </w:tcBorders>
            <w:noWrap/>
            <w:vAlign w:val="bottom"/>
            <w:hideMark/>
          </w:tcPr>
          <w:p w14:paraId="6C805523"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Environmental footprint × Advertising</w:t>
            </w:r>
          </w:p>
        </w:tc>
        <w:tc>
          <w:tcPr>
            <w:tcW w:w="2680" w:type="dxa"/>
            <w:tcBorders>
              <w:top w:val="nil"/>
              <w:left w:val="nil"/>
              <w:bottom w:val="nil"/>
              <w:right w:val="nil"/>
            </w:tcBorders>
            <w:noWrap/>
            <w:vAlign w:val="bottom"/>
            <w:hideMark/>
          </w:tcPr>
          <w:p w14:paraId="124EFEBA"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−1,086**</w:t>
            </w:r>
          </w:p>
        </w:tc>
      </w:tr>
      <w:tr w:rsidR="0097010B" w:rsidRPr="0097010B" w14:paraId="6B55F9D4" w14:textId="77777777" w:rsidTr="00340E24">
        <w:trPr>
          <w:trHeight w:val="312"/>
          <w:jc w:val="center"/>
        </w:trPr>
        <w:tc>
          <w:tcPr>
            <w:tcW w:w="5085" w:type="dxa"/>
            <w:tcBorders>
              <w:top w:val="nil"/>
              <w:left w:val="nil"/>
              <w:bottom w:val="nil"/>
              <w:right w:val="nil"/>
            </w:tcBorders>
            <w:noWrap/>
            <w:vAlign w:val="bottom"/>
            <w:hideMark/>
          </w:tcPr>
          <w:p w14:paraId="3400DDD3"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2680" w:type="dxa"/>
            <w:tcBorders>
              <w:top w:val="nil"/>
              <w:left w:val="nil"/>
              <w:bottom w:val="nil"/>
              <w:right w:val="nil"/>
            </w:tcBorders>
            <w:noWrap/>
            <w:vAlign w:val="bottom"/>
            <w:hideMark/>
          </w:tcPr>
          <w:p w14:paraId="204AA984"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(515.7)</w:t>
            </w:r>
          </w:p>
        </w:tc>
      </w:tr>
      <w:tr w:rsidR="0097010B" w:rsidRPr="0097010B" w14:paraId="06EBA25C" w14:textId="77777777" w:rsidTr="00340E24">
        <w:trPr>
          <w:trHeight w:val="312"/>
          <w:jc w:val="center"/>
        </w:trPr>
        <w:tc>
          <w:tcPr>
            <w:tcW w:w="5085" w:type="dxa"/>
            <w:tcBorders>
              <w:top w:val="nil"/>
              <w:left w:val="nil"/>
              <w:bottom w:val="nil"/>
              <w:right w:val="nil"/>
            </w:tcBorders>
            <w:noWrap/>
            <w:vAlign w:val="bottom"/>
            <w:hideMark/>
          </w:tcPr>
          <w:p w14:paraId="5C5E21CA"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 xml:space="preserve">Environmental footprint × </w:t>
            </w:r>
            <w:r w:rsidRPr="0097010B">
              <w:rPr>
                <w:rFonts w:ascii="Times New Roman" w:hAnsi="Times New Roman" w:cs="Times New Roman"/>
                <w:b/>
                <w:bCs/>
                <w:sz w:val="24"/>
                <w:szCs w:val="24"/>
              </w:rPr>
              <w:t>CSR reputation</w:t>
            </w:r>
          </w:p>
        </w:tc>
        <w:tc>
          <w:tcPr>
            <w:tcW w:w="2680" w:type="dxa"/>
            <w:tcBorders>
              <w:top w:val="nil"/>
              <w:left w:val="nil"/>
              <w:bottom w:val="nil"/>
              <w:right w:val="nil"/>
            </w:tcBorders>
            <w:noWrap/>
            <w:vAlign w:val="bottom"/>
            <w:hideMark/>
          </w:tcPr>
          <w:p w14:paraId="22433241"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−.713**</w:t>
            </w:r>
          </w:p>
        </w:tc>
      </w:tr>
      <w:tr w:rsidR="0097010B" w:rsidRPr="0097010B" w14:paraId="31D09EB8" w14:textId="77777777" w:rsidTr="00340E24">
        <w:trPr>
          <w:trHeight w:val="312"/>
          <w:jc w:val="center"/>
        </w:trPr>
        <w:tc>
          <w:tcPr>
            <w:tcW w:w="5085" w:type="dxa"/>
            <w:tcBorders>
              <w:top w:val="nil"/>
              <w:left w:val="nil"/>
              <w:bottom w:val="nil"/>
              <w:right w:val="nil"/>
            </w:tcBorders>
            <w:noWrap/>
            <w:vAlign w:val="bottom"/>
            <w:hideMark/>
          </w:tcPr>
          <w:p w14:paraId="18C0667C" w14:textId="77777777" w:rsidR="0097010B" w:rsidRPr="0097010B" w:rsidRDefault="0097010B" w:rsidP="0097010B">
            <w:pPr>
              <w:spacing w:after="0" w:line="360" w:lineRule="auto"/>
              <w:rPr>
                <w:rFonts w:ascii="Times New Roman" w:eastAsia="Times New Roman" w:hAnsi="Times New Roman" w:cs="Times New Roman"/>
                <w:b/>
                <w:bCs/>
                <w:sz w:val="24"/>
                <w:szCs w:val="24"/>
              </w:rPr>
            </w:pPr>
          </w:p>
        </w:tc>
        <w:tc>
          <w:tcPr>
            <w:tcW w:w="2680" w:type="dxa"/>
            <w:tcBorders>
              <w:top w:val="nil"/>
              <w:left w:val="nil"/>
              <w:bottom w:val="nil"/>
              <w:right w:val="nil"/>
            </w:tcBorders>
            <w:noWrap/>
            <w:vAlign w:val="bottom"/>
            <w:hideMark/>
          </w:tcPr>
          <w:p w14:paraId="28286C54" w14:textId="77777777" w:rsidR="0097010B" w:rsidRPr="0097010B" w:rsidRDefault="0097010B" w:rsidP="0097010B">
            <w:pPr>
              <w:spacing w:after="0" w:line="360" w:lineRule="auto"/>
              <w:rPr>
                <w:rFonts w:ascii="Times New Roman" w:eastAsia="Times New Roman" w:hAnsi="Times New Roman" w:cs="Times New Roman"/>
                <w:b/>
                <w:bCs/>
                <w:sz w:val="24"/>
                <w:szCs w:val="24"/>
              </w:rPr>
            </w:pPr>
            <w:r w:rsidRPr="0097010B">
              <w:rPr>
                <w:rFonts w:ascii="Times New Roman" w:eastAsia="Times New Roman" w:hAnsi="Times New Roman" w:cs="Times New Roman"/>
                <w:b/>
                <w:bCs/>
                <w:sz w:val="24"/>
                <w:szCs w:val="24"/>
              </w:rPr>
              <w:t>(.331)</w:t>
            </w:r>
          </w:p>
        </w:tc>
      </w:tr>
      <w:tr w:rsidR="0097010B" w:rsidRPr="0097010B" w14:paraId="50A7AC79" w14:textId="77777777" w:rsidTr="00340E24">
        <w:trPr>
          <w:trHeight w:val="312"/>
          <w:jc w:val="center"/>
        </w:trPr>
        <w:tc>
          <w:tcPr>
            <w:tcW w:w="5085" w:type="dxa"/>
            <w:tcBorders>
              <w:top w:val="nil"/>
              <w:left w:val="nil"/>
              <w:bottom w:val="nil"/>
              <w:right w:val="nil"/>
            </w:tcBorders>
            <w:noWrap/>
            <w:vAlign w:val="bottom"/>
            <w:hideMark/>
          </w:tcPr>
          <w:p w14:paraId="2B65C84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Advertising</w:t>
            </w:r>
          </w:p>
        </w:tc>
        <w:tc>
          <w:tcPr>
            <w:tcW w:w="2680" w:type="dxa"/>
            <w:tcBorders>
              <w:top w:val="nil"/>
              <w:left w:val="nil"/>
              <w:bottom w:val="nil"/>
              <w:right w:val="nil"/>
            </w:tcBorders>
            <w:noWrap/>
            <w:vAlign w:val="bottom"/>
            <w:hideMark/>
          </w:tcPr>
          <w:p w14:paraId="7AC0C73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746.7***</w:t>
            </w:r>
          </w:p>
        </w:tc>
      </w:tr>
      <w:tr w:rsidR="0097010B" w:rsidRPr="0097010B" w14:paraId="005104CE" w14:textId="77777777" w:rsidTr="00340E24">
        <w:trPr>
          <w:trHeight w:val="312"/>
          <w:jc w:val="center"/>
        </w:trPr>
        <w:tc>
          <w:tcPr>
            <w:tcW w:w="5085" w:type="dxa"/>
            <w:tcBorders>
              <w:top w:val="nil"/>
              <w:left w:val="nil"/>
              <w:bottom w:val="nil"/>
              <w:right w:val="nil"/>
            </w:tcBorders>
            <w:noWrap/>
            <w:vAlign w:val="bottom"/>
            <w:hideMark/>
          </w:tcPr>
          <w:p w14:paraId="4B9084FC"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024A880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(278.9)</w:t>
            </w:r>
          </w:p>
        </w:tc>
      </w:tr>
      <w:tr w:rsidR="0097010B" w:rsidRPr="0097010B" w14:paraId="6C7CEE12" w14:textId="77777777" w:rsidTr="00340E24">
        <w:trPr>
          <w:trHeight w:val="312"/>
          <w:jc w:val="center"/>
        </w:trPr>
        <w:tc>
          <w:tcPr>
            <w:tcW w:w="5085" w:type="dxa"/>
            <w:tcBorders>
              <w:top w:val="nil"/>
              <w:left w:val="nil"/>
              <w:bottom w:val="nil"/>
              <w:right w:val="nil"/>
            </w:tcBorders>
            <w:noWrap/>
            <w:vAlign w:val="bottom"/>
            <w:hideMark/>
          </w:tcPr>
          <w:p w14:paraId="3F32164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hAnsi="Times New Roman" w:cs="Times New Roman"/>
                <w:sz w:val="24"/>
                <w:szCs w:val="24"/>
              </w:rPr>
              <w:t>CSR reputation</w:t>
            </w:r>
          </w:p>
        </w:tc>
        <w:tc>
          <w:tcPr>
            <w:tcW w:w="2680" w:type="dxa"/>
            <w:tcBorders>
              <w:top w:val="nil"/>
              <w:left w:val="nil"/>
              <w:bottom w:val="nil"/>
              <w:right w:val="nil"/>
            </w:tcBorders>
            <w:noWrap/>
            <w:vAlign w:val="bottom"/>
            <w:hideMark/>
          </w:tcPr>
          <w:p w14:paraId="7F8D582F"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.0442</w:t>
            </w:r>
          </w:p>
        </w:tc>
      </w:tr>
      <w:tr w:rsidR="0097010B" w:rsidRPr="0097010B" w14:paraId="0158FA7B" w14:textId="77777777" w:rsidTr="00340E24">
        <w:trPr>
          <w:trHeight w:val="312"/>
          <w:jc w:val="center"/>
        </w:trPr>
        <w:tc>
          <w:tcPr>
            <w:tcW w:w="5085" w:type="dxa"/>
            <w:tcBorders>
              <w:top w:val="nil"/>
              <w:left w:val="nil"/>
              <w:bottom w:val="nil"/>
              <w:right w:val="nil"/>
            </w:tcBorders>
            <w:noWrap/>
            <w:vAlign w:val="bottom"/>
            <w:hideMark/>
          </w:tcPr>
          <w:p w14:paraId="0FC61111"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3C897BA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(.0503)</w:t>
            </w:r>
          </w:p>
        </w:tc>
      </w:tr>
      <w:tr w:rsidR="0097010B" w:rsidRPr="0097010B" w14:paraId="1545814E" w14:textId="77777777" w:rsidTr="00340E24">
        <w:trPr>
          <w:trHeight w:val="312"/>
          <w:jc w:val="center"/>
        </w:trPr>
        <w:tc>
          <w:tcPr>
            <w:tcW w:w="5085" w:type="dxa"/>
            <w:tcBorders>
              <w:top w:val="nil"/>
              <w:left w:val="nil"/>
              <w:bottom w:val="nil"/>
              <w:right w:val="nil"/>
            </w:tcBorders>
            <w:noWrap/>
            <w:vAlign w:val="bottom"/>
            <w:hideMark/>
          </w:tcPr>
          <w:p w14:paraId="4D8DE121" w14:textId="0A86CCE1"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R&amp;D</w:t>
            </w:r>
          </w:p>
        </w:tc>
        <w:tc>
          <w:tcPr>
            <w:tcW w:w="2680" w:type="dxa"/>
            <w:tcBorders>
              <w:top w:val="nil"/>
              <w:left w:val="nil"/>
              <w:bottom w:val="nil"/>
              <w:right w:val="nil"/>
            </w:tcBorders>
            <w:noWrap/>
            <w:vAlign w:val="bottom"/>
            <w:hideMark/>
          </w:tcPr>
          <w:p w14:paraId="57027B6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−10.52</w:t>
            </w:r>
          </w:p>
        </w:tc>
      </w:tr>
      <w:tr w:rsidR="0097010B" w:rsidRPr="0097010B" w14:paraId="6918A7BF" w14:textId="77777777" w:rsidTr="00340E24">
        <w:trPr>
          <w:trHeight w:val="312"/>
          <w:jc w:val="center"/>
        </w:trPr>
        <w:tc>
          <w:tcPr>
            <w:tcW w:w="5085" w:type="dxa"/>
            <w:tcBorders>
              <w:top w:val="nil"/>
              <w:left w:val="nil"/>
              <w:bottom w:val="nil"/>
              <w:right w:val="nil"/>
            </w:tcBorders>
            <w:noWrap/>
            <w:vAlign w:val="bottom"/>
            <w:hideMark/>
          </w:tcPr>
          <w:p w14:paraId="267E411D"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5494BCB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(15.29)</w:t>
            </w:r>
          </w:p>
        </w:tc>
      </w:tr>
      <w:tr w:rsidR="0097010B" w:rsidRPr="0097010B" w14:paraId="36CFC145" w14:textId="77777777" w:rsidTr="00340E24">
        <w:trPr>
          <w:trHeight w:val="312"/>
          <w:jc w:val="center"/>
        </w:trPr>
        <w:tc>
          <w:tcPr>
            <w:tcW w:w="5085" w:type="dxa"/>
            <w:tcBorders>
              <w:top w:val="nil"/>
              <w:left w:val="nil"/>
              <w:bottom w:val="nil"/>
              <w:right w:val="nil"/>
            </w:tcBorders>
            <w:noWrap/>
            <w:vAlign w:val="bottom"/>
            <w:hideMark/>
          </w:tcPr>
          <w:p w14:paraId="71E8407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Pricing power</w:t>
            </w:r>
          </w:p>
        </w:tc>
        <w:tc>
          <w:tcPr>
            <w:tcW w:w="2680" w:type="dxa"/>
            <w:tcBorders>
              <w:top w:val="nil"/>
              <w:left w:val="nil"/>
              <w:bottom w:val="nil"/>
              <w:right w:val="nil"/>
            </w:tcBorders>
            <w:noWrap/>
            <w:vAlign w:val="bottom"/>
            <w:hideMark/>
          </w:tcPr>
          <w:p w14:paraId="75FE45F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−7.181</w:t>
            </w:r>
          </w:p>
        </w:tc>
      </w:tr>
      <w:tr w:rsidR="0097010B" w:rsidRPr="0097010B" w14:paraId="35775886" w14:textId="77777777" w:rsidTr="00340E24">
        <w:trPr>
          <w:trHeight w:val="312"/>
          <w:jc w:val="center"/>
        </w:trPr>
        <w:tc>
          <w:tcPr>
            <w:tcW w:w="5085" w:type="dxa"/>
            <w:tcBorders>
              <w:top w:val="nil"/>
              <w:left w:val="nil"/>
              <w:bottom w:val="nil"/>
              <w:right w:val="nil"/>
            </w:tcBorders>
            <w:noWrap/>
            <w:vAlign w:val="bottom"/>
            <w:hideMark/>
          </w:tcPr>
          <w:p w14:paraId="5B363D1F"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4AD3ABE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(12.59)</w:t>
            </w:r>
          </w:p>
        </w:tc>
      </w:tr>
      <w:tr w:rsidR="0097010B" w:rsidRPr="0097010B" w14:paraId="320DE9BF" w14:textId="77777777" w:rsidTr="00340E24">
        <w:trPr>
          <w:trHeight w:val="312"/>
          <w:jc w:val="center"/>
        </w:trPr>
        <w:tc>
          <w:tcPr>
            <w:tcW w:w="5085" w:type="dxa"/>
            <w:tcBorders>
              <w:top w:val="nil"/>
              <w:left w:val="nil"/>
              <w:bottom w:val="nil"/>
              <w:right w:val="nil"/>
            </w:tcBorders>
            <w:noWrap/>
            <w:vAlign w:val="bottom"/>
            <w:hideMark/>
          </w:tcPr>
          <w:p w14:paraId="3E8BD3B6" w14:textId="706E930D"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Distribution</w:t>
            </w:r>
          </w:p>
        </w:tc>
        <w:tc>
          <w:tcPr>
            <w:tcW w:w="2680" w:type="dxa"/>
            <w:tcBorders>
              <w:top w:val="nil"/>
              <w:left w:val="nil"/>
              <w:bottom w:val="nil"/>
              <w:right w:val="nil"/>
            </w:tcBorders>
            <w:noWrap/>
            <w:vAlign w:val="bottom"/>
            <w:hideMark/>
          </w:tcPr>
          <w:p w14:paraId="1545CE7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10.08</w:t>
            </w:r>
          </w:p>
        </w:tc>
      </w:tr>
      <w:tr w:rsidR="0097010B" w:rsidRPr="0097010B" w14:paraId="794C709D" w14:textId="77777777" w:rsidTr="00340E24">
        <w:trPr>
          <w:trHeight w:val="312"/>
          <w:jc w:val="center"/>
        </w:trPr>
        <w:tc>
          <w:tcPr>
            <w:tcW w:w="5085" w:type="dxa"/>
            <w:tcBorders>
              <w:top w:val="nil"/>
              <w:left w:val="nil"/>
              <w:bottom w:val="nil"/>
              <w:right w:val="nil"/>
            </w:tcBorders>
            <w:noWrap/>
            <w:vAlign w:val="bottom"/>
            <w:hideMark/>
          </w:tcPr>
          <w:p w14:paraId="5ACD014D"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05B7DAA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(16.79)</w:t>
            </w:r>
          </w:p>
        </w:tc>
      </w:tr>
      <w:tr w:rsidR="0097010B" w:rsidRPr="0097010B" w14:paraId="2AB4668F" w14:textId="77777777" w:rsidTr="00340E24">
        <w:trPr>
          <w:trHeight w:val="312"/>
          <w:jc w:val="center"/>
        </w:trPr>
        <w:tc>
          <w:tcPr>
            <w:tcW w:w="5085" w:type="dxa"/>
            <w:tcBorders>
              <w:top w:val="nil"/>
              <w:left w:val="nil"/>
              <w:bottom w:val="nil"/>
              <w:right w:val="nil"/>
            </w:tcBorders>
            <w:noWrap/>
            <w:vAlign w:val="bottom"/>
            <w:hideMark/>
          </w:tcPr>
          <w:p w14:paraId="0489347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Size</w:t>
            </w:r>
          </w:p>
        </w:tc>
        <w:tc>
          <w:tcPr>
            <w:tcW w:w="2680" w:type="dxa"/>
            <w:tcBorders>
              <w:top w:val="nil"/>
              <w:left w:val="nil"/>
              <w:bottom w:val="nil"/>
              <w:right w:val="nil"/>
            </w:tcBorders>
            <w:noWrap/>
            <w:vAlign w:val="bottom"/>
            <w:hideMark/>
          </w:tcPr>
          <w:p w14:paraId="1EAE95C5"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6.297</w:t>
            </w:r>
          </w:p>
        </w:tc>
      </w:tr>
      <w:tr w:rsidR="0097010B" w:rsidRPr="0097010B" w14:paraId="73E4E7AD" w14:textId="77777777" w:rsidTr="00340E24">
        <w:trPr>
          <w:trHeight w:val="312"/>
          <w:jc w:val="center"/>
        </w:trPr>
        <w:tc>
          <w:tcPr>
            <w:tcW w:w="5085" w:type="dxa"/>
            <w:tcBorders>
              <w:top w:val="nil"/>
              <w:left w:val="nil"/>
              <w:bottom w:val="nil"/>
              <w:right w:val="nil"/>
            </w:tcBorders>
            <w:noWrap/>
            <w:vAlign w:val="bottom"/>
            <w:hideMark/>
          </w:tcPr>
          <w:p w14:paraId="65CF3412"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590D724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(4.392)</w:t>
            </w:r>
          </w:p>
        </w:tc>
      </w:tr>
      <w:tr w:rsidR="0097010B" w:rsidRPr="0097010B" w14:paraId="36DEDCDB" w14:textId="77777777" w:rsidTr="00340E24">
        <w:trPr>
          <w:trHeight w:val="312"/>
          <w:jc w:val="center"/>
        </w:trPr>
        <w:tc>
          <w:tcPr>
            <w:tcW w:w="5085" w:type="dxa"/>
            <w:tcBorders>
              <w:top w:val="nil"/>
              <w:left w:val="nil"/>
              <w:bottom w:val="nil"/>
              <w:right w:val="nil"/>
            </w:tcBorders>
            <w:noWrap/>
            <w:vAlign w:val="bottom"/>
            <w:hideMark/>
          </w:tcPr>
          <w:p w14:paraId="2F98BD4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Cost efficiency</w:t>
            </w:r>
          </w:p>
        </w:tc>
        <w:tc>
          <w:tcPr>
            <w:tcW w:w="2680" w:type="dxa"/>
            <w:tcBorders>
              <w:top w:val="nil"/>
              <w:left w:val="nil"/>
              <w:bottom w:val="nil"/>
              <w:right w:val="nil"/>
            </w:tcBorders>
            <w:noWrap/>
            <w:vAlign w:val="bottom"/>
            <w:hideMark/>
          </w:tcPr>
          <w:p w14:paraId="11A30AB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2.060</w:t>
            </w:r>
          </w:p>
        </w:tc>
      </w:tr>
      <w:tr w:rsidR="0097010B" w:rsidRPr="0097010B" w14:paraId="6901E62D" w14:textId="77777777" w:rsidTr="00340E24">
        <w:trPr>
          <w:trHeight w:val="312"/>
          <w:jc w:val="center"/>
        </w:trPr>
        <w:tc>
          <w:tcPr>
            <w:tcW w:w="5085" w:type="dxa"/>
            <w:tcBorders>
              <w:top w:val="nil"/>
              <w:left w:val="nil"/>
              <w:bottom w:val="nil"/>
              <w:right w:val="nil"/>
            </w:tcBorders>
            <w:noWrap/>
            <w:vAlign w:val="bottom"/>
            <w:hideMark/>
          </w:tcPr>
          <w:p w14:paraId="1ECB9740"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037635FD"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(1.349)</w:t>
            </w:r>
          </w:p>
        </w:tc>
      </w:tr>
      <w:tr w:rsidR="0097010B" w:rsidRPr="0097010B" w14:paraId="1F8D80A0" w14:textId="77777777" w:rsidTr="00340E24">
        <w:trPr>
          <w:trHeight w:val="312"/>
          <w:jc w:val="center"/>
        </w:trPr>
        <w:tc>
          <w:tcPr>
            <w:tcW w:w="5085" w:type="dxa"/>
            <w:tcBorders>
              <w:top w:val="nil"/>
              <w:left w:val="nil"/>
              <w:bottom w:val="nil"/>
              <w:right w:val="nil"/>
            </w:tcBorders>
            <w:noWrap/>
            <w:vAlign w:val="bottom"/>
            <w:hideMark/>
          </w:tcPr>
          <w:p w14:paraId="08E8403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Employee intensity</w:t>
            </w:r>
          </w:p>
        </w:tc>
        <w:tc>
          <w:tcPr>
            <w:tcW w:w="2680" w:type="dxa"/>
            <w:tcBorders>
              <w:top w:val="nil"/>
              <w:left w:val="nil"/>
              <w:bottom w:val="nil"/>
              <w:right w:val="nil"/>
            </w:tcBorders>
            <w:noWrap/>
            <w:vAlign w:val="bottom"/>
            <w:hideMark/>
          </w:tcPr>
          <w:p w14:paraId="50F3443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686.6***</w:t>
            </w:r>
          </w:p>
        </w:tc>
      </w:tr>
      <w:tr w:rsidR="0097010B" w:rsidRPr="0097010B" w14:paraId="5F8F3FFA" w14:textId="77777777" w:rsidTr="00340E24">
        <w:trPr>
          <w:trHeight w:val="312"/>
          <w:jc w:val="center"/>
        </w:trPr>
        <w:tc>
          <w:tcPr>
            <w:tcW w:w="5085" w:type="dxa"/>
            <w:tcBorders>
              <w:top w:val="nil"/>
              <w:left w:val="nil"/>
              <w:bottom w:val="nil"/>
              <w:right w:val="nil"/>
            </w:tcBorders>
            <w:noWrap/>
            <w:vAlign w:val="bottom"/>
            <w:hideMark/>
          </w:tcPr>
          <w:p w14:paraId="128C30E7"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273CB8E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(200.2)</w:t>
            </w:r>
          </w:p>
        </w:tc>
      </w:tr>
      <w:tr w:rsidR="0097010B" w:rsidRPr="0097010B" w14:paraId="04DEC476" w14:textId="77777777" w:rsidTr="00340E24">
        <w:trPr>
          <w:trHeight w:val="312"/>
          <w:jc w:val="center"/>
        </w:trPr>
        <w:tc>
          <w:tcPr>
            <w:tcW w:w="5085" w:type="dxa"/>
            <w:tcBorders>
              <w:top w:val="nil"/>
              <w:left w:val="nil"/>
              <w:bottom w:val="nil"/>
              <w:right w:val="nil"/>
            </w:tcBorders>
            <w:noWrap/>
            <w:vAlign w:val="bottom"/>
            <w:hideMark/>
          </w:tcPr>
          <w:p w14:paraId="15963888" w14:textId="5D0C4638"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Control function: Environmental footprint</w:t>
            </w:r>
          </w:p>
        </w:tc>
        <w:tc>
          <w:tcPr>
            <w:tcW w:w="2680" w:type="dxa"/>
            <w:tcBorders>
              <w:top w:val="nil"/>
              <w:left w:val="nil"/>
              <w:bottom w:val="nil"/>
              <w:right w:val="nil"/>
            </w:tcBorders>
            <w:noWrap/>
            <w:vAlign w:val="bottom"/>
            <w:hideMark/>
          </w:tcPr>
          <w:p w14:paraId="3F0383A9"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223.4</w:t>
            </w:r>
          </w:p>
        </w:tc>
      </w:tr>
      <w:tr w:rsidR="0097010B" w:rsidRPr="0097010B" w14:paraId="0F2EE162" w14:textId="77777777" w:rsidTr="00340E24">
        <w:trPr>
          <w:trHeight w:val="312"/>
          <w:jc w:val="center"/>
        </w:trPr>
        <w:tc>
          <w:tcPr>
            <w:tcW w:w="5085" w:type="dxa"/>
            <w:tcBorders>
              <w:top w:val="nil"/>
              <w:left w:val="nil"/>
              <w:bottom w:val="nil"/>
              <w:right w:val="nil"/>
            </w:tcBorders>
            <w:noWrap/>
            <w:vAlign w:val="bottom"/>
            <w:hideMark/>
          </w:tcPr>
          <w:p w14:paraId="7123A314"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7F3429A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(179.3)</w:t>
            </w:r>
          </w:p>
        </w:tc>
      </w:tr>
      <w:tr w:rsidR="0097010B" w:rsidRPr="0097010B" w14:paraId="47B59C75" w14:textId="77777777" w:rsidTr="00340E24">
        <w:trPr>
          <w:trHeight w:val="312"/>
          <w:jc w:val="center"/>
        </w:trPr>
        <w:tc>
          <w:tcPr>
            <w:tcW w:w="5085" w:type="dxa"/>
            <w:tcBorders>
              <w:top w:val="nil"/>
              <w:left w:val="nil"/>
              <w:bottom w:val="nil"/>
              <w:right w:val="nil"/>
            </w:tcBorders>
            <w:noWrap/>
            <w:vAlign w:val="bottom"/>
            <w:hideMark/>
          </w:tcPr>
          <w:p w14:paraId="14892DDE"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Control function: Advertising</w:t>
            </w:r>
          </w:p>
        </w:tc>
        <w:tc>
          <w:tcPr>
            <w:tcW w:w="2680" w:type="dxa"/>
            <w:tcBorders>
              <w:top w:val="nil"/>
              <w:left w:val="nil"/>
              <w:bottom w:val="nil"/>
              <w:right w:val="nil"/>
            </w:tcBorders>
            <w:noWrap/>
            <w:vAlign w:val="bottom"/>
            <w:hideMark/>
          </w:tcPr>
          <w:p w14:paraId="6DB15924"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−655.3**</w:t>
            </w:r>
          </w:p>
        </w:tc>
      </w:tr>
      <w:tr w:rsidR="0097010B" w:rsidRPr="0097010B" w14:paraId="6D3BD832" w14:textId="77777777" w:rsidTr="00340E24">
        <w:trPr>
          <w:trHeight w:val="312"/>
          <w:jc w:val="center"/>
        </w:trPr>
        <w:tc>
          <w:tcPr>
            <w:tcW w:w="5085" w:type="dxa"/>
            <w:tcBorders>
              <w:top w:val="nil"/>
              <w:left w:val="nil"/>
              <w:bottom w:val="nil"/>
              <w:right w:val="nil"/>
            </w:tcBorders>
            <w:noWrap/>
            <w:vAlign w:val="bottom"/>
            <w:hideMark/>
          </w:tcPr>
          <w:p w14:paraId="1D402161"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404D36C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(272.4)</w:t>
            </w:r>
          </w:p>
        </w:tc>
      </w:tr>
      <w:tr w:rsidR="0097010B" w:rsidRPr="0097010B" w14:paraId="697DFE73" w14:textId="77777777" w:rsidTr="00340E24">
        <w:trPr>
          <w:trHeight w:val="312"/>
          <w:jc w:val="center"/>
        </w:trPr>
        <w:tc>
          <w:tcPr>
            <w:tcW w:w="5085" w:type="dxa"/>
            <w:tcBorders>
              <w:top w:val="nil"/>
              <w:left w:val="nil"/>
              <w:bottom w:val="nil"/>
              <w:right w:val="nil"/>
            </w:tcBorders>
            <w:noWrap/>
            <w:vAlign w:val="bottom"/>
            <w:hideMark/>
          </w:tcPr>
          <w:p w14:paraId="2BE1D6D3"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 xml:space="preserve">Control function: </w:t>
            </w:r>
            <w:r w:rsidRPr="0097010B">
              <w:rPr>
                <w:rFonts w:ascii="Times New Roman" w:hAnsi="Times New Roman" w:cs="Times New Roman"/>
                <w:sz w:val="24"/>
                <w:szCs w:val="24"/>
              </w:rPr>
              <w:t>CSR reputation</w:t>
            </w:r>
          </w:p>
        </w:tc>
        <w:tc>
          <w:tcPr>
            <w:tcW w:w="2680" w:type="dxa"/>
            <w:tcBorders>
              <w:top w:val="nil"/>
              <w:left w:val="nil"/>
              <w:bottom w:val="nil"/>
              <w:right w:val="nil"/>
            </w:tcBorders>
            <w:noWrap/>
            <w:vAlign w:val="bottom"/>
            <w:hideMark/>
          </w:tcPr>
          <w:p w14:paraId="11FB1C6B"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.0799*</w:t>
            </w:r>
          </w:p>
        </w:tc>
      </w:tr>
      <w:tr w:rsidR="0097010B" w:rsidRPr="0097010B" w14:paraId="3D73B928" w14:textId="77777777" w:rsidTr="00340E24">
        <w:trPr>
          <w:trHeight w:val="312"/>
          <w:jc w:val="center"/>
        </w:trPr>
        <w:tc>
          <w:tcPr>
            <w:tcW w:w="5085" w:type="dxa"/>
            <w:tcBorders>
              <w:top w:val="nil"/>
              <w:left w:val="nil"/>
              <w:bottom w:val="nil"/>
              <w:right w:val="nil"/>
            </w:tcBorders>
            <w:noWrap/>
            <w:vAlign w:val="bottom"/>
            <w:hideMark/>
          </w:tcPr>
          <w:p w14:paraId="219769DB"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48C4B580"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(.0442)</w:t>
            </w:r>
          </w:p>
        </w:tc>
      </w:tr>
      <w:tr w:rsidR="0097010B" w:rsidRPr="0097010B" w14:paraId="3D0D7681" w14:textId="77777777" w:rsidTr="00340E24">
        <w:trPr>
          <w:trHeight w:val="312"/>
          <w:jc w:val="center"/>
        </w:trPr>
        <w:tc>
          <w:tcPr>
            <w:tcW w:w="5085" w:type="dxa"/>
            <w:tcBorders>
              <w:top w:val="nil"/>
              <w:left w:val="nil"/>
              <w:bottom w:val="nil"/>
              <w:right w:val="nil"/>
            </w:tcBorders>
            <w:noWrap/>
            <w:vAlign w:val="bottom"/>
            <w:hideMark/>
          </w:tcPr>
          <w:p w14:paraId="1B92FC37"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Intercept</w:t>
            </w:r>
          </w:p>
        </w:tc>
        <w:tc>
          <w:tcPr>
            <w:tcW w:w="2680" w:type="dxa"/>
            <w:tcBorders>
              <w:top w:val="nil"/>
              <w:left w:val="nil"/>
              <w:bottom w:val="nil"/>
              <w:right w:val="nil"/>
            </w:tcBorders>
            <w:noWrap/>
            <w:vAlign w:val="bottom"/>
            <w:hideMark/>
          </w:tcPr>
          <w:p w14:paraId="70E284C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9.179</w:t>
            </w:r>
          </w:p>
        </w:tc>
      </w:tr>
      <w:tr w:rsidR="0097010B" w:rsidRPr="0097010B" w14:paraId="54694061" w14:textId="77777777" w:rsidTr="00340E24">
        <w:trPr>
          <w:trHeight w:val="312"/>
          <w:jc w:val="center"/>
        </w:trPr>
        <w:tc>
          <w:tcPr>
            <w:tcW w:w="5085" w:type="dxa"/>
            <w:tcBorders>
              <w:top w:val="nil"/>
              <w:left w:val="nil"/>
              <w:bottom w:val="nil"/>
              <w:right w:val="nil"/>
            </w:tcBorders>
            <w:noWrap/>
            <w:vAlign w:val="bottom"/>
            <w:hideMark/>
          </w:tcPr>
          <w:p w14:paraId="4887F806"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2342CAC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(40.61)</w:t>
            </w:r>
          </w:p>
        </w:tc>
      </w:tr>
      <w:tr w:rsidR="0097010B" w:rsidRPr="0097010B" w14:paraId="34BBC578" w14:textId="77777777" w:rsidTr="00340E24">
        <w:trPr>
          <w:trHeight w:val="312"/>
          <w:jc w:val="center"/>
        </w:trPr>
        <w:tc>
          <w:tcPr>
            <w:tcW w:w="5085" w:type="dxa"/>
            <w:tcBorders>
              <w:top w:val="nil"/>
              <w:left w:val="nil"/>
              <w:bottom w:val="nil"/>
              <w:right w:val="nil"/>
            </w:tcBorders>
            <w:noWrap/>
            <w:vAlign w:val="bottom"/>
            <w:hideMark/>
          </w:tcPr>
          <w:p w14:paraId="64D7A326" w14:textId="77777777" w:rsidR="0097010B" w:rsidRPr="0097010B" w:rsidRDefault="0097010B" w:rsidP="0097010B">
            <w:pPr>
              <w:spacing w:after="0" w:line="360" w:lineRule="auto"/>
              <w:rPr>
                <w:rFonts w:ascii="Times New Roman" w:eastAsia="Times New Roman" w:hAnsi="Times New Roman" w:cs="Times New Roman"/>
                <w:sz w:val="24"/>
                <w:szCs w:val="24"/>
              </w:rPr>
            </w:pPr>
          </w:p>
        </w:tc>
        <w:tc>
          <w:tcPr>
            <w:tcW w:w="2680" w:type="dxa"/>
            <w:tcBorders>
              <w:top w:val="nil"/>
              <w:left w:val="nil"/>
              <w:bottom w:val="nil"/>
              <w:right w:val="nil"/>
            </w:tcBorders>
            <w:noWrap/>
            <w:vAlign w:val="bottom"/>
            <w:hideMark/>
          </w:tcPr>
          <w:p w14:paraId="3F9AE7CF" w14:textId="77777777" w:rsidR="0097010B" w:rsidRPr="0097010B" w:rsidRDefault="0097010B" w:rsidP="0097010B">
            <w:pPr>
              <w:spacing w:after="0" w:line="360" w:lineRule="auto"/>
              <w:rPr>
                <w:rFonts w:ascii="Times New Roman" w:eastAsia="Times New Roman" w:hAnsi="Times New Roman" w:cs="Times New Roman"/>
                <w:sz w:val="24"/>
                <w:szCs w:val="24"/>
              </w:rPr>
            </w:pPr>
          </w:p>
        </w:tc>
      </w:tr>
      <w:tr w:rsidR="0097010B" w:rsidRPr="0097010B" w14:paraId="48BEE16D" w14:textId="77777777" w:rsidTr="00340E24">
        <w:trPr>
          <w:trHeight w:val="312"/>
          <w:jc w:val="center"/>
        </w:trPr>
        <w:tc>
          <w:tcPr>
            <w:tcW w:w="5085" w:type="dxa"/>
            <w:tcBorders>
              <w:top w:val="nil"/>
              <w:left w:val="nil"/>
              <w:bottom w:val="nil"/>
              <w:right w:val="nil"/>
            </w:tcBorders>
            <w:noWrap/>
            <w:vAlign w:val="bottom"/>
            <w:hideMark/>
          </w:tcPr>
          <w:p w14:paraId="22935B32"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Firm fixed effects</w:t>
            </w:r>
          </w:p>
        </w:tc>
        <w:tc>
          <w:tcPr>
            <w:tcW w:w="2680" w:type="dxa"/>
            <w:tcBorders>
              <w:top w:val="nil"/>
              <w:left w:val="nil"/>
              <w:bottom w:val="nil"/>
              <w:right w:val="nil"/>
            </w:tcBorders>
            <w:noWrap/>
            <w:vAlign w:val="bottom"/>
            <w:hideMark/>
          </w:tcPr>
          <w:p w14:paraId="0A1E556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r>
      <w:tr w:rsidR="0097010B" w:rsidRPr="0097010B" w14:paraId="019219CE" w14:textId="77777777" w:rsidTr="00340E24">
        <w:trPr>
          <w:trHeight w:val="312"/>
          <w:jc w:val="center"/>
        </w:trPr>
        <w:tc>
          <w:tcPr>
            <w:tcW w:w="5085" w:type="dxa"/>
            <w:tcBorders>
              <w:top w:val="nil"/>
              <w:left w:val="nil"/>
              <w:bottom w:val="nil"/>
              <w:right w:val="nil"/>
            </w:tcBorders>
            <w:noWrap/>
            <w:vAlign w:val="bottom"/>
            <w:hideMark/>
          </w:tcPr>
          <w:p w14:paraId="5DDAF55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Year fixed effects</w:t>
            </w:r>
          </w:p>
        </w:tc>
        <w:tc>
          <w:tcPr>
            <w:tcW w:w="2680" w:type="dxa"/>
            <w:tcBorders>
              <w:top w:val="nil"/>
              <w:left w:val="nil"/>
              <w:bottom w:val="nil"/>
              <w:right w:val="nil"/>
            </w:tcBorders>
            <w:noWrap/>
            <w:vAlign w:val="bottom"/>
            <w:hideMark/>
          </w:tcPr>
          <w:p w14:paraId="340366F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Yes</w:t>
            </w:r>
          </w:p>
        </w:tc>
      </w:tr>
      <w:tr w:rsidR="0097010B" w:rsidRPr="0097010B" w14:paraId="52543E06" w14:textId="77777777" w:rsidTr="00340E24">
        <w:trPr>
          <w:trHeight w:val="312"/>
          <w:jc w:val="center"/>
        </w:trPr>
        <w:tc>
          <w:tcPr>
            <w:tcW w:w="5085" w:type="dxa"/>
            <w:tcBorders>
              <w:top w:val="nil"/>
              <w:left w:val="nil"/>
              <w:bottom w:val="nil"/>
              <w:right w:val="nil"/>
            </w:tcBorders>
            <w:noWrap/>
            <w:vAlign w:val="bottom"/>
            <w:hideMark/>
          </w:tcPr>
          <w:p w14:paraId="5CF4A1EA"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Observations</w:t>
            </w:r>
          </w:p>
        </w:tc>
        <w:tc>
          <w:tcPr>
            <w:tcW w:w="2680" w:type="dxa"/>
            <w:tcBorders>
              <w:top w:val="nil"/>
              <w:left w:val="nil"/>
              <w:bottom w:val="nil"/>
              <w:right w:val="nil"/>
            </w:tcBorders>
            <w:noWrap/>
            <w:vAlign w:val="bottom"/>
            <w:hideMark/>
          </w:tcPr>
          <w:p w14:paraId="2FF4830C"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520</w:t>
            </w:r>
          </w:p>
        </w:tc>
      </w:tr>
      <w:tr w:rsidR="0097010B" w:rsidRPr="0097010B" w14:paraId="3AF2B7D4" w14:textId="77777777" w:rsidTr="00340E24">
        <w:trPr>
          <w:trHeight w:val="312"/>
          <w:jc w:val="center"/>
        </w:trPr>
        <w:tc>
          <w:tcPr>
            <w:tcW w:w="5085" w:type="dxa"/>
            <w:tcBorders>
              <w:top w:val="nil"/>
              <w:left w:val="nil"/>
              <w:bottom w:val="nil"/>
              <w:right w:val="nil"/>
            </w:tcBorders>
            <w:noWrap/>
            <w:vAlign w:val="bottom"/>
            <w:hideMark/>
          </w:tcPr>
          <w:p w14:paraId="04DC3DC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Number of firms</w:t>
            </w:r>
          </w:p>
        </w:tc>
        <w:tc>
          <w:tcPr>
            <w:tcW w:w="2680" w:type="dxa"/>
            <w:tcBorders>
              <w:top w:val="nil"/>
              <w:left w:val="nil"/>
              <w:bottom w:val="nil"/>
              <w:right w:val="nil"/>
            </w:tcBorders>
            <w:noWrap/>
            <w:vAlign w:val="bottom"/>
            <w:hideMark/>
          </w:tcPr>
          <w:p w14:paraId="103ACDB8"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55</w:t>
            </w:r>
          </w:p>
        </w:tc>
      </w:tr>
      <w:tr w:rsidR="0097010B" w:rsidRPr="0097010B" w14:paraId="6129B3EC" w14:textId="77777777" w:rsidTr="00340E24">
        <w:trPr>
          <w:trHeight w:val="312"/>
          <w:jc w:val="center"/>
        </w:trPr>
        <w:tc>
          <w:tcPr>
            <w:tcW w:w="5085" w:type="dxa"/>
            <w:tcBorders>
              <w:top w:val="nil"/>
              <w:left w:val="nil"/>
              <w:bottom w:val="single" w:sz="4" w:space="0" w:color="000000"/>
              <w:right w:val="nil"/>
            </w:tcBorders>
            <w:noWrap/>
            <w:vAlign w:val="bottom"/>
            <w:hideMark/>
          </w:tcPr>
          <w:p w14:paraId="0C830B66"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R-squared</w:t>
            </w:r>
          </w:p>
        </w:tc>
        <w:tc>
          <w:tcPr>
            <w:tcW w:w="2680" w:type="dxa"/>
            <w:tcBorders>
              <w:top w:val="nil"/>
              <w:left w:val="nil"/>
              <w:bottom w:val="single" w:sz="4" w:space="0" w:color="000000"/>
              <w:right w:val="nil"/>
            </w:tcBorders>
            <w:noWrap/>
            <w:vAlign w:val="bottom"/>
            <w:hideMark/>
          </w:tcPr>
          <w:p w14:paraId="1A58F131" w14:textId="77777777" w:rsidR="0097010B" w:rsidRPr="0097010B" w:rsidRDefault="0097010B" w:rsidP="0097010B">
            <w:pPr>
              <w:spacing w:after="0" w:line="360" w:lineRule="auto"/>
              <w:rPr>
                <w:rFonts w:ascii="Times New Roman" w:eastAsia="Times New Roman" w:hAnsi="Times New Roman" w:cs="Times New Roman"/>
                <w:sz w:val="24"/>
                <w:szCs w:val="24"/>
              </w:rPr>
            </w:pPr>
            <w:r w:rsidRPr="0097010B">
              <w:rPr>
                <w:rFonts w:ascii="Times New Roman" w:eastAsia="Times New Roman" w:hAnsi="Times New Roman" w:cs="Times New Roman"/>
                <w:sz w:val="24"/>
                <w:szCs w:val="24"/>
              </w:rPr>
              <w:t>.135</w:t>
            </w:r>
          </w:p>
        </w:tc>
      </w:tr>
    </w:tbl>
    <w:p w14:paraId="17E85DBF" w14:textId="77777777" w:rsidR="0097010B" w:rsidRPr="0097010B" w:rsidRDefault="0097010B" w:rsidP="0097010B">
      <w:pPr>
        <w:spacing w:line="360" w:lineRule="auto"/>
        <w:rPr>
          <w:rFonts w:ascii="Times New Roman" w:hAnsi="Times New Roman" w:cs="Times New Roman"/>
          <w:sz w:val="24"/>
          <w:szCs w:val="24"/>
        </w:rPr>
      </w:pPr>
      <w:r w:rsidRPr="0097010B">
        <w:rPr>
          <w:rFonts w:ascii="Times New Roman" w:hAnsi="Times New Roman" w:cs="Times New Roman"/>
          <w:sz w:val="24"/>
          <w:szCs w:val="24"/>
        </w:rPr>
        <w:t>***</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.01, **</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.05, *</w:t>
      </w:r>
      <w:r w:rsidRPr="0097010B">
        <w:rPr>
          <w:rFonts w:ascii="Times New Roman" w:hAnsi="Times New Roman" w:cs="Times New Roman"/>
          <w:i/>
          <w:iCs/>
          <w:sz w:val="24"/>
          <w:szCs w:val="24"/>
        </w:rPr>
        <w:t>p</w:t>
      </w:r>
      <w:r w:rsidRPr="0097010B">
        <w:rPr>
          <w:rFonts w:ascii="Times New Roman" w:hAnsi="Times New Roman" w:cs="Times New Roman"/>
          <w:sz w:val="24"/>
          <w:szCs w:val="24"/>
        </w:rPr>
        <w:t xml:space="preserve"> &lt; .1</w:t>
      </w:r>
    </w:p>
    <w:p w14:paraId="1F544D34" w14:textId="69FEC896" w:rsidR="00770C32" w:rsidRPr="0097010B" w:rsidRDefault="00770C32" w:rsidP="0097010B">
      <w:pPr>
        <w:rPr>
          <w:rFonts w:ascii="Times New Roman" w:hAnsi="Times New Roman" w:cs="Times New Roman"/>
          <w:sz w:val="24"/>
          <w:szCs w:val="24"/>
        </w:rPr>
      </w:pPr>
    </w:p>
    <w:sectPr w:rsidR="00770C32" w:rsidRPr="0097010B" w:rsidSect="0097010B">
      <w:headerReference w:type="even" r:id="rId50"/>
      <w:headerReference w:type="default" r:id="rId51"/>
      <w:footerReference w:type="even" r:id="rId52"/>
      <w:footerReference w:type="default" r:id="rId53"/>
      <w:headerReference w:type="first" r:id="rId54"/>
      <w:footerReference w:type="firs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3A886" w14:textId="77777777" w:rsidR="00071ACE" w:rsidRDefault="00071ACE" w:rsidP="00B0260C">
      <w:pPr>
        <w:spacing w:after="0" w:line="240" w:lineRule="auto"/>
      </w:pPr>
      <w:r>
        <w:separator/>
      </w:r>
    </w:p>
  </w:endnote>
  <w:endnote w:type="continuationSeparator" w:id="0">
    <w:p w14:paraId="27399B3C" w14:textId="77777777" w:rsidR="00071ACE" w:rsidRDefault="00071ACE" w:rsidP="00B02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FD4DB" w14:textId="77777777" w:rsidR="0097010B" w:rsidRDefault="009701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692C6" w14:textId="77777777" w:rsidR="0097010B" w:rsidRPr="000B30A1" w:rsidRDefault="0097010B" w:rsidP="000B30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E0D15" w14:textId="77777777" w:rsidR="0097010B" w:rsidRPr="000B30A1" w:rsidRDefault="0097010B" w:rsidP="000B30A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F333B" w14:textId="77777777" w:rsidR="00C22CC7" w:rsidRDefault="00C22CC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D767A" w14:textId="77777777" w:rsidR="00C22CC7" w:rsidRDefault="00C22CC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2BAA2" w14:textId="77777777" w:rsidR="00C22CC7" w:rsidRDefault="00C22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775A82" w14:textId="77777777" w:rsidR="00071ACE" w:rsidRDefault="00071ACE" w:rsidP="00B0260C">
      <w:pPr>
        <w:spacing w:after="0" w:line="240" w:lineRule="auto"/>
      </w:pPr>
      <w:r>
        <w:separator/>
      </w:r>
    </w:p>
  </w:footnote>
  <w:footnote w:type="continuationSeparator" w:id="0">
    <w:p w14:paraId="6F58651C" w14:textId="77777777" w:rsidR="00071ACE" w:rsidRDefault="00071ACE" w:rsidP="00B02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12946" w14:textId="77777777" w:rsidR="0097010B" w:rsidRDefault="0097010B">
    <w:pPr>
      <w:pStyle w:val="Header"/>
    </w:pPr>
  </w:p>
  <w:p w14:paraId="527947CF" w14:textId="77777777" w:rsidR="0097010B" w:rsidRDefault="0097010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A8336" w14:textId="77777777" w:rsidR="0097010B" w:rsidRPr="000B30A1" w:rsidRDefault="0097010B" w:rsidP="000B30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320B0" w14:textId="77777777" w:rsidR="0097010B" w:rsidRPr="000B30A1" w:rsidRDefault="0097010B" w:rsidP="000B30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D63CC" w14:textId="77777777" w:rsidR="00C22CC7" w:rsidRDefault="00C22CC7">
    <w:pPr>
      <w:pStyle w:val="Header"/>
    </w:pPr>
  </w:p>
  <w:p w14:paraId="1BBBD61E" w14:textId="77777777" w:rsidR="00D8257F" w:rsidRDefault="00D8257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1318336367"/>
      <w:docPartObj>
        <w:docPartGallery w:val="Page Numbers (Top of Page)"/>
        <w:docPartUnique/>
      </w:docPartObj>
    </w:sdtPr>
    <w:sdtEndPr/>
    <w:sdtContent>
      <w:p w14:paraId="537CC8EE" w14:textId="77777777" w:rsidR="00BC3806" w:rsidRPr="00BC3806" w:rsidRDefault="00BC3806">
        <w:pPr>
          <w:pStyle w:val="Header"/>
          <w:jc w:val="right"/>
          <w:rPr>
            <w:rFonts w:ascii="Times New Roman" w:hAnsi="Times New Roman" w:cs="Times New Roman"/>
            <w:sz w:val="16"/>
            <w:szCs w:val="16"/>
          </w:rPr>
        </w:pPr>
        <w:r w:rsidRPr="00BC3806">
          <w:rPr>
            <w:rFonts w:ascii="Times New Roman" w:hAnsi="Times New Roman" w:cs="Times New Roman"/>
            <w:sz w:val="16"/>
            <w:szCs w:val="16"/>
          </w:rPr>
          <w:t xml:space="preserve">Page </w:t>
        </w:r>
        <w:r w:rsidRPr="00BC3806">
          <w:rPr>
            <w:rFonts w:ascii="Times New Roman" w:hAnsi="Times New Roman" w:cs="Times New Roman"/>
            <w:b/>
            <w:bCs/>
            <w:sz w:val="16"/>
            <w:szCs w:val="16"/>
          </w:rPr>
          <w:fldChar w:fldCharType="begin"/>
        </w:r>
        <w:r w:rsidRPr="00BC3806">
          <w:rPr>
            <w:rFonts w:ascii="Times New Roman" w:hAnsi="Times New Roman" w:cs="Times New Roman"/>
            <w:b/>
            <w:bCs/>
            <w:sz w:val="16"/>
            <w:szCs w:val="16"/>
          </w:rPr>
          <w:instrText xml:space="preserve"> PAGE </w:instrText>
        </w:r>
        <w:r w:rsidRPr="00BC3806">
          <w:rPr>
            <w:rFonts w:ascii="Times New Roman" w:hAnsi="Times New Roman" w:cs="Times New Roman"/>
            <w:b/>
            <w:bCs/>
            <w:sz w:val="16"/>
            <w:szCs w:val="16"/>
          </w:rPr>
          <w:fldChar w:fldCharType="separate"/>
        </w:r>
        <w:r w:rsidRPr="00BC3806">
          <w:rPr>
            <w:rFonts w:ascii="Times New Roman" w:hAnsi="Times New Roman" w:cs="Times New Roman"/>
            <w:b/>
            <w:bCs/>
            <w:noProof/>
            <w:sz w:val="16"/>
            <w:szCs w:val="16"/>
          </w:rPr>
          <w:t>2</w:t>
        </w:r>
        <w:r w:rsidRPr="00BC3806">
          <w:rPr>
            <w:rFonts w:ascii="Times New Roman" w:hAnsi="Times New Roman" w:cs="Times New Roman"/>
            <w:b/>
            <w:bCs/>
            <w:sz w:val="16"/>
            <w:szCs w:val="16"/>
          </w:rPr>
          <w:fldChar w:fldCharType="end"/>
        </w:r>
        <w:r w:rsidRPr="00BC3806">
          <w:rPr>
            <w:rFonts w:ascii="Times New Roman" w:hAnsi="Times New Roman" w:cs="Times New Roman"/>
            <w:sz w:val="16"/>
            <w:szCs w:val="16"/>
          </w:rPr>
          <w:t xml:space="preserve"> of </w:t>
        </w:r>
        <w:r w:rsidRPr="00BC3806">
          <w:rPr>
            <w:rFonts w:ascii="Times New Roman" w:hAnsi="Times New Roman" w:cs="Times New Roman"/>
            <w:b/>
            <w:bCs/>
            <w:sz w:val="16"/>
            <w:szCs w:val="16"/>
          </w:rPr>
          <w:fldChar w:fldCharType="begin"/>
        </w:r>
        <w:r w:rsidRPr="00BC3806">
          <w:rPr>
            <w:rFonts w:ascii="Times New Roman" w:hAnsi="Times New Roman" w:cs="Times New Roman"/>
            <w:b/>
            <w:bCs/>
            <w:sz w:val="16"/>
            <w:szCs w:val="16"/>
          </w:rPr>
          <w:instrText xml:space="preserve"> NUMPAGES  </w:instrText>
        </w:r>
        <w:r w:rsidRPr="00BC3806">
          <w:rPr>
            <w:rFonts w:ascii="Times New Roman" w:hAnsi="Times New Roman" w:cs="Times New Roman"/>
            <w:b/>
            <w:bCs/>
            <w:sz w:val="16"/>
            <w:szCs w:val="16"/>
          </w:rPr>
          <w:fldChar w:fldCharType="separate"/>
        </w:r>
        <w:r w:rsidRPr="00BC3806">
          <w:rPr>
            <w:rFonts w:ascii="Times New Roman" w:hAnsi="Times New Roman" w:cs="Times New Roman"/>
            <w:b/>
            <w:bCs/>
            <w:noProof/>
            <w:sz w:val="16"/>
            <w:szCs w:val="16"/>
          </w:rPr>
          <w:t>2</w:t>
        </w:r>
        <w:r w:rsidRPr="00BC3806">
          <w:rPr>
            <w:rFonts w:ascii="Times New Roman" w:hAnsi="Times New Roman" w:cs="Times New Roman"/>
            <w:b/>
            <w:bCs/>
            <w:sz w:val="16"/>
            <w:szCs w:val="16"/>
          </w:rPr>
          <w:fldChar w:fldCharType="end"/>
        </w:r>
      </w:p>
    </w:sdtContent>
  </w:sdt>
  <w:p w14:paraId="54F7B6AB" w14:textId="2557CF2E" w:rsidR="002B5EB7" w:rsidRDefault="002B5EB7">
    <w:pPr>
      <w:pStyle w:val="Header"/>
    </w:pPr>
  </w:p>
  <w:p w14:paraId="6FA882E1" w14:textId="77777777" w:rsidR="00D8257F" w:rsidRDefault="00D8257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DD135" w14:textId="77777777" w:rsidR="00C22CC7" w:rsidRDefault="00C22C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5F0A1E"/>
    <w:multiLevelType w:val="hybridMultilevel"/>
    <w:tmpl w:val="7D94170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64DF1608"/>
    <w:multiLevelType w:val="hybridMultilevel"/>
    <w:tmpl w:val="7D9417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YwMTcyMDE0N7EwsTRU0lEKTi0uzszPAykwtKwFAO+KiEYtAAAA"/>
  </w:docVars>
  <w:rsids>
    <w:rsidRoot w:val="00B0260C"/>
    <w:rsid w:val="00000267"/>
    <w:rsid w:val="00000903"/>
    <w:rsid w:val="00000CAE"/>
    <w:rsid w:val="00001551"/>
    <w:rsid w:val="00001948"/>
    <w:rsid w:val="00001E67"/>
    <w:rsid w:val="00002810"/>
    <w:rsid w:val="00002CF3"/>
    <w:rsid w:val="00003AD4"/>
    <w:rsid w:val="00005F49"/>
    <w:rsid w:val="0000693B"/>
    <w:rsid w:val="00007107"/>
    <w:rsid w:val="00010358"/>
    <w:rsid w:val="000106AA"/>
    <w:rsid w:val="00010D5A"/>
    <w:rsid w:val="00010F7E"/>
    <w:rsid w:val="0001147B"/>
    <w:rsid w:val="00011543"/>
    <w:rsid w:val="0001177C"/>
    <w:rsid w:val="00011EF6"/>
    <w:rsid w:val="00012423"/>
    <w:rsid w:val="000131A9"/>
    <w:rsid w:val="00013A43"/>
    <w:rsid w:val="00013A5B"/>
    <w:rsid w:val="00014047"/>
    <w:rsid w:val="00016667"/>
    <w:rsid w:val="0001676C"/>
    <w:rsid w:val="000167D0"/>
    <w:rsid w:val="0001716E"/>
    <w:rsid w:val="00017A1D"/>
    <w:rsid w:val="000200C1"/>
    <w:rsid w:val="00020108"/>
    <w:rsid w:val="000207F8"/>
    <w:rsid w:val="000208AF"/>
    <w:rsid w:val="00021189"/>
    <w:rsid w:val="00021AFF"/>
    <w:rsid w:val="0002354A"/>
    <w:rsid w:val="000258BD"/>
    <w:rsid w:val="00025CEB"/>
    <w:rsid w:val="00026A5F"/>
    <w:rsid w:val="00026B5B"/>
    <w:rsid w:val="0002704D"/>
    <w:rsid w:val="000300E2"/>
    <w:rsid w:val="000303CF"/>
    <w:rsid w:val="00030505"/>
    <w:rsid w:val="00031025"/>
    <w:rsid w:val="000336AC"/>
    <w:rsid w:val="00033E35"/>
    <w:rsid w:val="00033FDE"/>
    <w:rsid w:val="00034ACE"/>
    <w:rsid w:val="00035063"/>
    <w:rsid w:val="000350D6"/>
    <w:rsid w:val="0003572A"/>
    <w:rsid w:val="00035A58"/>
    <w:rsid w:val="00035DA5"/>
    <w:rsid w:val="000367F2"/>
    <w:rsid w:val="00036EC3"/>
    <w:rsid w:val="00040B44"/>
    <w:rsid w:val="00040CD6"/>
    <w:rsid w:val="00040CE4"/>
    <w:rsid w:val="00041150"/>
    <w:rsid w:val="00042829"/>
    <w:rsid w:val="00043040"/>
    <w:rsid w:val="00044B60"/>
    <w:rsid w:val="00044C92"/>
    <w:rsid w:val="00046426"/>
    <w:rsid w:val="000465AB"/>
    <w:rsid w:val="00047653"/>
    <w:rsid w:val="00047689"/>
    <w:rsid w:val="000500C9"/>
    <w:rsid w:val="0005020E"/>
    <w:rsid w:val="00051F63"/>
    <w:rsid w:val="0005339D"/>
    <w:rsid w:val="0005393B"/>
    <w:rsid w:val="00053EB0"/>
    <w:rsid w:val="0005443F"/>
    <w:rsid w:val="000552FF"/>
    <w:rsid w:val="000565DD"/>
    <w:rsid w:val="00057F6B"/>
    <w:rsid w:val="000602C2"/>
    <w:rsid w:val="00060869"/>
    <w:rsid w:val="00061F84"/>
    <w:rsid w:val="00062437"/>
    <w:rsid w:val="000626DC"/>
    <w:rsid w:val="0006293C"/>
    <w:rsid w:val="000646F0"/>
    <w:rsid w:val="0006569A"/>
    <w:rsid w:val="0006619D"/>
    <w:rsid w:val="00066DF3"/>
    <w:rsid w:val="00066F1A"/>
    <w:rsid w:val="0006725A"/>
    <w:rsid w:val="00067E13"/>
    <w:rsid w:val="00070268"/>
    <w:rsid w:val="00070FB9"/>
    <w:rsid w:val="00071ACE"/>
    <w:rsid w:val="000733A7"/>
    <w:rsid w:val="000744FA"/>
    <w:rsid w:val="00074A0F"/>
    <w:rsid w:val="0007614C"/>
    <w:rsid w:val="0007799F"/>
    <w:rsid w:val="00081DB1"/>
    <w:rsid w:val="00081FF6"/>
    <w:rsid w:val="0008243D"/>
    <w:rsid w:val="00083375"/>
    <w:rsid w:val="0008508A"/>
    <w:rsid w:val="000854BC"/>
    <w:rsid w:val="00085768"/>
    <w:rsid w:val="00086CC4"/>
    <w:rsid w:val="00086F14"/>
    <w:rsid w:val="00087186"/>
    <w:rsid w:val="00087563"/>
    <w:rsid w:val="00087AA5"/>
    <w:rsid w:val="00090A67"/>
    <w:rsid w:val="00090C72"/>
    <w:rsid w:val="00092198"/>
    <w:rsid w:val="0009239E"/>
    <w:rsid w:val="00093153"/>
    <w:rsid w:val="00093427"/>
    <w:rsid w:val="0009414E"/>
    <w:rsid w:val="00094324"/>
    <w:rsid w:val="000945DA"/>
    <w:rsid w:val="00094CD3"/>
    <w:rsid w:val="00095A56"/>
    <w:rsid w:val="00096137"/>
    <w:rsid w:val="0009618D"/>
    <w:rsid w:val="000968A1"/>
    <w:rsid w:val="00097562"/>
    <w:rsid w:val="00097691"/>
    <w:rsid w:val="00097961"/>
    <w:rsid w:val="000A204F"/>
    <w:rsid w:val="000A324E"/>
    <w:rsid w:val="000A360C"/>
    <w:rsid w:val="000A3683"/>
    <w:rsid w:val="000A5652"/>
    <w:rsid w:val="000A57AF"/>
    <w:rsid w:val="000A634D"/>
    <w:rsid w:val="000A6C6C"/>
    <w:rsid w:val="000A7FF1"/>
    <w:rsid w:val="000B0FDA"/>
    <w:rsid w:val="000B43C0"/>
    <w:rsid w:val="000B5393"/>
    <w:rsid w:val="000B5F87"/>
    <w:rsid w:val="000B6512"/>
    <w:rsid w:val="000B7B82"/>
    <w:rsid w:val="000C0704"/>
    <w:rsid w:val="000C0A11"/>
    <w:rsid w:val="000C1D15"/>
    <w:rsid w:val="000C337F"/>
    <w:rsid w:val="000C3BCD"/>
    <w:rsid w:val="000C543E"/>
    <w:rsid w:val="000C5ECB"/>
    <w:rsid w:val="000C6317"/>
    <w:rsid w:val="000D0446"/>
    <w:rsid w:val="000D13FD"/>
    <w:rsid w:val="000D1480"/>
    <w:rsid w:val="000D2296"/>
    <w:rsid w:val="000D348B"/>
    <w:rsid w:val="000D367C"/>
    <w:rsid w:val="000D4B07"/>
    <w:rsid w:val="000D4DC5"/>
    <w:rsid w:val="000D58E8"/>
    <w:rsid w:val="000D6448"/>
    <w:rsid w:val="000D6995"/>
    <w:rsid w:val="000D734A"/>
    <w:rsid w:val="000E0403"/>
    <w:rsid w:val="000E05F4"/>
    <w:rsid w:val="000E079A"/>
    <w:rsid w:val="000E09DB"/>
    <w:rsid w:val="000E0B74"/>
    <w:rsid w:val="000E270F"/>
    <w:rsid w:val="000E2877"/>
    <w:rsid w:val="000E32BD"/>
    <w:rsid w:val="000E368A"/>
    <w:rsid w:val="000E453B"/>
    <w:rsid w:val="000E5B24"/>
    <w:rsid w:val="000E5D17"/>
    <w:rsid w:val="000E5E25"/>
    <w:rsid w:val="000E5EC0"/>
    <w:rsid w:val="000E69B0"/>
    <w:rsid w:val="000E6B96"/>
    <w:rsid w:val="000E6F89"/>
    <w:rsid w:val="000E7B92"/>
    <w:rsid w:val="000F0144"/>
    <w:rsid w:val="000F1B59"/>
    <w:rsid w:val="000F1B5A"/>
    <w:rsid w:val="000F2DA8"/>
    <w:rsid w:val="000F2E06"/>
    <w:rsid w:val="000F4688"/>
    <w:rsid w:val="000F4A3B"/>
    <w:rsid w:val="000F4FFD"/>
    <w:rsid w:val="000F5C88"/>
    <w:rsid w:val="000F6422"/>
    <w:rsid w:val="000F6613"/>
    <w:rsid w:val="000F6A6F"/>
    <w:rsid w:val="000F6BDA"/>
    <w:rsid w:val="000F6C40"/>
    <w:rsid w:val="000F7593"/>
    <w:rsid w:val="000F7844"/>
    <w:rsid w:val="000F7B4F"/>
    <w:rsid w:val="00100012"/>
    <w:rsid w:val="00100A8D"/>
    <w:rsid w:val="00102297"/>
    <w:rsid w:val="00102B42"/>
    <w:rsid w:val="00102CB7"/>
    <w:rsid w:val="0010362A"/>
    <w:rsid w:val="0010363F"/>
    <w:rsid w:val="00105479"/>
    <w:rsid w:val="00105578"/>
    <w:rsid w:val="00105C0C"/>
    <w:rsid w:val="00105C50"/>
    <w:rsid w:val="00106A95"/>
    <w:rsid w:val="00106F21"/>
    <w:rsid w:val="001105AE"/>
    <w:rsid w:val="00110D23"/>
    <w:rsid w:val="00111351"/>
    <w:rsid w:val="00111CDC"/>
    <w:rsid w:val="00112447"/>
    <w:rsid w:val="001124FA"/>
    <w:rsid w:val="00113F21"/>
    <w:rsid w:val="00115279"/>
    <w:rsid w:val="0011558B"/>
    <w:rsid w:val="00115BDD"/>
    <w:rsid w:val="0011619B"/>
    <w:rsid w:val="00116EBC"/>
    <w:rsid w:val="00120466"/>
    <w:rsid w:val="00121B0B"/>
    <w:rsid w:val="00122037"/>
    <w:rsid w:val="0012217F"/>
    <w:rsid w:val="00122ADA"/>
    <w:rsid w:val="00123918"/>
    <w:rsid w:val="001242EF"/>
    <w:rsid w:val="00124BE6"/>
    <w:rsid w:val="00125689"/>
    <w:rsid w:val="00125E8D"/>
    <w:rsid w:val="001271A6"/>
    <w:rsid w:val="00127367"/>
    <w:rsid w:val="0012792F"/>
    <w:rsid w:val="00130002"/>
    <w:rsid w:val="0013009C"/>
    <w:rsid w:val="00130D51"/>
    <w:rsid w:val="00130E02"/>
    <w:rsid w:val="00131935"/>
    <w:rsid w:val="00131AE8"/>
    <w:rsid w:val="00131C56"/>
    <w:rsid w:val="00131FFD"/>
    <w:rsid w:val="00132511"/>
    <w:rsid w:val="001327D0"/>
    <w:rsid w:val="00133562"/>
    <w:rsid w:val="00136361"/>
    <w:rsid w:val="001364CF"/>
    <w:rsid w:val="001371F5"/>
    <w:rsid w:val="001372C4"/>
    <w:rsid w:val="001372F8"/>
    <w:rsid w:val="001379F7"/>
    <w:rsid w:val="00137BDF"/>
    <w:rsid w:val="0014030D"/>
    <w:rsid w:val="00140E5C"/>
    <w:rsid w:val="00140F5C"/>
    <w:rsid w:val="00141845"/>
    <w:rsid w:val="00141E17"/>
    <w:rsid w:val="00141F75"/>
    <w:rsid w:val="00142343"/>
    <w:rsid w:val="00143D5B"/>
    <w:rsid w:val="001443CB"/>
    <w:rsid w:val="001447C0"/>
    <w:rsid w:val="001448AB"/>
    <w:rsid w:val="00146714"/>
    <w:rsid w:val="00147894"/>
    <w:rsid w:val="00147BE8"/>
    <w:rsid w:val="00150301"/>
    <w:rsid w:val="001508D6"/>
    <w:rsid w:val="00150D97"/>
    <w:rsid w:val="001514A8"/>
    <w:rsid w:val="00153A16"/>
    <w:rsid w:val="00154647"/>
    <w:rsid w:val="0015491D"/>
    <w:rsid w:val="00155E29"/>
    <w:rsid w:val="00155ED7"/>
    <w:rsid w:val="001563ED"/>
    <w:rsid w:val="00157531"/>
    <w:rsid w:val="001610AA"/>
    <w:rsid w:val="00161204"/>
    <w:rsid w:val="00162007"/>
    <w:rsid w:val="0016208E"/>
    <w:rsid w:val="001626C3"/>
    <w:rsid w:val="001633C4"/>
    <w:rsid w:val="001644D0"/>
    <w:rsid w:val="00164AB5"/>
    <w:rsid w:val="00165DCB"/>
    <w:rsid w:val="00170105"/>
    <w:rsid w:val="001701D3"/>
    <w:rsid w:val="0017037E"/>
    <w:rsid w:val="001703BE"/>
    <w:rsid w:val="001725C1"/>
    <w:rsid w:val="00172C75"/>
    <w:rsid w:val="001731F6"/>
    <w:rsid w:val="00174967"/>
    <w:rsid w:val="0017525E"/>
    <w:rsid w:val="0017683C"/>
    <w:rsid w:val="00176846"/>
    <w:rsid w:val="00177F02"/>
    <w:rsid w:val="00180C56"/>
    <w:rsid w:val="0018103E"/>
    <w:rsid w:val="00181173"/>
    <w:rsid w:val="001811BF"/>
    <w:rsid w:val="00181E84"/>
    <w:rsid w:val="00182369"/>
    <w:rsid w:val="00182B8B"/>
    <w:rsid w:val="00183033"/>
    <w:rsid w:val="00184024"/>
    <w:rsid w:val="00184C82"/>
    <w:rsid w:val="00186279"/>
    <w:rsid w:val="00186A1C"/>
    <w:rsid w:val="00186ECC"/>
    <w:rsid w:val="00186F64"/>
    <w:rsid w:val="00186FCF"/>
    <w:rsid w:val="001901BE"/>
    <w:rsid w:val="00190505"/>
    <w:rsid w:val="00190C33"/>
    <w:rsid w:val="0019103E"/>
    <w:rsid w:val="001922D5"/>
    <w:rsid w:val="00192892"/>
    <w:rsid w:val="00192C0B"/>
    <w:rsid w:val="00194506"/>
    <w:rsid w:val="001951D4"/>
    <w:rsid w:val="001962E1"/>
    <w:rsid w:val="0019656B"/>
    <w:rsid w:val="001968DB"/>
    <w:rsid w:val="00197125"/>
    <w:rsid w:val="001A01AD"/>
    <w:rsid w:val="001A0699"/>
    <w:rsid w:val="001A06DD"/>
    <w:rsid w:val="001A160F"/>
    <w:rsid w:val="001A2CD8"/>
    <w:rsid w:val="001A3DBC"/>
    <w:rsid w:val="001A3FAE"/>
    <w:rsid w:val="001A4D1F"/>
    <w:rsid w:val="001A5E45"/>
    <w:rsid w:val="001A62CB"/>
    <w:rsid w:val="001A710C"/>
    <w:rsid w:val="001A71A2"/>
    <w:rsid w:val="001A787C"/>
    <w:rsid w:val="001B186C"/>
    <w:rsid w:val="001B2959"/>
    <w:rsid w:val="001B29A2"/>
    <w:rsid w:val="001B4A65"/>
    <w:rsid w:val="001B51D9"/>
    <w:rsid w:val="001B5CF7"/>
    <w:rsid w:val="001B62F1"/>
    <w:rsid w:val="001B6950"/>
    <w:rsid w:val="001B6A2B"/>
    <w:rsid w:val="001B6E11"/>
    <w:rsid w:val="001B7440"/>
    <w:rsid w:val="001B7D5F"/>
    <w:rsid w:val="001C0437"/>
    <w:rsid w:val="001C09BE"/>
    <w:rsid w:val="001C15E2"/>
    <w:rsid w:val="001C1BF3"/>
    <w:rsid w:val="001C2017"/>
    <w:rsid w:val="001C22E0"/>
    <w:rsid w:val="001C333A"/>
    <w:rsid w:val="001C4266"/>
    <w:rsid w:val="001C47EC"/>
    <w:rsid w:val="001C4E7F"/>
    <w:rsid w:val="001C51D2"/>
    <w:rsid w:val="001C6375"/>
    <w:rsid w:val="001C684B"/>
    <w:rsid w:val="001C792D"/>
    <w:rsid w:val="001C7F8E"/>
    <w:rsid w:val="001D094A"/>
    <w:rsid w:val="001D0D30"/>
    <w:rsid w:val="001D1748"/>
    <w:rsid w:val="001D17FC"/>
    <w:rsid w:val="001D2861"/>
    <w:rsid w:val="001D2C4E"/>
    <w:rsid w:val="001D2E08"/>
    <w:rsid w:val="001D3EFE"/>
    <w:rsid w:val="001D44FA"/>
    <w:rsid w:val="001D5492"/>
    <w:rsid w:val="001D65B6"/>
    <w:rsid w:val="001D7E97"/>
    <w:rsid w:val="001E05DC"/>
    <w:rsid w:val="001E0E56"/>
    <w:rsid w:val="001E0F8E"/>
    <w:rsid w:val="001E3955"/>
    <w:rsid w:val="001E3BAD"/>
    <w:rsid w:val="001E3D67"/>
    <w:rsid w:val="001E539C"/>
    <w:rsid w:val="001E5924"/>
    <w:rsid w:val="001E5BD2"/>
    <w:rsid w:val="001E60FA"/>
    <w:rsid w:val="001E7F07"/>
    <w:rsid w:val="001F026B"/>
    <w:rsid w:val="001F0414"/>
    <w:rsid w:val="001F1295"/>
    <w:rsid w:val="001F2BC9"/>
    <w:rsid w:val="001F2EA3"/>
    <w:rsid w:val="001F305B"/>
    <w:rsid w:val="001F379B"/>
    <w:rsid w:val="001F4CB6"/>
    <w:rsid w:val="001F5AD5"/>
    <w:rsid w:val="001F67D9"/>
    <w:rsid w:val="001F72FF"/>
    <w:rsid w:val="001F7508"/>
    <w:rsid w:val="001F7A25"/>
    <w:rsid w:val="001F7D0A"/>
    <w:rsid w:val="001F7F51"/>
    <w:rsid w:val="00200017"/>
    <w:rsid w:val="0020050F"/>
    <w:rsid w:val="002012CE"/>
    <w:rsid w:val="00201930"/>
    <w:rsid w:val="00201E4F"/>
    <w:rsid w:val="00201F08"/>
    <w:rsid w:val="002024D9"/>
    <w:rsid w:val="00202A13"/>
    <w:rsid w:val="002042FB"/>
    <w:rsid w:val="002048A9"/>
    <w:rsid w:val="0020504C"/>
    <w:rsid w:val="00205646"/>
    <w:rsid w:val="00207322"/>
    <w:rsid w:val="0020768C"/>
    <w:rsid w:val="00207BC3"/>
    <w:rsid w:val="002101EC"/>
    <w:rsid w:val="0021083A"/>
    <w:rsid w:val="00210D25"/>
    <w:rsid w:val="00212259"/>
    <w:rsid w:val="002125E3"/>
    <w:rsid w:val="002148FA"/>
    <w:rsid w:val="00215692"/>
    <w:rsid w:val="00215D50"/>
    <w:rsid w:val="00217648"/>
    <w:rsid w:val="00217769"/>
    <w:rsid w:val="00220161"/>
    <w:rsid w:val="00220FCC"/>
    <w:rsid w:val="00221028"/>
    <w:rsid w:val="002213C2"/>
    <w:rsid w:val="00221419"/>
    <w:rsid w:val="00223413"/>
    <w:rsid w:val="002235E8"/>
    <w:rsid w:val="00224998"/>
    <w:rsid w:val="00225E45"/>
    <w:rsid w:val="0023005C"/>
    <w:rsid w:val="0023039D"/>
    <w:rsid w:val="00231544"/>
    <w:rsid w:val="00231890"/>
    <w:rsid w:val="00231B80"/>
    <w:rsid w:val="00234E70"/>
    <w:rsid w:val="00235293"/>
    <w:rsid w:val="00236474"/>
    <w:rsid w:val="0023684C"/>
    <w:rsid w:val="00236D1E"/>
    <w:rsid w:val="00237863"/>
    <w:rsid w:val="00241B2A"/>
    <w:rsid w:val="00241C7A"/>
    <w:rsid w:val="0024241F"/>
    <w:rsid w:val="00242617"/>
    <w:rsid w:val="00243A4D"/>
    <w:rsid w:val="00244516"/>
    <w:rsid w:val="00246DF5"/>
    <w:rsid w:val="002475CC"/>
    <w:rsid w:val="002507D5"/>
    <w:rsid w:val="002510F0"/>
    <w:rsid w:val="00251418"/>
    <w:rsid w:val="00251BE1"/>
    <w:rsid w:val="0025214A"/>
    <w:rsid w:val="00252329"/>
    <w:rsid w:val="0025285D"/>
    <w:rsid w:val="00253477"/>
    <w:rsid w:val="0025365B"/>
    <w:rsid w:val="0025518D"/>
    <w:rsid w:val="002552A6"/>
    <w:rsid w:val="00255B43"/>
    <w:rsid w:val="00255E74"/>
    <w:rsid w:val="002569BC"/>
    <w:rsid w:val="00256C09"/>
    <w:rsid w:val="00256CEA"/>
    <w:rsid w:val="00256F07"/>
    <w:rsid w:val="002571BA"/>
    <w:rsid w:val="002579E3"/>
    <w:rsid w:val="00257C89"/>
    <w:rsid w:val="00257DD5"/>
    <w:rsid w:val="002602F6"/>
    <w:rsid w:val="00260F41"/>
    <w:rsid w:val="0026101C"/>
    <w:rsid w:val="00262765"/>
    <w:rsid w:val="0026295F"/>
    <w:rsid w:val="00262BC5"/>
    <w:rsid w:val="00264769"/>
    <w:rsid w:val="0026590C"/>
    <w:rsid w:val="00265DA1"/>
    <w:rsid w:val="002668A7"/>
    <w:rsid w:val="002672C9"/>
    <w:rsid w:val="00267966"/>
    <w:rsid w:val="00270F96"/>
    <w:rsid w:val="0027176A"/>
    <w:rsid w:val="00271E50"/>
    <w:rsid w:val="00273B3F"/>
    <w:rsid w:val="00273EE1"/>
    <w:rsid w:val="00274294"/>
    <w:rsid w:val="00274A06"/>
    <w:rsid w:val="0027509F"/>
    <w:rsid w:val="002753AE"/>
    <w:rsid w:val="00275991"/>
    <w:rsid w:val="00275BB7"/>
    <w:rsid w:val="002767A8"/>
    <w:rsid w:val="002769F8"/>
    <w:rsid w:val="002779E2"/>
    <w:rsid w:val="0028115E"/>
    <w:rsid w:val="002819CF"/>
    <w:rsid w:val="0028208C"/>
    <w:rsid w:val="00283179"/>
    <w:rsid w:val="0028334B"/>
    <w:rsid w:val="0028368B"/>
    <w:rsid w:val="0028496B"/>
    <w:rsid w:val="002874B7"/>
    <w:rsid w:val="0029119E"/>
    <w:rsid w:val="002914AE"/>
    <w:rsid w:val="002938AA"/>
    <w:rsid w:val="00294B60"/>
    <w:rsid w:val="0029666E"/>
    <w:rsid w:val="00296E64"/>
    <w:rsid w:val="002972B1"/>
    <w:rsid w:val="002977C6"/>
    <w:rsid w:val="00297ED4"/>
    <w:rsid w:val="00297FF0"/>
    <w:rsid w:val="002A009E"/>
    <w:rsid w:val="002A071E"/>
    <w:rsid w:val="002A1358"/>
    <w:rsid w:val="002A23AD"/>
    <w:rsid w:val="002A25F1"/>
    <w:rsid w:val="002A3A63"/>
    <w:rsid w:val="002A4206"/>
    <w:rsid w:val="002A5072"/>
    <w:rsid w:val="002A5366"/>
    <w:rsid w:val="002A5DEB"/>
    <w:rsid w:val="002A6B0C"/>
    <w:rsid w:val="002B010B"/>
    <w:rsid w:val="002B0179"/>
    <w:rsid w:val="002B0342"/>
    <w:rsid w:val="002B0849"/>
    <w:rsid w:val="002B17BF"/>
    <w:rsid w:val="002B1E50"/>
    <w:rsid w:val="002B2B86"/>
    <w:rsid w:val="002B35D9"/>
    <w:rsid w:val="002B3B54"/>
    <w:rsid w:val="002B4473"/>
    <w:rsid w:val="002B4B06"/>
    <w:rsid w:val="002B4B21"/>
    <w:rsid w:val="002B5609"/>
    <w:rsid w:val="002B5683"/>
    <w:rsid w:val="002B5E06"/>
    <w:rsid w:val="002B5EB7"/>
    <w:rsid w:val="002B6A68"/>
    <w:rsid w:val="002B7BFF"/>
    <w:rsid w:val="002C0044"/>
    <w:rsid w:val="002C1A56"/>
    <w:rsid w:val="002C1FF8"/>
    <w:rsid w:val="002C37F2"/>
    <w:rsid w:val="002C3AA0"/>
    <w:rsid w:val="002C3CE0"/>
    <w:rsid w:val="002C5E98"/>
    <w:rsid w:val="002C686F"/>
    <w:rsid w:val="002C7296"/>
    <w:rsid w:val="002D05A5"/>
    <w:rsid w:val="002D13BA"/>
    <w:rsid w:val="002D202D"/>
    <w:rsid w:val="002D2A3B"/>
    <w:rsid w:val="002D2E05"/>
    <w:rsid w:val="002D2F68"/>
    <w:rsid w:val="002D314B"/>
    <w:rsid w:val="002D4322"/>
    <w:rsid w:val="002D48DA"/>
    <w:rsid w:val="002D4FC9"/>
    <w:rsid w:val="002D5919"/>
    <w:rsid w:val="002D6855"/>
    <w:rsid w:val="002D6A5F"/>
    <w:rsid w:val="002D6B19"/>
    <w:rsid w:val="002D7FA5"/>
    <w:rsid w:val="002E0062"/>
    <w:rsid w:val="002E08EA"/>
    <w:rsid w:val="002E14E5"/>
    <w:rsid w:val="002E1EB4"/>
    <w:rsid w:val="002E31E6"/>
    <w:rsid w:val="002E433F"/>
    <w:rsid w:val="002E4D24"/>
    <w:rsid w:val="002E6ED1"/>
    <w:rsid w:val="002E6FF4"/>
    <w:rsid w:val="002E7BD8"/>
    <w:rsid w:val="002F03FC"/>
    <w:rsid w:val="002F0AC8"/>
    <w:rsid w:val="002F2798"/>
    <w:rsid w:val="002F2BE2"/>
    <w:rsid w:val="002F2E4C"/>
    <w:rsid w:val="002F329B"/>
    <w:rsid w:val="002F425C"/>
    <w:rsid w:val="002F43AF"/>
    <w:rsid w:val="002F483D"/>
    <w:rsid w:val="002F4BC3"/>
    <w:rsid w:val="002F5177"/>
    <w:rsid w:val="002F6452"/>
    <w:rsid w:val="002F7142"/>
    <w:rsid w:val="002F79F2"/>
    <w:rsid w:val="002F7E1D"/>
    <w:rsid w:val="00300E5D"/>
    <w:rsid w:val="00301612"/>
    <w:rsid w:val="00301C8C"/>
    <w:rsid w:val="00301D3A"/>
    <w:rsid w:val="00302409"/>
    <w:rsid w:val="0030303A"/>
    <w:rsid w:val="003030C6"/>
    <w:rsid w:val="00303D14"/>
    <w:rsid w:val="003046AE"/>
    <w:rsid w:val="00304B2C"/>
    <w:rsid w:val="00304C60"/>
    <w:rsid w:val="003056FF"/>
    <w:rsid w:val="003070B9"/>
    <w:rsid w:val="00307140"/>
    <w:rsid w:val="00307AD1"/>
    <w:rsid w:val="00307EBD"/>
    <w:rsid w:val="00310739"/>
    <w:rsid w:val="003108C2"/>
    <w:rsid w:val="00312803"/>
    <w:rsid w:val="00312CC9"/>
    <w:rsid w:val="00312F0A"/>
    <w:rsid w:val="003131DC"/>
    <w:rsid w:val="00314A7B"/>
    <w:rsid w:val="00314B07"/>
    <w:rsid w:val="0031543B"/>
    <w:rsid w:val="00316616"/>
    <w:rsid w:val="00320324"/>
    <w:rsid w:val="003209E1"/>
    <w:rsid w:val="00323467"/>
    <w:rsid w:val="00323989"/>
    <w:rsid w:val="0032420D"/>
    <w:rsid w:val="0032625C"/>
    <w:rsid w:val="0032779C"/>
    <w:rsid w:val="003279D8"/>
    <w:rsid w:val="00330A3F"/>
    <w:rsid w:val="00330D6F"/>
    <w:rsid w:val="0033153C"/>
    <w:rsid w:val="0033179A"/>
    <w:rsid w:val="003320FE"/>
    <w:rsid w:val="00332385"/>
    <w:rsid w:val="003327CD"/>
    <w:rsid w:val="0033325C"/>
    <w:rsid w:val="003339E3"/>
    <w:rsid w:val="00334AF6"/>
    <w:rsid w:val="00335266"/>
    <w:rsid w:val="00335C77"/>
    <w:rsid w:val="00335F14"/>
    <w:rsid w:val="003361A8"/>
    <w:rsid w:val="003364E7"/>
    <w:rsid w:val="00337574"/>
    <w:rsid w:val="00337F88"/>
    <w:rsid w:val="0034133D"/>
    <w:rsid w:val="003417D0"/>
    <w:rsid w:val="00342DD5"/>
    <w:rsid w:val="00344054"/>
    <w:rsid w:val="003443C6"/>
    <w:rsid w:val="00345A02"/>
    <w:rsid w:val="00345ED5"/>
    <w:rsid w:val="00345FAF"/>
    <w:rsid w:val="0034603A"/>
    <w:rsid w:val="0034710B"/>
    <w:rsid w:val="00347803"/>
    <w:rsid w:val="00347E9E"/>
    <w:rsid w:val="003500AD"/>
    <w:rsid w:val="003506E9"/>
    <w:rsid w:val="003518EB"/>
    <w:rsid w:val="0035195E"/>
    <w:rsid w:val="00351EF9"/>
    <w:rsid w:val="00351F0E"/>
    <w:rsid w:val="00352763"/>
    <w:rsid w:val="0035346D"/>
    <w:rsid w:val="003542BF"/>
    <w:rsid w:val="0035451F"/>
    <w:rsid w:val="00354B58"/>
    <w:rsid w:val="00354C2D"/>
    <w:rsid w:val="00354E5B"/>
    <w:rsid w:val="003559C1"/>
    <w:rsid w:val="00355A8D"/>
    <w:rsid w:val="00356E7D"/>
    <w:rsid w:val="00357088"/>
    <w:rsid w:val="0035777B"/>
    <w:rsid w:val="0036033E"/>
    <w:rsid w:val="00360583"/>
    <w:rsid w:val="00361A6B"/>
    <w:rsid w:val="00361FEF"/>
    <w:rsid w:val="003626D2"/>
    <w:rsid w:val="00363C70"/>
    <w:rsid w:val="003658B1"/>
    <w:rsid w:val="00365E9A"/>
    <w:rsid w:val="00366364"/>
    <w:rsid w:val="00366E68"/>
    <w:rsid w:val="00367832"/>
    <w:rsid w:val="00372455"/>
    <w:rsid w:val="003745B0"/>
    <w:rsid w:val="00374695"/>
    <w:rsid w:val="0037483C"/>
    <w:rsid w:val="00374925"/>
    <w:rsid w:val="00374A32"/>
    <w:rsid w:val="00375DC6"/>
    <w:rsid w:val="00375EBA"/>
    <w:rsid w:val="003764BF"/>
    <w:rsid w:val="003769AE"/>
    <w:rsid w:val="003771A7"/>
    <w:rsid w:val="00377919"/>
    <w:rsid w:val="00380C48"/>
    <w:rsid w:val="00381F51"/>
    <w:rsid w:val="003822DA"/>
    <w:rsid w:val="00382368"/>
    <w:rsid w:val="00383929"/>
    <w:rsid w:val="00383C95"/>
    <w:rsid w:val="003841E1"/>
    <w:rsid w:val="00384854"/>
    <w:rsid w:val="00384FB9"/>
    <w:rsid w:val="003856A5"/>
    <w:rsid w:val="003856C1"/>
    <w:rsid w:val="00386F0C"/>
    <w:rsid w:val="003879B0"/>
    <w:rsid w:val="00387D1D"/>
    <w:rsid w:val="00387D23"/>
    <w:rsid w:val="00390663"/>
    <w:rsid w:val="00390AC7"/>
    <w:rsid w:val="00391E18"/>
    <w:rsid w:val="00393A69"/>
    <w:rsid w:val="0039425F"/>
    <w:rsid w:val="0039429C"/>
    <w:rsid w:val="00394724"/>
    <w:rsid w:val="0039476A"/>
    <w:rsid w:val="0039494F"/>
    <w:rsid w:val="003955A4"/>
    <w:rsid w:val="00396C7F"/>
    <w:rsid w:val="003A0FFF"/>
    <w:rsid w:val="003A16A9"/>
    <w:rsid w:val="003A2A23"/>
    <w:rsid w:val="003A2AA9"/>
    <w:rsid w:val="003A2C6B"/>
    <w:rsid w:val="003A45B5"/>
    <w:rsid w:val="003A5C89"/>
    <w:rsid w:val="003A63DC"/>
    <w:rsid w:val="003A65F7"/>
    <w:rsid w:val="003A7354"/>
    <w:rsid w:val="003A73B1"/>
    <w:rsid w:val="003A7442"/>
    <w:rsid w:val="003B0177"/>
    <w:rsid w:val="003B033A"/>
    <w:rsid w:val="003B074A"/>
    <w:rsid w:val="003B07BC"/>
    <w:rsid w:val="003B086D"/>
    <w:rsid w:val="003B1F4D"/>
    <w:rsid w:val="003B20BC"/>
    <w:rsid w:val="003B2EA8"/>
    <w:rsid w:val="003B3C12"/>
    <w:rsid w:val="003B3DB5"/>
    <w:rsid w:val="003B3FB2"/>
    <w:rsid w:val="003B51F3"/>
    <w:rsid w:val="003B5353"/>
    <w:rsid w:val="003B5547"/>
    <w:rsid w:val="003B5BE0"/>
    <w:rsid w:val="003B6643"/>
    <w:rsid w:val="003B700E"/>
    <w:rsid w:val="003B7322"/>
    <w:rsid w:val="003B7741"/>
    <w:rsid w:val="003C217E"/>
    <w:rsid w:val="003C27B8"/>
    <w:rsid w:val="003C2801"/>
    <w:rsid w:val="003C29F6"/>
    <w:rsid w:val="003C2DD7"/>
    <w:rsid w:val="003C44CD"/>
    <w:rsid w:val="003C4611"/>
    <w:rsid w:val="003C47B2"/>
    <w:rsid w:val="003C4AEA"/>
    <w:rsid w:val="003C4D76"/>
    <w:rsid w:val="003C51AC"/>
    <w:rsid w:val="003C5465"/>
    <w:rsid w:val="003C5D9C"/>
    <w:rsid w:val="003C5E03"/>
    <w:rsid w:val="003C5F31"/>
    <w:rsid w:val="003C6443"/>
    <w:rsid w:val="003C6ABA"/>
    <w:rsid w:val="003C723F"/>
    <w:rsid w:val="003D03EC"/>
    <w:rsid w:val="003D046A"/>
    <w:rsid w:val="003D08E2"/>
    <w:rsid w:val="003D12A7"/>
    <w:rsid w:val="003D19B4"/>
    <w:rsid w:val="003D1E0C"/>
    <w:rsid w:val="003D1F64"/>
    <w:rsid w:val="003D3882"/>
    <w:rsid w:val="003D4CB0"/>
    <w:rsid w:val="003D503F"/>
    <w:rsid w:val="003D54B7"/>
    <w:rsid w:val="003D6814"/>
    <w:rsid w:val="003D6C9E"/>
    <w:rsid w:val="003D6E82"/>
    <w:rsid w:val="003D6FB3"/>
    <w:rsid w:val="003D741A"/>
    <w:rsid w:val="003E0F9A"/>
    <w:rsid w:val="003E1390"/>
    <w:rsid w:val="003E16F9"/>
    <w:rsid w:val="003E1E03"/>
    <w:rsid w:val="003E2AFB"/>
    <w:rsid w:val="003E474F"/>
    <w:rsid w:val="003E5820"/>
    <w:rsid w:val="003E5C4E"/>
    <w:rsid w:val="003E67F5"/>
    <w:rsid w:val="003E6C79"/>
    <w:rsid w:val="003E7949"/>
    <w:rsid w:val="003E7F1C"/>
    <w:rsid w:val="003F0717"/>
    <w:rsid w:val="003F2097"/>
    <w:rsid w:val="003F4A9E"/>
    <w:rsid w:val="003F4ED1"/>
    <w:rsid w:val="003F548E"/>
    <w:rsid w:val="003F5A3B"/>
    <w:rsid w:val="003F5A84"/>
    <w:rsid w:val="003F60C7"/>
    <w:rsid w:val="003F7502"/>
    <w:rsid w:val="003F7E6A"/>
    <w:rsid w:val="004007A9"/>
    <w:rsid w:val="004008BB"/>
    <w:rsid w:val="004013D0"/>
    <w:rsid w:val="00401A0E"/>
    <w:rsid w:val="00401A1B"/>
    <w:rsid w:val="00402238"/>
    <w:rsid w:val="004026E9"/>
    <w:rsid w:val="004029BF"/>
    <w:rsid w:val="00403456"/>
    <w:rsid w:val="00404077"/>
    <w:rsid w:val="004046E8"/>
    <w:rsid w:val="00404A9D"/>
    <w:rsid w:val="00405344"/>
    <w:rsid w:val="0040636F"/>
    <w:rsid w:val="0040684C"/>
    <w:rsid w:val="0040691E"/>
    <w:rsid w:val="004073AE"/>
    <w:rsid w:val="00410406"/>
    <w:rsid w:val="00413129"/>
    <w:rsid w:val="00415E04"/>
    <w:rsid w:val="00416481"/>
    <w:rsid w:val="004168DF"/>
    <w:rsid w:val="00416EFF"/>
    <w:rsid w:val="00420785"/>
    <w:rsid w:val="0042205E"/>
    <w:rsid w:val="00422A21"/>
    <w:rsid w:val="00422A6A"/>
    <w:rsid w:val="00422D88"/>
    <w:rsid w:val="00423194"/>
    <w:rsid w:val="004232CE"/>
    <w:rsid w:val="004244C1"/>
    <w:rsid w:val="0042470F"/>
    <w:rsid w:val="0042591E"/>
    <w:rsid w:val="00425EC0"/>
    <w:rsid w:val="0042694B"/>
    <w:rsid w:val="004269FB"/>
    <w:rsid w:val="00426A85"/>
    <w:rsid w:val="0043198B"/>
    <w:rsid w:val="00431B69"/>
    <w:rsid w:val="00432ACE"/>
    <w:rsid w:val="00434894"/>
    <w:rsid w:val="004349A1"/>
    <w:rsid w:val="0043567D"/>
    <w:rsid w:val="00435F81"/>
    <w:rsid w:val="004367ED"/>
    <w:rsid w:val="00437460"/>
    <w:rsid w:val="00440841"/>
    <w:rsid w:val="00442841"/>
    <w:rsid w:val="00442C58"/>
    <w:rsid w:val="0044400C"/>
    <w:rsid w:val="0044423C"/>
    <w:rsid w:val="00444482"/>
    <w:rsid w:val="00445620"/>
    <w:rsid w:val="00446784"/>
    <w:rsid w:val="00446BBD"/>
    <w:rsid w:val="004500E0"/>
    <w:rsid w:val="004501F1"/>
    <w:rsid w:val="00450C1F"/>
    <w:rsid w:val="00450E75"/>
    <w:rsid w:val="004511B9"/>
    <w:rsid w:val="004513D9"/>
    <w:rsid w:val="004514AC"/>
    <w:rsid w:val="00451C2D"/>
    <w:rsid w:val="0045272A"/>
    <w:rsid w:val="00452964"/>
    <w:rsid w:val="00453C27"/>
    <w:rsid w:val="004544BB"/>
    <w:rsid w:val="00454E23"/>
    <w:rsid w:val="0045503F"/>
    <w:rsid w:val="004551F4"/>
    <w:rsid w:val="00455836"/>
    <w:rsid w:val="00456624"/>
    <w:rsid w:val="00456766"/>
    <w:rsid w:val="004575DA"/>
    <w:rsid w:val="00457BFB"/>
    <w:rsid w:val="00457E78"/>
    <w:rsid w:val="00457FFD"/>
    <w:rsid w:val="00460424"/>
    <w:rsid w:val="00460516"/>
    <w:rsid w:val="00460C57"/>
    <w:rsid w:val="00460F9E"/>
    <w:rsid w:val="00463B11"/>
    <w:rsid w:val="00463BC4"/>
    <w:rsid w:val="0046450A"/>
    <w:rsid w:val="00464AE7"/>
    <w:rsid w:val="004660C2"/>
    <w:rsid w:val="004668F0"/>
    <w:rsid w:val="004671C2"/>
    <w:rsid w:val="004676B2"/>
    <w:rsid w:val="00470212"/>
    <w:rsid w:val="00471121"/>
    <w:rsid w:val="004748CC"/>
    <w:rsid w:val="00475700"/>
    <w:rsid w:val="004764ED"/>
    <w:rsid w:val="00476CF6"/>
    <w:rsid w:val="00480B95"/>
    <w:rsid w:val="0048193B"/>
    <w:rsid w:val="00481A3B"/>
    <w:rsid w:val="00484CBF"/>
    <w:rsid w:val="00485A96"/>
    <w:rsid w:val="00485C0D"/>
    <w:rsid w:val="00486E89"/>
    <w:rsid w:val="004874B1"/>
    <w:rsid w:val="00487716"/>
    <w:rsid w:val="00487C46"/>
    <w:rsid w:val="00490850"/>
    <w:rsid w:val="0049103C"/>
    <w:rsid w:val="0049183C"/>
    <w:rsid w:val="00492370"/>
    <w:rsid w:val="004933F9"/>
    <w:rsid w:val="00493549"/>
    <w:rsid w:val="004949E9"/>
    <w:rsid w:val="0049529D"/>
    <w:rsid w:val="00495552"/>
    <w:rsid w:val="00495BA7"/>
    <w:rsid w:val="00495F38"/>
    <w:rsid w:val="00496F81"/>
    <w:rsid w:val="00497423"/>
    <w:rsid w:val="00497B9B"/>
    <w:rsid w:val="00497C97"/>
    <w:rsid w:val="004A0088"/>
    <w:rsid w:val="004A00E0"/>
    <w:rsid w:val="004A05AA"/>
    <w:rsid w:val="004A1880"/>
    <w:rsid w:val="004A2BB0"/>
    <w:rsid w:val="004A2C4D"/>
    <w:rsid w:val="004A45B0"/>
    <w:rsid w:val="004A5BFA"/>
    <w:rsid w:val="004A6A02"/>
    <w:rsid w:val="004A7F16"/>
    <w:rsid w:val="004B0879"/>
    <w:rsid w:val="004B08F0"/>
    <w:rsid w:val="004B12BD"/>
    <w:rsid w:val="004B1531"/>
    <w:rsid w:val="004B30AD"/>
    <w:rsid w:val="004B37B8"/>
    <w:rsid w:val="004B3882"/>
    <w:rsid w:val="004B4C29"/>
    <w:rsid w:val="004B4E93"/>
    <w:rsid w:val="004B511C"/>
    <w:rsid w:val="004B5206"/>
    <w:rsid w:val="004B58FD"/>
    <w:rsid w:val="004B64A4"/>
    <w:rsid w:val="004B7DC4"/>
    <w:rsid w:val="004B7FE6"/>
    <w:rsid w:val="004C0669"/>
    <w:rsid w:val="004C0CB8"/>
    <w:rsid w:val="004C13D4"/>
    <w:rsid w:val="004C27F4"/>
    <w:rsid w:val="004C2839"/>
    <w:rsid w:val="004C2BB4"/>
    <w:rsid w:val="004C3A21"/>
    <w:rsid w:val="004C3CE3"/>
    <w:rsid w:val="004C3E40"/>
    <w:rsid w:val="004C4243"/>
    <w:rsid w:val="004C45AE"/>
    <w:rsid w:val="004C4931"/>
    <w:rsid w:val="004C54E3"/>
    <w:rsid w:val="004C55A9"/>
    <w:rsid w:val="004C5BCE"/>
    <w:rsid w:val="004D0779"/>
    <w:rsid w:val="004D150D"/>
    <w:rsid w:val="004D157D"/>
    <w:rsid w:val="004D19ED"/>
    <w:rsid w:val="004D3215"/>
    <w:rsid w:val="004D321F"/>
    <w:rsid w:val="004D5174"/>
    <w:rsid w:val="004D55E0"/>
    <w:rsid w:val="004D665C"/>
    <w:rsid w:val="004D6BE6"/>
    <w:rsid w:val="004D6CB1"/>
    <w:rsid w:val="004D6D2F"/>
    <w:rsid w:val="004D6FDD"/>
    <w:rsid w:val="004D74A7"/>
    <w:rsid w:val="004D76AA"/>
    <w:rsid w:val="004D7900"/>
    <w:rsid w:val="004E439E"/>
    <w:rsid w:val="004E5D78"/>
    <w:rsid w:val="004E6D9C"/>
    <w:rsid w:val="004E73AF"/>
    <w:rsid w:val="004F00E6"/>
    <w:rsid w:val="004F166B"/>
    <w:rsid w:val="004F19ED"/>
    <w:rsid w:val="004F29EE"/>
    <w:rsid w:val="004F2F77"/>
    <w:rsid w:val="004F43F9"/>
    <w:rsid w:val="004F4E8E"/>
    <w:rsid w:val="004F6320"/>
    <w:rsid w:val="004F74D4"/>
    <w:rsid w:val="004F7E3F"/>
    <w:rsid w:val="005001C1"/>
    <w:rsid w:val="0050023E"/>
    <w:rsid w:val="005003AF"/>
    <w:rsid w:val="00500C48"/>
    <w:rsid w:val="00501F5D"/>
    <w:rsid w:val="00503BC3"/>
    <w:rsid w:val="00504996"/>
    <w:rsid w:val="00504F41"/>
    <w:rsid w:val="005053D1"/>
    <w:rsid w:val="00505570"/>
    <w:rsid w:val="005055B9"/>
    <w:rsid w:val="0050624D"/>
    <w:rsid w:val="00507292"/>
    <w:rsid w:val="00507480"/>
    <w:rsid w:val="00507DA3"/>
    <w:rsid w:val="00510572"/>
    <w:rsid w:val="00511FA0"/>
    <w:rsid w:val="00512706"/>
    <w:rsid w:val="00512816"/>
    <w:rsid w:val="00512A0E"/>
    <w:rsid w:val="00512ABF"/>
    <w:rsid w:val="00513126"/>
    <w:rsid w:val="00513C69"/>
    <w:rsid w:val="005143CE"/>
    <w:rsid w:val="00514D30"/>
    <w:rsid w:val="0051698C"/>
    <w:rsid w:val="00517872"/>
    <w:rsid w:val="00521840"/>
    <w:rsid w:val="00521AC6"/>
    <w:rsid w:val="00523006"/>
    <w:rsid w:val="00523532"/>
    <w:rsid w:val="005239D6"/>
    <w:rsid w:val="00524000"/>
    <w:rsid w:val="005247A6"/>
    <w:rsid w:val="005252C7"/>
    <w:rsid w:val="00525348"/>
    <w:rsid w:val="00525BA7"/>
    <w:rsid w:val="005263BE"/>
    <w:rsid w:val="00526620"/>
    <w:rsid w:val="005266FA"/>
    <w:rsid w:val="00526C75"/>
    <w:rsid w:val="005275F9"/>
    <w:rsid w:val="00527F7C"/>
    <w:rsid w:val="00531502"/>
    <w:rsid w:val="00531D87"/>
    <w:rsid w:val="00532F14"/>
    <w:rsid w:val="0053491B"/>
    <w:rsid w:val="005356F6"/>
    <w:rsid w:val="00535DDC"/>
    <w:rsid w:val="005360DB"/>
    <w:rsid w:val="00536727"/>
    <w:rsid w:val="00537D03"/>
    <w:rsid w:val="00537E69"/>
    <w:rsid w:val="00540C42"/>
    <w:rsid w:val="0054163E"/>
    <w:rsid w:val="00542300"/>
    <w:rsid w:val="005426B7"/>
    <w:rsid w:val="00543523"/>
    <w:rsid w:val="00544A73"/>
    <w:rsid w:val="00544E8E"/>
    <w:rsid w:val="00545280"/>
    <w:rsid w:val="00545E7C"/>
    <w:rsid w:val="00546CF7"/>
    <w:rsid w:val="00547D72"/>
    <w:rsid w:val="005504CD"/>
    <w:rsid w:val="00550621"/>
    <w:rsid w:val="00550C79"/>
    <w:rsid w:val="005522F8"/>
    <w:rsid w:val="00552F64"/>
    <w:rsid w:val="00553404"/>
    <w:rsid w:val="005538E7"/>
    <w:rsid w:val="00553D04"/>
    <w:rsid w:val="00555498"/>
    <w:rsid w:val="0055580D"/>
    <w:rsid w:val="005568FA"/>
    <w:rsid w:val="0055741D"/>
    <w:rsid w:val="005577AF"/>
    <w:rsid w:val="00557D25"/>
    <w:rsid w:val="00557FA6"/>
    <w:rsid w:val="00561203"/>
    <w:rsid w:val="00561219"/>
    <w:rsid w:val="00561C76"/>
    <w:rsid w:val="005621E4"/>
    <w:rsid w:val="00562AD5"/>
    <w:rsid w:val="00562C69"/>
    <w:rsid w:val="0056313C"/>
    <w:rsid w:val="0056471C"/>
    <w:rsid w:val="00564F5A"/>
    <w:rsid w:val="005659EA"/>
    <w:rsid w:val="00565E60"/>
    <w:rsid w:val="00565EF7"/>
    <w:rsid w:val="00566D8F"/>
    <w:rsid w:val="0056794F"/>
    <w:rsid w:val="00567A9E"/>
    <w:rsid w:val="00571C84"/>
    <w:rsid w:val="00572037"/>
    <w:rsid w:val="00573AB8"/>
    <w:rsid w:val="005747E7"/>
    <w:rsid w:val="00574E81"/>
    <w:rsid w:val="005750E2"/>
    <w:rsid w:val="00575898"/>
    <w:rsid w:val="00575E13"/>
    <w:rsid w:val="005761FC"/>
    <w:rsid w:val="0057692E"/>
    <w:rsid w:val="00576AEC"/>
    <w:rsid w:val="00576C12"/>
    <w:rsid w:val="00577F25"/>
    <w:rsid w:val="00582F80"/>
    <w:rsid w:val="0058438C"/>
    <w:rsid w:val="00584E4B"/>
    <w:rsid w:val="00584F5F"/>
    <w:rsid w:val="00585FBC"/>
    <w:rsid w:val="00586CCD"/>
    <w:rsid w:val="00587BAA"/>
    <w:rsid w:val="00590CB6"/>
    <w:rsid w:val="00590D8E"/>
    <w:rsid w:val="005912AB"/>
    <w:rsid w:val="005920E9"/>
    <w:rsid w:val="005935CB"/>
    <w:rsid w:val="005945B4"/>
    <w:rsid w:val="0059471B"/>
    <w:rsid w:val="005949D6"/>
    <w:rsid w:val="00594CFA"/>
    <w:rsid w:val="00594F81"/>
    <w:rsid w:val="00595087"/>
    <w:rsid w:val="0059548E"/>
    <w:rsid w:val="00595FA4"/>
    <w:rsid w:val="00596ADC"/>
    <w:rsid w:val="00596E95"/>
    <w:rsid w:val="0059713C"/>
    <w:rsid w:val="005974CA"/>
    <w:rsid w:val="00597DC5"/>
    <w:rsid w:val="005A0867"/>
    <w:rsid w:val="005A0B1E"/>
    <w:rsid w:val="005A10C7"/>
    <w:rsid w:val="005A1540"/>
    <w:rsid w:val="005A1E8F"/>
    <w:rsid w:val="005A33FB"/>
    <w:rsid w:val="005A36FB"/>
    <w:rsid w:val="005A4950"/>
    <w:rsid w:val="005A4B53"/>
    <w:rsid w:val="005A5919"/>
    <w:rsid w:val="005A5FFF"/>
    <w:rsid w:val="005A643B"/>
    <w:rsid w:val="005A6BD2"/>
    <w:rsid w:val="005A6F4D"/>
    <w:rsid w:val="005A7840"/>
    <w:rsid w:val="005B1366"/>
    <w:rsid w:val="005B214D"/>
    <w:rsid w:val="005B29FC"/>
    <w:rsid w:val="005B3FBC"/>
    <w:rsid w:val="005B4C5E"/>
    <w:rsid w:val="005B55D6"/>
    <w:rsid w:val="005B5C73"/>
    <w:rsid w:val="005B61AB"/>
    <w:rsid w:val="005B6537"/>
    <w:rsid w:val="005B70A7"/>
    <w:rsid w:val="005B7684"/>
    <w:rsid w:val="005C0443"/>
    <w:rsid w:val="005C0AB7"/>
    <w:rsid w:val="005C2A6B"/>
    <w:rsid w:val="005C315E"/>
    <w:rsid w:val="005C4674"/>
    <w:rsid w:val="005C53C5"/>
    <w:rsid w:val="005C56D2"/>
    <w:rsid w:val="005C6175"/>
    <w:rsid w:val="005C6235"/>
    <w:rsid w:val="005C6250"/>
    <w:rsid w:val="005C6710"/>
    <w:rsid w:val="005C73F7"/>
    <w:rsid w:val="005D0D8D"/>
    <w:rsid w:val="005D2094"/>
    <w:rsid w:val="005D34E9"/>
    <w:rsid w:val="005D4813"/>
    <w:rsid w:val="005D49BD"/>
    <w:rsid w:val="005D4B7B"/>
    <w:rsid w:val="005D4B8D"/>
    <w:rsid w:val="005D552D"/>
    <w:rsid w:val="005D57C0"/>
    <w:rsid w:val="005D5DDE"/>
    <w:rsid w:val="005D6C9B"/>
    <w:rsid w:val="005D743D"/>
    <w:rsid w:val="005D7A06"/>
    <w:rsid w:val="005E011E"/>
    <w:rsid w:val="005E092E"/>
    <w:rsid w:val="005E0DB3"/>
    <w:rsid w:val="005E1403"/>
    <w:rsid w:val="005E27A7"/>
    <w:rsid w:val="005E2E9A"/>
    <w:rsid w:val="005E3355"/>
    <w:rsid w:val="005E3368"/>
    <w:rsid w:val="005E3901"/>
    <w:rsid w:val="005E4057"/>
    <w:rsid w:val="005E6E4C"/>
    <w:rsid w:val="005E7DE2"/>
    <w:rsid w:val="005F09A9"/>
    <w:rsid w:val="005F17AA"/>
    <w:rsid w:val="005F18A7"/>
    <w:rsid w:val="005F240B"/>
    <w:rsid w:val="005F2C05"/>
    <w:rsid w:val="005F3584"/>
    <w:rsid w:val="005F3B05"/>
    <w:rsid w:val="005F41B7"/>
    <w:rsid w:val="005F5192"/>
    <w:rsid w:val="005F6618"/>
    <w:rsid w:val="005F6809"/>
    <w:rsid w:val="005F797E"/>
    <w:rsid w:val="00600935"/>
    <w:rsid w:val="00600DB0"/>
    <w:rsid w:val="006028AE"/>
    <w:rsid w:val="00602F1F"/>
    <w:rsid w:val="00602F2D"/>
    <w:rsid w:val="00603640"/>
    <w:rsid w:val="00603783"/>
    <w:rsid w:val="00603F6D"/>
    <w:rsid w:val="006041E8"/>
    <w:rsid w:val="00605A5A"/>
    <w:rsid w:val="006066B3"/>
    <w:rsid w:val="00610FCD"/>
    <w:rsid w:val="00611BBD"/>
    <w:rsid w:val="00612120"/>
    <w:rsid w:val="00612254"/>
    <w:rsid w:val="00612373"/>
    <w:rsid w:val="006131A6"/>
    <w:rsid w:val="00615379"/>
    <w:rsid w:val="00615C5B"/>
    <w:rsid w:val="00616039"/>
    <w:rsid w:val="00616117"/>
    <w:rsid w:val="006167D3"/>
    <w:rsid w:val="00616AD6"/>
    <w:rsid w:val="00617216"/>
    <w:rsid w:val="00617B95"/>
    <w:rsid w:val="00620A71"/>
    <w:rsid w:val="006218D3"/>
    <w:rsid w:val="00622228"/>
    <w:rsid w:val="006235AB"/>
    <w:rsid w:val="006243D8"/>
    <w:rsid w:val="00624768"/>
    <w:rsid w:val="00625087"/>
    <w:rsid w:val="00625CA6"/>
    <w:rsid w:val="00625EDB"/>
    <w:rsid w:val="00626BF1"/>
    <w:rsid w:val="00627A0B"/>
    <w:rsid w:val="006310B9"/>
    <w:rsid w:val="00631665"/>
    <w:rsid w:val="00631852"/>
    <w:rsid w:val="00631FC2"/>
    <w:rsid w:val="0063256A"/>
    <w:rsid w:val="00632AEE"/>
    <w:rsid w:val="006337E1"/>
    <w:rsid w:val="00634A75"/>
    <w:rsid w:val="006359A8"/>
    <w:rsid w:val="00635BCF"/>
    <w:rsid w:val="00635E30"/>
    <w:rsid w:val="00635F97"/>
    <w:rsid w:val="006361B3"/>
    <w:rsid w:val="006373A7"/>
    <w:rsid w:val="00637993"/>
    <w:rsid w:val="0063799F"/>
    <w:rsid w:val="006407E0"/>
    <w:rsid w:val="00641547"/>
    <w:rsid w:val="00641A90"/>
    <w:rsid w:val="0064264F"/>
    <w:rsid w:val="0064511E"/>
    <w:rsid w:val="00645876"/>
    <w:rsid w:val="006458E5"/>
    <w:rsid w:val="0064658A"/>
    <w:rsid w:val="00646F87"/>
    <w:rsid w:val="0064769E"/>
    <w:rsid w:val="006478DC"/>
    <w:rsid w:val="00647C19"/>
    <w:rsid w:val="00650CEC"/>
    <w:rsid w:val="00652039"/>
    <w:rsid w:val="00652287"/>
    <w:rsid w:val="00652BD9"/>
    <w:rsid w:val="006536C8"/>
    <w:rsid w:val="006537E6"/>
    <w:rsid w:val="00653CC7"/>
    <w:rsid w:val="00654332"/>
    <w:rsid w:val="00654B0A"/>
    <w:rsid w:val="00655A08"/>
    <w:rsid w:val="0065660D"/>
    <w:rsid w:val="00656BD4"/>
    <w:rsid w:val="00656CB3"/>
    <w:rsid w:val="00657131"/>
    <w:rsid w:val="006571EB"/>
    <w:rsid w:val="0065774E"/>
    <w:rsid w:val="006577B7"/>
    <w:rsid w:val="00661609"/>
    <w:rsid w:val="00665B99"/>
    <w:rsid w:val="00667B9E"/>
    <w:rsid w:val="006704F1"/>
    <w:rsid w:val="0067052D"/>
    <w:rsid w:val="00670774"/>
    <w:rsid w:val="00670D9B"/>
    <w:rsid w:val="00671A79"/>
    <w:rsid w:val="00671F95"/>
    <w:rsid w:val="006732E2"/>
    <w:rsid w:val="006745AD"/>
    <w:rsid w:val="006746B3"/>
    <w:rsid w:val="0067531F"/>
    <w:rsid w:val="006759B5"/>
    <w:rsid w:val="00676032"/>
    <w:rsid w:val="0067657C"/>
    <w:rsid w:val="006767AE"/>
    <w:rsid w:val="00677313"/>
    <w:rsid w:val="00677661"/>
    <w:rsid w:val="006776D4"/>
    <w:rsid w:val="0068027B"/>
    <w:rsid w:val="006803BE"/>
    <w:rsid w:val="006805C4"/>
    <w:rsid w:val="00680BF0"/>
    <w:rsid w:val="006816EE"/>
    <w:rsid w:val="006817AC"/>
    <w:rsid w:val="006828B6"/>
    <w:rsid w:val="006832D4"/>
    <w:rsid w:val="0068385F"/>
    <w:rsid w:val="00683B7E"/>
    <w:rsid w:val="00683F09"/>
    <w:rsid w:val="00683F73"/>
    <w:rsid w:val="006841B5"/>
    <w:rsid w:val="00684B0F"/>
    <w:rsid w:val="0068505D"/>
    <w:rsid w:val="00685216"/>
    <w:rsid w:val="00685497"/>
    <w:rsid w:val="00690B24"/>
    <w:rsid w:val="00690DA7"/>
    <w:rsid w:val="00691499"/>
    <w:rsid w:val="0069160C"/>
    <w:rsid w:val="00691702"/>
    <w:rsid w:val="00691F66"/>
    <w:rsid w:val="00692C7C"/>
    <w:rsid w:val="006930A1"/>
    <w:rsid w:val="00695869"/>
    <w:rsid w:val="00697AD6"/>
    <w:rsid w:val="006A0B1A"/>
    <w:rsid w:val="006A0B29"/>
    <w:rsid w:val="006A1167"/>
    <w:rsid w:val="006A12FA"/>
    <w:rsid w:val="006A27CB"/>
    <w:rsid w:val="006A354C"/>
    <w:rsid w:val="006A3B8A"/>
    <w:rsid w:val="006A5349"/>
    <w:rsid w:val="006A62A8"/>
    <w:rsid w:val="006A7497"/>
    <w:rsid w:val="006B02DA"/>
    <w:rsid w:val="006B09C0"/>
    <w:rsid w:val="006B150F"/>
    <w:rsid w:val="006B1A14"/>
    <w:rsid w:val="006B1B2B"/>
    <w:rsid w:val="006B1B65"/>
    <w:rsid w:val="006B1FCE"/>
    <w:rsid w:val="006B2437"/>
    <w:rsid w:val="006B2B98"/>
    <w:rsid w:val="006B49F0"/>
    <w:rsid w:val="006B4BD2"/>
    <w:rsid w:val="006B4C26"/>
    <w:rsid w:val="006B5B70"/>
    <w:rsid w:val="006B5D8E"/>
    <w:rsid w:val="006B7277"/>
    <w:rsid w:val="006B7C1D"/>
    <w:rsid w:val="006B7ECC"/>
    <w:rsid w:val="006C0F1E"/>
    <w:rsid w:val="006C16A8"/>
    <w:rsid w:val="006C1A9E"/>
    <w:rsid w:val="006C202D"/>
    <w:rsid w:val="006C2828"/>
    <w:rsid w:val="006C2B6D"/>
    <w:rsid w:val="006C2F7E"/>
    <w:rsid w:val="006C3C3B"/>
    <w:rsid w:val="006C3D2D"/>
    <w:rsid w:val="006C414E"/>
    <w:rsid w:val="006C54EC"/>
    <w:rsid w:val="006C5506"/>
    <w:rsid w:val="006C677A"/>
    <w:rsid w:val="006C728D"/>
    <w:rsid w:val="006C7623"/>
    <w:rsid w:val="006D0BD1"/>
    <w:rsid w:val="006D143E"/>
    <w:rsid w:val="006D1AAB"/>
    <w:rsid w:val="006D1CED"/>
    <w:rsid w:val="006D1D8D"/>
    <w:rsid w:val="006D1FB6"/>
    <w:rsid w:val="006D31B0"/>
    <w:rsid w:val="006D392A"/>
    <w:rsid w:val="006D49B0"/>
    <w:rsid w:val="006D4D75"/>
    <w:rsid w:val="006D5632"/>
    <w:rsid w:val="006D5ABA"/>
    <w:rsid w:val="006D6D8B"/>
    <w:rsid w:val="006D73DF"/>
    <w:rsid w:val="006D7F59"/>
    <w:rsid w:val="006E1D60"/>
    <w:rsid w:val="006E2450"/>
    <w:rsid w:val="006E24ED"/>
    <w:rsid w:val="006E3458"/>
    <w:rsid w:val="006E3EE4"/>
    <w:rsid w:val="006E461C"/>
    <w:rsid w:val="006E555F"/>
    <w:rsid w:val="006E6370"/>
    <w:rsid w:val="006E6FF8"/>
    <w:rsid w:val="006E7FD4"/>
    <w:rsid w:val="006F0849"/>
    <w:rsid w:val="006F18A0"/>
    <w:rsid w:val="006F1A20"/>
    <w:rsid w:val="006F2861"/>
    <w:rsid w:val="006F4EEB"/>
    <w:rsid w:val="006F5DFE"/>
    <w:rsid w:val="006F5EE5"/>
    <w:rsid w:val="006F744C"/>
    <w:rsid w:val="006F74CF"/>
    <w:rsid w:val="006F7F94"/>
    <w:rsid w:val="00700182"/>
    <w:rsid w:val="007003CF"/>
    <w:rsid w:val="00700DBE"/>
    <w:rsid w:val="00701512"/>
    <w:rsid w:val="0070218D"/>
    <w:rsid w:val="0070288A"/>
    <w:rsid w:val="00702ABC"/>
    <w:rsid w:val="00702D06"/>
    <w:rsid w:val="0070331C"/>
    <w:rsid w:val="007051F9"/>
    <w:rsid w:val="007072D0"/>
    <w:rsid w:val="0070737E"/>
    <w:rsid w:val="00707389"/>
    <w:rsid w:val="0070769E"/>
    <w:rsid w:val="00710192"/>
    <w:rsid w:val="007103EE"/>
    <w:rsid w:val="00710A88"/>
    <w:rsid w:val="00710E6E"/>
    <w:rsid w:val="00711037"/>
    <w:rsid w:val="0071133C"/>
    <w:rsid w:val="007115DA"/>
    <w:rsid w:val="007121EB"/>
    <w:rsid w:val="007125D7"/>
    <w:rsid w:val="0071353C"/>
    <w:rsid w:val="00713F11"/>
    <w:rsid w:val="00714057"/>
    <w:rsid w:val="007141BE"/>
    <w:rsid w:val="00714314"/>
    <w:rsid w:val="00715A90"/>
    <w:rsid w:val="00715C5C"/>
    <w:rsid w:val="00716141"/>
    <w:rsid w:val="00716529"/>
    <w:rsid w:val="0071694C"/>
    <w:rsid w:val="0071736D"/>
    <w:rsid w:val="0071779C"/>
    <w:rsid w:val="00720052"/>
    <w:rsid w:val="00720550"/>
    <w:rsid w:val="00720915"/>
    <w:rsid w:val="007214DB"/>
    <w:rsid w:val="00721A5D"/>
    <w:rsid w:val="007220BF"/>
    <w:rsid w:val="0072211E"/>
    <w:rsid w:val="00722274"/>
    <w:rsid w:val="007222FB"/>
    <w:rsid w:val="00723033"/>
    <w:rsid w:val="0072398B"/>
    <w:rsid w:val="00724489"/>
    <w:rsid w:val="00724EBE"/>
    <w:rsid w:val="00724F3F"/>
    <w:rsid w:val="00725649"/>
    <w:rsid w:val="00726091"/>
    <w:rsid w:val="00726236"/>
    <w:rsid w:val="00726D5D"/>
    <w:rsid w:val="00727833"/>
    <w:rsid w:val="0072788F"/>
    <w:rsid w:val="00727F4B"/>
    <w:rsid w:val="00730FF5"/>
    <w:rsid w:val="007311C6"/>
    <w:rsid w:val="0073156C"/>
    <w:rsid w:val="00731BD4"/>
    <w:rsid w:val="00731EFD"/>
    <w:rsid w:val="00733B12"/>
    <w:rsid w:val="00734EEE"/>
    <w:rsid w:val="007355D1"/>
    <w:rsid w:val="00735907"/>
    <w:rsid w:val="0073607B"/>
    <w:rsid w:val="0073620D"/>
    <w:rsid w:val="0073665F"/>
    <w:rsid w:val="007370D7"/>
    <w:rsid w:val="00737318"/>
    <w:rsid w:val="00737E2A"/>
    <w:rsid w:val="00737F01"/>
    <w:rsid w:val="00740924"/>
    <w:rsid w:val="00742194"/>
    <w:rsid w:val="00743A02"/>
    <w:rsid w:val="00743A19"/>
    <w:rsid w:val="00744410"/>
    <w:rsid w:val="00745917"/>
    <w:rsid w:val="00745C3A"/>
    <w:rsid w:val="00745E7F"/>
    <w:rsid w:val="007463FA"/>
    <w:rsid w:val="007468B3"/>
    <w:rsid w:val="007469C6"/>
    <w:rsid w:val="007476D9"/>
    <w:rsid w:val="00747A02"/>
    <w:rsid w:val="00747E9C"/>
    <w:rsid w:val="00747F01"/>
    <w:rsid w:val="0075029C"/>
    <w:rsid w:val="00750640"/>
    <w:rsid w:val="00750BD1"/>
    <w:rsid w:val="00750DC1"/>
    <w:rsid w:val="00750E2E"/>
    <w:rsid w:val="007512E1"/>
    <w:rsid w:val="007517D6"/>
    <w:rsid w:val="00752EAF"/>
    <w:rsid w:val="0075402D"/>
    <w:rsid w:val="00754064"/>
    <w:rsid w:val="00754CDB"/>
    <w:rsid w:val="0075694C"/>
    <w:rsid w:val="00756D3C"/>
    <w:rsid w:val="00757012"/>
    <w:rsid w:val="00757747"/>
    <w:rsid w:val="0075776C"/>
    <w:rsid w:val="007577EA"/>
    <w:rsid w:val="00757CD3"/>
    <w:rsid w:val="00760596"/>
    <w:rsid w:val="00762F26"/>
    <w:rsid w:val="00763224"/>
    <w:rsid w:val="00763A46"/>
    <w:rsid w:val="00764892"/>
    <w:rsid w:val="00765143"/>
    <w:rsid w:val="007651FF"/>
    <w:rsid w:val="007658EE"/>
    <w:rsid w:val="00765BCA"/>
    <w:rsid w:val="00766625"/>
    <w:rsid w:val="0076664A"/>
    <w:rsid w:val="00766B8E"/>
    <w:rsid w:val="00766DB8"/>
    <w:rsid w:val="00767AC4"/>
    <w:rsid w:val="00770C32"/>
    <w:rsid w:val="00770FC4"/>
    <w:rsid w:val="007710AD"/>
    <w:rsid w:val="00771AC9"/>
    <w:rsid w:val="0077289F"/>
    <w:rsid w:val="007729C1"/>
    <w:rsid w:val="00774054"/>
    <w:rsid w:val="007743AD"/>
    <w:rsid w:val="00774804"/>
    <w:rsid w:val="00774C35"/>
    <w:rsid w:val="00774F23"/>
    <w:rsid w:val="00775972"/>
    <w:rsid w:val="00775E8C"/>
    <w:rsid w:val="00776542"/>
    <w:rsid w:val="00776756"/>
    <w:rsid w:val="00776FD3"/>
    <w:rsid w:val="007770AD"/>
    <w:rsid w:val="00777410"/>
    <w:rsid w:val="007814C4"/>
    <w:rsid w:val="007814FD"/>
    <w:rsid w:val="0078290E"/>
    <w:rsid w:val="007830DC"/>
    <w:rsid w:val="00785A2F"/>
    <w:rsid w:val="007862BC"/>
    <w:rsid w:val="0078657D"/>
    <w:rsid w:val="00786632"/>
    <w:rsid w:val="007874F0"/>
    <w:rsid w:val="007878FC"/>
    <w:rsid w:val="0079020E"/>
    <w:rsid w:val="007913A0"/>
    <w:rsid w:val="00791BAC"/>
    <w:rsid w:val="00791CE5"/>
    <w:rsid w:val="00792B1F"/>
    <w:rsid w:val="007933BB"/>
    <w:rsid w:val="007946D5"/>
    <w:rsid w:val="007946DD"/>
    <w:rsid w:val="007951CB"/>
    <w:rsid w:val="007959BF"/>
    <w:rsid w:val="00795B12"/>
    <w:rsid w:val="007969F7"/>
    <w:rsid w:val="00796F19"/>
    <w:rsid w:val="00797C5D"/>
    <w:rsid w:val="007A0191"/>
    <w:rsid w:val="007A0327"/>
    <w:rsid w:val="007A132F"/>
    <w:rsid w:val="007A189E"/>
    <w:rsid w:val="007A19D7"/>
    <w:rsid w:val="007A1DEC"/>
    <w:rsid w:val="007A3E74"/>
    <w:rsid w:val="007A4713"/>
    <w:rsid w:val="007A58AD"/>
    <w:rsid w:val="007A6A3B"/>
    <w:rsid w:val="007A6B1C"/>
    <w:rsid w:val="007B040A"/>
    <w:rsid w:val="007B07DE"/>
    <w:rsid w:val="007B0A59"/>
    <w:rsid w:val="007B305C"/>
    <w:rsid w:val="007B3A10"/>
    <w:rsid w:val="007B3DDA"/>
    <w:rsid w:val="007B5B4F"/>
    <w:rsid w:val="007B5F09"/>
    <w:rsid w:val="007B616A"/>
    <w:rsid w:val="007B705B"/>
    <w:rsid w:val="007B774E"/>
    <w:rsid w:val="007C1EFF"/>
    <w:rsid w:val="007C3145"/>
    <w:rsid w:val="007C3808"/>
    <w:rsid w:val="007C39B5"/>
    <w:rsid w:val="007C3E29"/>
    <w:rsid w:val="007C409E"/>
    <w:rsid w:val="007C453B"/>
    <w:rsid w:val="007C476D"/>
    <w:rsid w:val="007C49BF"/>
    <w:rsid w:val="007C57C7"/>
    <w:rsid w:val="007C5FDD"/>
    <w:rsid w:val="007C75B9"/>
    <w:rsid w:val="007D0772"/>
    <w:rsid w:val="007D08BC"/>
    <w:rsid w:val="007D0B90"/>
    <w:rsid w:val="007D15B5"/>
    <w:rsid w:val="007D1DE9"/>
    <w:rsid w:val="007D396C"/>
    <w:rsid w:val="007D5A2B"/>
    <w:rsid w:val="007D5AC0"/>
    <w:rsid w:val="007D645E"/>
    <w:rsid w:val="007D69EC"/>
    <w:rsid w:val="007D71DF"/>
    <w:rsid w:val="007D7A63"/>
    <w:rsid w:val="007D7C75"/>
    <w:rsid w:val="007E0047"/>
    <w:rsid w:val="007E0117"/>
    <w:rsid w:val="007E044D"/>
    <w:rsid w:val="007E25BC"/>
    <w:rsid w:val="007E2666"/>
    <w:rsid w:val="007E2F12"/>
    <w:rsid w:val="007E33F6"/>
    <w:rsid w:val="007E33FA"/>
    <w:rsid w:val="007E3C71"/>
    <w:rsid w:val="007E3DB4"/>
    <w:rsid w:val="007E52DA"/>
    <w:rsid w:val="007E537C"/>
    <w:rsid w:val="007E5711"/>
    <w:rsid w:val="007E6084"/>
    <w:rsid w:val="007E6642"/>
    <w:rsid w:val="007E7583"/>
    <w:rsid w:val="007E7B9F"/>
    <w:rsid w:val="007E7D97"/>
    <w:rsid w:val="007F021C"/>
    <w:rsid w:val="007F0926"/>
    <w:rsid w:val="007F16D2"/>
    <w:rsid w:val="007F3152"/>
    <w:rsid w:val="007F3713"/>
    <w:rsid w:val="007F43E2"/>
    <w:rsid w:val="007F6F53"/>
    <w:rsid w:val="007F7CDE"/>
    <w:rsid w:val="00800645"/>
    <w:rsid w:val="008010F3"/>
    <w:rsid w:val="008011D8"/>
    <w:rsid w:val="008019AB"/>
    <w:rsid w:val="0080271A"/>
    <w:rsid w:val="00802D08"/>
    <w:rsid w:val="008034C2"/>
    <w:rsid w:val="00803DB6"/>
    <w:rsid w:val="00805125"/>
    <w:rsid w:val="00805572"/>
    <w:rsid w:val="00805813"/>
    <w:rsid w:val="0080589F"/>
    <w:rsid w:val="00805AD3"/>
    <w:rsid w:val="0080628D"/>
    <w:rsid w:val="00807120"/>
    <w:rsid w:val="00807399"/>
    <w:rsid w:val="0081046B"/>
    <w:rsid w:val="00812706"/>
    <w:rsid w:val="00814320"/>
    <w:rsid w:val="008152DA"/>
    <w:rsid w:val="008170BC"/>
    <w:rsid w:val="008177CB"/>
    <w:rsid w:val="00820290"/>
    <w:rsid w:val="00820DE5"/>
    <w:rsid w:val="00820E6D"/>
    <w:rsid w:val="008213A1"/>
    <w:rsid w:val="008217DA"/>
    <w:rsid w:val="00822777"/>
    <w:rsid w:val="00822B8C"/>
    <w:rsid w:val="0082402D"/>
    <w:rsid w:val="008241E8"/>
    <w:rsid w:val="00824756"/>
    <w:rsid w:val="00824E7F"/>
    <w:rsid w:val="00825520"/>
    <w:rsid w:val="00826097"/>
    <w:rsid w:val="00826685"/>
    <w:rsid w:val="00826D79"/>
    <w:rsid w:val="00826F18"/>
    <w:rsid w:val="00826F1F"/>
    <w:rsid w:val="008279DC"/>
    <w:rsid w:val="00827C53"/>
    <w:rsid w:val="0083087C"/>
    <w:rsid w:val="00831CB8"/>
    <w:rsid w:val="00831CE6"/>
    <w:rsid w:val="00831D61"/>
    <w:rsid w:val="00832243"/>
    <w:rsid w:val="00832561"/>
    <w:rsid w:val="00832704"/>
    <w:rsid w:val="0083289B"/>
    <w:rsid w:val="008328F2"/>
    <w:rsid w:val="00832935"/>
    <w:rsid w:val="00832B5D"/>
    <w:rsid w:val="008351CA"/>
    <w:rsid w:val="0083603B"/>
    <w:rsid w:val="008365FE"/>
    <w:rsid w:val="00837110"/>
    <w:rsid w:val="0084007B"/>
    <w:rsid w:val="00841A99"/>
    <w:rsid w:val="00841E40"/>
    <w:rsid w:val="00842F9A"/>
    <w:rsid w:val="00843801"/>
    <w:rsid w:val="00844DAF"/>
    <w:rsid w:val="008451F3"/>
    <w:rsid w:val="00847A13"/>
    <w:rsid w:val="00851E35"/>
    <w:rsid w:val="0085262A"/>
    <w:rsid w:val="00853271"/>
    <w:rsid w:val="00853A5D"/>
    <w:rsid w:val="008545FB"/>
    <w:rsid w:val="00855554"/>
    <w:rsid w:val="008559F1"/>
    <w:rsid w:val="008563FF"/>
    <w:rsid w:val="00856ABF"/>
    <w:rsid w:val="00856BA4"/>
    <w:rsid w:val="00856D01"/>
    <w:rsid w:val="00856D79"/>
    <w:rsid w:val="00860383"/>
    <w:rsid w:val="00860710"/>
    <w:rsid w:val="00860AE9"/>
    <w:rsid w:val="00860D24"/>
    <w:rsid w:val="008614DC"/>
    <w:rsid w:val="00861870"/>
    <w:rsid w:val="00863726"/>
    <w:rsid w:val="00863FA9"/>
    <w:rsid w:val="00864C6E"/>
    <w:rsid w:val="00864CF5"/>
    <w:rsid w:val="00864D98"/>
    <w:rsid w:val="00865BC2"/>
    <w:rsid w:val="00865F38"/>
    <w:rsid w:val="008669AF"/>
    <w:rsid w:val="00866B18"/>
    <w:rsid w:val="00866E99"/>
    <w:rsid w:val="00867EEE"/>
    <w:rsid w:val="00867F52"/>
    <w:rsid w:val="00870E7A"/>
    <w:rsid w:val="00871151"/>
    <w:rsid w:val="00871F06"/>
    <w:rsid w:val="0087218B"/>
    <w:rsid w:val="0087267A"/>
    <w:rsid w:val="00872D28"/>
    <w:rsid w:val="0087342D"/>
    <w:rsid w:val="00873EB8"/>
    <w:rsid w:val="008746F9"/>
    <w:rsid w:val="00874D91"/>
    <w:rsid w:val="00875417"/>
    <w:rsid w:val="00875475"/>
    <w:rsid w:val="0087559F"/>
    <w:rsid w:val="00875AE4"/>
    <w:rsid w:val="00875DB7"/>
    <w:rsid w:val="00875DCE"/>
    <w:rsid w:val="00876085"/>
    <w:rsid w:val="00876E93"/>
    <w:rsid w:val="00877984"/>
    <w:rsid w:val="00880148"/>
    <w:rsid w:val="00880B25"/>
    <w:rsid w:val="0088124F"/>
    <w:rsid w:val="00881E4C"/>
    <w:rsid w:val="00882AD7"/>
    <w:rsid w:val="00882DDF"/>
    <w:rsid w:val="00883738"/>
    <w:rsid w:val="00885018"/>
    <w:rsid w:val="0088522E"/>
    <w:rsid w:val="00885EF7"/>
    <w:rsid w:val="008860F0"/>
    <w:rsid w:val="00886B26"/>
    <w:rsid w:val="00886C3F"/>
    <w:rsid w:val="00886F50"/>
    <w:rsid w:val="0088794D"/>
    <w:rsid w:val="00891303"/>
    <w:rsid w:val="00891B3A"/>
    <w:rsid w:val="008934E8"/>
    <w:rsid w:val="0089356F"/>
    <w:rsid w:val="00893D95"/>
    <w:rsid w:val="00893F29"/>
    <w:rsid w:val="00894344"/>
    <w:rsid w:val="0089440A"/>
    <w:rsid w:val="008948FD"/>
    <w:rsid w:val="0089580B"/>
    <w:rsid w:val="00896543"/>
    <w:rsid w:val="00897EF8"/>
    <w:rsid w:val="008A01AA"/>
    <w:rsid w:val="008A0C12"/>
    <w:rsid w:val="008A0CDA"/>
    <w:rsid w:val="008A11C2"/>
    <w:rsid w:val="008A1E7F"/>
    <w:rsid w:val="008A2572"/>
    <w:rsid w:val="008A3441"/>
    <w:rsid w:val="008A36F1"/>
    <w:rsid w:val="008A5C13"/>
    <w:rsid w:val="008A6113"/>
    <w:rsid w:val="008B0FAC"/>
    <w:rsid w:val="008B23B9"/>
    <w:rsid w:val="008B3739"/>
    <w:rsid w:val="008B49DB"/>
    <w:rsid w:val="008B4F64"/>
    <w:rsid w:val="008B5D9C"/>
    <w:rsid w:val="008B7066"/>
    <w:rsid w:val="008C3B34"/>
    <w:rsid w:val="008C48E4"/>
    <w:rsid w:val="008C6512"/>
    <w:rsid w:val="008C6589"/>
    <w:rsid w:val="008C7085"/>
    <w:rsid w:val="008D0552"/>
    <w:rsid w:val="008D069B"/>
    <w:rsid w:val="008D0CD4"/>
    <w:rsid w:val="008D0E37"/>
    <w:rsid w:val="008D14BC"/>
    <w:rsid w:val="008D231A"/>
    <w:rsid w:val="008D265C"/>
    <w:rsid w:val="008D34A0"/>
    <w:rsid w:val="008D425F"/>
    <w:rsid w:val="008D4B81"/>
    <w:rsid w:val="008D4D26"/>
    <w:rsid w:val="008D572B"/>
    <w:rsid w:val="008D5A58"/>
    <w:rsid w:val="008D716E"/>
    <w:rsid w:val="008D7A53"/>
    <w:rsid w:val="008D7BD0"/>
    <w:rsid w:val="008E025A"/>
    <w:rsid w:val="008E14BC"/>
    <w:rsid w:val="008E1C7F"/>
    <w:rsid w:val="008E22BD"/>
    <w:rsid w:val="008E25D4"/>
    <w:rsid w:val="008E4987"/>
    <w:rsid w:val="008E57E8"/>
    <w:rsid w:val="008E61DF"/>
    <w:rsid w:val="008E64BD"/>
    <w:rsid w:val="008E690C"/>
    <w:rsid w:val="008E71F5"/>
    <w:rsid w:val="008E72D2"/>
    <w:rsid w:val="008E78CE"/>
    <w:rsid w:val="008F1193"/>
    <w:rsid w:val="008F14DF"/>
    <w:rsid w:val="008F175A"/>
    <w:rsid w:val="008F1A7A"/>
    <w:rsid w:val="008F24E1"/>
    <w:rsid w:val="008F35BA"/>
    <w:rsid w:val="008F3ADA"/>
    <w:rsid w:val="008F3B25"/>
    <w:rsid w:val="008F3D4B"/>
    <w:rsid w:val="008F4481"/>
    <w:rsid w:val="008F4D96"/>
    <w:rsid w:val="008F6A0B"/>
    <w:rsid w:val="008F6E44"/>
    <w:rsid w:val="008F73A8"/>
    <w:rsid w:val="008F7419"/>
    <w:rsid w:val="00900741"/>
    <w:rsid w:val="0090183A"/>
    <w:rsid w:val="00901C96"/>
    <w:rsid w:val="00902BFF"/>
    <w:rsid w:val="0090680B"/>
    <w:rsid w:val="00907342"/>
    <w:rsid w:val="00907BB1"/>
    <w:rsid w:val="00907C7B"/>
    <w:rsid w:val="00910170"/>
    <w:rsid w:val="009103DB"/>
    <w:rsid w:val="009106B8"/>
    <w:rsid w:val="00911A8E"/>
    <w:rsid w:val="00911F93"/>
    <w:rsid w:val="0091289A"/>
    <w:rsid w:val="00912E51"/>
    <w:rsid w:val="00913E6C"/>
    <w:rsid w:val="009142A0"/>
    <w:rsid w:val="009149CB"/>
    <w:rsid w:val="00915314"/>
    <w:rsid w:val="009157D9"/>
    <w:rsid w:val="00915B01"/>
    <w:rsid w:val="00916018"/>
    <w:rsid w:val="0091637E"/>
    <w:rsid w:val="00916CB4"/>
    <w:rsid w:val="0092210B"/>
    <w:rsid w:val="00923DCB"/>
    <w:rsid w:val="00924B16"/>
    <w:rsid w:val="00925078"/>
    <w:rsid w:val="009259C4"/>
    <w:rsid w:val="0092659A"/>
    <w:rsid w:val="009265A8"/>
    <w:rsid w:val="0093238C"/>
    <w:rsid w:val="00932E30"/>
    <w:rsid w:val="00932F4E"/>
    <w:rsid w:val="009333AA"/>
    <w:rsid w:val="009343C3"/>
    <w:rsid w:val="00934FDA"/>
    <w:rsid w:val="009354E3"/>
    <w:rsid w:val="009355BF"/>
    <w:rsid w:val="00937391"/>
    <w:rsid w:val="00937534"/>
    <w:rsid w:val="00940C31"/>
    <w:rsid w:val="0094287A"/>
    <w:rsid w:val="00942D2C"/>
    <w:rsid w:val="00942DB4"/>
    <w:rsid w:val="00943069"/>
    <w:rsid w:val="0094340A"/>
    <w:rsid w:val="00944BAF"/>
    <w:rsid w:val="0094677C"/>
    <w:rsid w:val="0094697E"/>
    <w:rsid w:val="009469EC"/>
    <w:rsid w:val="00947119"/>
    <w:rsid w:val="00950446"/>
    <w:rsid w:val="009506CC"/>
    <w:rsid w:val="00950912"/>
    <w:rsid w:val="00951F24"/>
    <w:rsid w:val="00952600"/>
    <w:rsid w:val="00952EEE"/>
    <w:rsid w:val="00954CF7"/>
    <w:rsid w:val="00954DDD"/>
    <w:rsid w:val="00954F6F"/>
    <w:rsid w:val="00954FF9"/>
    <w:rsid w:val="0095554B"/>
    <w:rsid w:val="00956C5A"/>
    <w:rsid w:val="0095758E"/>
    <w:rsid w:val="009617EE"/>
    <w:rsid w:val="009619CE"/>
    <w:rsid w:val="00962A6C"/>
    <w:rsid w:val="00962CF0"/>
    <w:rsid w:val="0096465D"/>
    <w:rsid w:val="00965492"/>
    <w:rsid w:val="009654A8"/>
    <w:rsid w:val="00965545"/>
    <w:rsid w:val="00965569"/>
    <w:rsid w:val="00965D9C"/>
    <w:rsid w:val="009664A6"/>
    <w:rsid w:val="00966ABF"/>
    <w:rsid w:val="0097010B"/>
    <w:rsid w:val="009708E2"/>
    <w:rsid w:val="009717F5"/>
    <w:rsid w:val="00973366"/>
    <w:rsid w:val="00973828"/>
    <w:rsid w:val="00974E25"/>
    <w:rsid w:val="009765F8"/>
    <w:rsid w:val="00976BC8"/>
    <w:rsid w:val="00980873"/>
    <w:rsid w:val="00981A67"/>
    <w:rsid w:val="00981E23"/>
    <w:rsid w:val="00983770"/>
    <w:rsid w:val="00984F61"/>
    <w:rsid w:val="0098511E"/>
    <w:rsid w:val="00985F10"/>
    <w:rsid w:val="0098751C"/>
    <w:rsid w:val="00987593"/>
    <w:rsid w:val="0098777E"/>
    <w:rsid w:val="00987CBD"/>
    <w:rsid w:val="00990642"/>
    <w:rsid w:val="009906F9"/>
    <w:rsid w:val="0099088D"/>
    <w:rsid w:val="00990D28"/>
    <w:rsid w:val="00991D2A"/>
    <w:rsid w:val="0099272B"/>
    <w:rsid w:val="00993254"/>
    <w:rsid w:val="009932DF"/>
    <w:rsid w:val="00994330"/>
    <w:rsid w:val="00994995"/>
    <w:rsid w:val="00995193"/>
    <w:rsid w:val="00995351"/>
    <w:rsid w:val="009962B6"/>
    <w:rsid w:val="00997203"/>
    <w:rsid w:val="00997867"/>
    <w:rsid w:val="00997E0A"/>
    <w:rsid w:val="009A069D"/>
    <w:rsid w:val="009A2A24"/>
    <w:rsid w:val="009A3A3A"/>
    <w:rsid w:val="009A3A5E"/>
    <w:rsid w:val="009A68A8"/>
    <w:rsid w:val="009A68B5"/>
    <w:rsid w:val="009A6D74"/>
    <w:rsid w:val="009A767D"/>
    <w:rsid w:val="009A7CCD"/>
    <w:rsid w:val="009B05F7"/>
    <w:rsid w:val="009B1109"/>
    <w:rsid w:val="009B141B"/>
    <w:rsid w:val="009B14E1"/>
    <w:rsid w:val="009B158C"/>
    <w:rsid w:val="009B1BF8"/>
    <w:rsid w:val="009B2648"/>
    <w:rsid w:val="009B2B94"/>
    <w:rsid w:val="009B32CF"/>
    <w:rsid w:val="009B35F9"/>
    <w:rsid w:val="009B3C68"/>
    <w:rsid w:val="009B4613"/>
    <w:rsid w:val="009B49D2"/>
    <w:rsid w:val="009B5025"/>
    <w:rsid w:val="009B67E4"/>
    <w:rsid w:val="009B737E"/>
    <w:rsid w:val="009B7F0C"/>
    <w:rsid w:val="009C03D8"/>
    <w:rsid w:val="009C0B09"/>
    <w:rsid w:val="009C1538"/>
    <w:rsid w:val="009C3C50"/>
    <w:rsid w:val="009C3F4B"/>
    <w:rsid w:val="009C436F"/>
    <w:rsid w:val="009C4A75"/>
    <w:rsid w:val="009C55A0"/>
    <w:rsid w:val="009C56B7"/>
    <w:rsid w:val="009C5E95"/>
    <w:rsid w:val="009C6BDB"/>
    <w:rsid w:val="009C7B9F"/>
    <w:rsid w:val="009D1314"/>
    <w:rsid w:val="009D274A"/>
    <w:rsid w:val="009D275D"/>
    <w:rsid w:val="009D2FA3"/>
    <w:rsid w:val="009D3BD9"/>
    <w:rsid w:val="009D3C05"/>
    <w:rsid w:val="009D3F83"/>
    <w:rsid w:val="009D409C"/>
    <w:rsid w:val="009D43F2"/>
    <w:rsid w:val="009D4456"/>
    <w:rsid w:val="009D4649"/>
    <w:rsid w:val="009D6154"/>
    <w:rsid w:val="009D6977"/>
    <w:rsid w:val="009D6D18"/>
    <w:rsid w:val="009D6E74"/>
    <w:rsid w:val="009D79C8"/>
    <w:rsid w:val="009E039E"/>
    <w:rsid w:val="009E0D9A"/>
    <w:rsid w:val="009E10CB"/>
    <w:rsid w:val="009E1B0A"/>
    <w:rsid w:val="009E4166"/>
    <w:rsid w:val="009E6053"/>
    <w:rsid w:val="009E6154"/>
    <w:rsid w:val="009E796F"/>
    <w:rsid w:val="009F00A9"/>
    <w:rsid w:val="009F01BF"/>
    <w:rsid w:val="009F0973"/>
    <w:rsid w:val="009F0DAC"/>
    <w:rsid w:val="009F567F"/>
    <w:rsid w:val="009F5927"/>
    <w:rsid w:val="009F7325"/>
    <w:rsid w:val="00A00902"/>
    <w:rsid w:val="00A01504"/>
    <w:rsid w:val="00A01535"/>
    <w:rsid w:val="00A016FD"/>
    <w:rsid w:val="00A01B53"/>
    <w:rsid w:val="00A02920"/>
    <w:rsid w:val="00A02E7A"/>
    <w:rsid w:val="00A03C41"/>
    <w:rsid w:val="00A04505"/>
    <w:rsid w:val="00A0451C"/>
    <w:rsid w:val="00A05EE7"/>
    <w:rsid w:val="00A07190"/>
    <w:rsid w:val="00A075FD"/>
    <w:rsid w:val="00A0774B"/>
    <w:rsid w:val="00A10E14"/>
    <w:rsid w:val="00A10F43"/>
    <w:rsid w:val="00A10F54"/>
    <w:rsid w:val="00A1113E"/>
    <w:rsid w:val="00A11861"/>
    <w:rsid w:val="00A11D05"/>
    <w:rsid w:val="00A12207"/>
    <w:rsid w:val="00A141B8"/>
    <w:rsid w:val="00A14997"/>
    <w:rsid w:val="00A16A7D"/>
    <w:rsid w:val="00A1783F"/>
    <w:rsid w:val="00A20D12"/>
    <w:rsid w:val="00A211D4"/>
    <w:rsid w:val="00A213C9"/>
    <w:rsid w:val="00A2182E"/>
    <w:rsid w:val="00A2223E"/>
    <w:rsid w:val="00A2249B"/>
    <w:rsid w:val="00A2256C"/>
    <w:rsid w:val="00A22B1D"/>
    <w:rsid w:val="00A2379A"/>
    <w:rsid w:val="00A23E22"/>
    <w:rsid w:val="00A248B2"/>
    <w:rsid w:val="00A265CC"/>
    <w:rsid w:val="00A279FE"/>
    <w:rsid w:val="00A27BB5"/>
    <w:rsid w:val="00A30961"/>
    <w:rsid w:val="00A31109"/>
    <w:rsid w:val="00A31581"/>
    <w:rsid w:val="00A32069"/>
    <w:rsid w:val="00A322EB"/>
    <w:rsid w:val="00A322FB"/>
    <w:rsid w:val="00A3254D"/>
    <w:rsid w:val="00A33544"/>
    <w:rsid w:val="00A33889"/>
    <w:rsid w:val="00A338B2"/>
    <w:rsid w:val="00A33D0E"/>
    <w:rsid w:val="00A33D5A"/>
    <w:rsid w:val="00A34EDC"/>
    <w:rsid w:val="00A37783"/>
    <w:rsid w:val="00A37D13"/>
    <w:rsid w:val="00A40380"/>
    <w:rsid w:val="00A40422"/>
    <w:rsid w:val="00A40495"/>
    <w:rsid w:val="00A407CD"/>
    <w:rsid w:val="00A4093E"/>
    <w:rsid w:val="00A40CDF"/>
    <w:rsid w:val="00A40CFD"/>
    <w:rsid w:val="00A410AD"/>
    <w:rsid w:val="00A417D0"/>
    <w:rsid w:val="00A421A9"/>
    <w:rsid w:val="00A42F7E"/>
    <w:rsid w:val="00A43211"/>
    <w:rsid w:val="00A46326"/>
    <w:rsid w:val="00A46DBF"/>
    <w:rsid w:val="00A47972"/>
    <w:rsid w:val="00A47FCA"/>
    <w:rsid w:val="00A50801"/>
    <w:rsid w:val="00A50A83"/>
    <w:rsid w:val="00A5111E"/>
    <w:rsid w:val="00A51275"/>
    <w:rsid w:val="00A523D6"/>
    <w:rsid w:val="00A531DF"/>
    <w:rsid w:val="00A54D2F"/>
    <w:rsid w:val="00A57EAF"/>
    <w:rsid w:val="00A604A9"/>
    <w:rsid w:val="00A62063"/>
    <w:rsid w:val="00A62FA9"/>
    <w:rsid w:val="00A63A2D"/>
    <w:rsid w:val="00A64507"/>
    <w:rsid w:val="00A653A6"/>
    <w:rsid w:val="00A66D89"/>
    <w:rsid w:val="00A66F2E"/>
    <w:rsid w:val="00A672E0"/>
    <w:rsid w:val="00A7015E"/>
    <w:rsid w:val="00A706B7"/>
    <w:rsid w:val="00A711BE"/>
    <w:rsid w:val="00A718EC"/>
    <w:rsid w:val="00A7271A"/>
    <w:rsid w:val="00A72ED3"/>
    <w:rsid w:val="00A7387E"/>
    <w:rsid w:val="00A7494E"/>
    <w:rsid w:val="00A7610D"/>
    <w:rsid w:val="00A764F5"/>
    <w:rsid w:val="00A77F57"/>
    <w:rsid w:val="00A80121"/>
    <w:rsid w:val="00A8169A"/>
    <w:rsid w:val="00A81F3D"/>
    <w:rsid w:val="00A82143"/>
    <w:rsid w:val="00A82E1F"/>
    <w:rsid w:val="00A82EBE"/>
    <w:rsid w:val="00A83657"/>
    <w:rsid w:val="00A837FB"/>
    <w:rsid w:val="00A83FC4"/>
    <w:rsid w:val="00A85008"/>
    <w:rsid w:val="00A8535E"/>
    <w:rsid w:val="00A8611D"/>
    <w:rsid w:val="00A86DD3"/>
    <w:rsid w:val="00A86ECC"/>
    <w:rsid w:val="00A87CA0"/>
    <w:rsid w:val="00A91098"/>
    <w:rsid w:val="00A91945"/>
    <w:rsid w:val="00A91C11"/>
    <w:rsid w:val="00A922AE"/>
    <w:rsid w:val="00A924F0"/>
    <w:rsid w:val="00A927EB"/>
    <w:rsid w:val="00A92C8C"/>
    <w:rsid w:val="00A93012"/>
    <w:rsid w:val="00A9317D"/>
    <w:rsid w:val="00A93353"/>
    <w:rsid w:val="00A946FD"/>
    <w:rsid w:val="00A94958"/>
    <w:rsid w:val="00A94D1C"/>
    <w:rsid w:val="00A95A66"/>
    <w:rsid w:val="00A95CB1"/>
    <w:rsid w:val="00A960FE"/>
    <w:rsid w:val="00A96137"/>
    <w:rsid w:val="00A96B20"/>
    <w:rsid w:val="00A97730"/>
    <w:rsid w:val="00A97A75"/>
    <w:rsid w:val="00A97EEA"/>
    <w:rsid w:val="00A97FBD"/>
    <w:rsid w:val="00AA0532"/>
    <w:rsid w:val="00AA0C83"/>
    <w:rsid w:val="00AA0F41"/>
    <w:rsid w:val="00AA1154"/>
    <w:rsid w:val="00AA2146"/>
    <w:rsid w:val="00AA22FD"/>
    <w:rsid w:val="00AA2654"/>
    <w:rsid w:val="00AA3055"/>
    <w:rsid w:val="00AA3135"/>
    <w:rsid w:val="00AA32A7"/>
    <w:rsid w:val="00AA35F0"/>
    <w:rsid w:val="00AA3E60"/>
    <w:rsid w:val="00AA66D4"/>
    <w:rsid w:val="00AB123D"/>
    <w:rsid w:val="00AB17A0"/>
    <w:rsid w:val="00AB186D"/>
    <w:rsid w:val="00AB1B4D"/>
    <w:rsid w:val="00AB2467"/>
    <w:rsid w:val="00AB2BB0"/>
    <w:rsid w:val="00AB2BFB"/>
    <w:rsid w:val="00AB2F15"/>
    <w:rsid w:val="00AB30B0"/>
    <w:rsid w:val="00AB4210"/>
    <w:rsid w:val="00AB426D"/>
    <w:rsid w:val="00AB51B7"/>
    <w:rsid w:val="00AB5C4C"/>
    <w:rsid w:val="00AB5F08"/>
    <w:rsid w:val="00AB7978"/>
    <w:rsid w:val="00AB7B23"/>
    <w:rsid w:val="00AB7D16"/>
    <w:rsid w:val="00AB7DD0"/>
    <w:rsid w:val="00AC06D4"/>
    <w:rsid w:val="00AC0FD8"/>
    <w:rsid w:val="00AC312A"/>
    <w:rsid w:val="00AC3DAB"/>
    <w:rsid w:val="00AC3F64"/>
    <w:rsid w:val="00AC6C0F"/>
    <w:rsid w:val="00AC7550"/>
    <w:rsid w:val="00AC79B0"/>
    <w:rsid w:val="00AD0943"/>
    <w:rsid w:val="00AD0B2A"/>
    <w:rsid w:val="00AD0B68"/>
    <w:rsid w:val="00AD0CB2"/>
    <w:rsid w:val="00AD0CE7"/>
    <w:rsid w:val="00AD24EA"/>
    <w:rsid w:val="00AD2732"/>
    <w:rsid w:val="00AD2A58"/>
    <w:rsid w:val="00AD32F7"/>
    <w:rsid w:val="00AD3A2B"/>
    <w:rsid w:val="00AD4953"/>
    <w:rsid w:val="00AD5368"/>
    <w:rsid w:val="00AD5989"/>
    <w:rsid w:val="00AD5C87"/>
    <w:rsid w:val="00AD6DEE"/>
    <w:rsid w:val="00AD7114"/>
    <w:rsid w:val="00AD7E4D"/>
    <w:rsid w:val="00AE0AA7"/>
    <w:rsid w:val="00AE192A"/>
    <w:rsid w:val="00AE1CFE"/>
    <w:rsid w:val="00AE403E"/>
    <w:rsid w:val="00AE43AB"/>
    <w:rsid w:val="00AE4609"/>
    <w:rsid w:val="00AE4742"/>
    <w:rsid w:val="00AE4CFA"/>
    <w:rsid w:val="00AE4D49"/>
    <w:rsid w:val="00AE60CE"/>
    <w:rsid w:val="00AE6268"/>
    <w:rsid w:val="00AE6424"/>
    <w:rsid w:val="00AE6D27"/>
    <w:rsid w:val="00AE6FAD"/>
    <w:rsid w:val="00AF04A2"/>
    <w:rsid w:val="00AF137D"/>
    <w:rsid w:val="00AF147A"/>
    <w:rsid w:val="00AF1970"/>
    <w:rsid w:val="00AF2C41"/>
    <w:rsid w:val="00AF5230"/>
    <w:rsid w:val="00AF7585"/>
    <w:rsid w:val="00AF78B7"/>
    <w:rsid w:val="00AF796D"/>
    <w:rsid w:val="00B00939"/>
    <w:rsid w:val="00B01440"/>
    <w:rsid w:val="00B01658"/>
    <w:rsid w:val="00B016CE"/>
    <w:rsid w:val="00B02505"/>
    <w:rsid w:val="00B0260C"/>
    <w:rsid w:val="00B02994"/>
    <w:rsid w:val="00B02D25"/>
    <w:rsid w:val="00B02E88"/>
    <w:rsid w:val="00B030CB"/>
    <w:rsid w:val="00B03427"/>
    <w:rsid w:val="00B03918"/>
    <w:rsid w:val="00B03D39"/>
    <w:rsid w:val="00B04A31"/>
    <w:rsid w:val="00B0555A"/>
    <w:rsid w:val="00B05F47"/>
    <w:rsid w:val="00B066C9"/>
    <w:rsid w:val="00B075D8"/>
    <w:rsid w:val="00B07946"/>
    <w:rsid w:val="00B10961"/>
    <w:rsid w:val="00B1159C"/>
    <w:rsid w:val="00B12A47"/>
    <w:rsid w:val="00B12F5F"/>
    <w:rsid w:val="00B135AA"/>
    <w:rsid w:val="00B14651"/>
    <w:rsid w:val="00B146AB"/>
    <w:rsid w:val="00B14B7F"/>
    <w:rsid w:val="00B153F8"/>
    <w:rsid w:val="00B16C13"/>
    <w:rsid w:val="00B20740"/>
    <w:rsid w:val="00B20FD4"/>
    <w:rsid w:val="00B2171F"/>
    <w:rsid w:val="00B21918"/>
    <w:rsid w:val="00B24D70"/>
    <w:rsid w:val="00B26322"/>
    <w:rsid w:val="00B27AD9"/>
    <w:rsid w:val="00B31206"/>
    <w:rsid w:val="00B316BA"/>
    <w:rsid w:val="00B31BAB"/>
    <w:rsid w:val="00B31F9F"/>
    <w:rsid w:val="00B34579"/>
    <w:rsid w:val="00B3498A"/>
    <w:rsid w:val="00B34B21"/>
    <w:rsid w:val="00B367AA"/>
    <w:rsid w:val="00B40EF0"/>
    <w:rsid w:val="00B42A8B"/>
    <w:rsid w:val="00B43F0C"/>
    <w:rsid w:val="00B447E4"/>
    <w:rsid w:val="00B45191"/>
    <w:rsid w:val="00B47C84"/>
    <w:rsid w:val="00B509DF"/>
    <w:rsid w:val="00B51413"/>
    <w:rsid w:val="00B519E2"/>
    <w:rsid w:val="00B51B6A"/>
    <w:rsid w:val="00B51C1F"/>
    <w:rsid w:val="00B5211D"/>
    <w:rsid w:val="00B52820"/>
    <w:rsid w:val="00B52B10"/>
    <w:rsid w:val="00B55246"/>
    <w:rsid w:val="00B55382"/>
    <w:rsid w:val="00B55AE1"/>
    <w:rsid w:val="00B566EA"/>
    <w:rsid w:val="00B568F9"/>
    <w:rsid w:val="00B57EE6"/>
    <w:rsid w:val="00B60324"/>
    <w:rsid w:val="00B605B1"/>
    <w:rsid w:val="00B609DE"/>
    <w:rsid w:val="00B6169A"/>
    <w:rsid w:val="00B621CA"/>
    <w:rsid w:val="00B6317C"/>
    <w:rsid w:val="00B6419E"/>
    <w:rsid w:val="00B64C5C"/>
    <w:rsid w:val="00B64F83"/>
    <w:rsid w:val="00B65150"/>
    <w:rsid w:val="00B6558A"/>
    <w:rsid w:val="00B65B03"/>
    <w:rsid w:val="00B65D7D"/>
    <w:rsid w:val="00B65D85"/>
    <w:rsid w:val="00B66EA8"/>
    <w:rsid w:val="00B715D8"/>
    <w:rsid w:val="00B716BB"/>
    <w:rsid w:val="00B71D81"/>
    <w:rsid w:val="00B72D37"/>
    <w:rsid w:val="00B73DF9"/>
    <w:rsid w:val="00B74E4C"/>
    <w:rsid w:val="00B7518C"/>
    <w:rsid w:val="00B7545A"/>
    <w:rsid w:val="00B75746"/>
    <w:rsid w:val="00B75944"/>
    <w:rsid w:val="00B75D7B"/>
    <w:rsid w:val="00B76271"/>
    <w:rsid w:val="00B7678A"/>
    <w:rsid w:val="00B77019"/>
    <w:rsid w:val="00B77A65"/>
    <w:rsid w:val="00B8047C"/>
    <w:rsid w:val="00B80677"/>
    <w:rsid w:val="00B81627"/>
    <w:rsid w:val="00B81A4C"/>
    <w:rsid w:val="00B82785"/>
    <w:rsid w:val="00B82EDE"/>
    <w:rsid w:val="00B83814"/>
    <w:rsid w:val="00B8554E"/>
    <w:rsid w:val="00B85D90"/>
    <w:rsid w:val="00B85D93"/>
    <w:rsid w:val="00B90224"/>
    <w:rsid w:val="00B90ED0"/>
    <w:rsid w:val="00B92683"/>
    <w:rsid w:val="00B929BE"/>
    <w:rsid w:val="00B930E3"/>
    <w:rsid w:val="00B9323B"/>
    <w:rsid w:val="00B9337F"/>
    <w:rsid w:val="00B936CA"/>
    <w:rsid w:val="00B939C0"/>
    <w:rsid w:val="00B93D4B"/>
    <w:rsid w:val="00B94059"/>
    <w:rsid w:val="00B94928"/>
    <w:rsid w:val="00B95057"/>
    <w:rsid w:val="00B965BB"/>
    <w:rsid w:val="00BA0CCB"/>
    <w:rsid w:val="00BA18E9"/>
    <w:rsid w:val="00BA41A9"/>
    <w:rsid w:val="00BA4B6D"/>
    <w:rsid w:val="00BA4D6B"/>
    <w:rsid w:val="00BA4E71"/>
    <w:rsid w:val="00BA5B3F"/>
    <w:rsid w:val="00BA5EAA"/>
    <w:rsid w:val="00BA63F5"/>
    <w:rsid w:val="00BA7034"/>
    <w:rsid w:val="00BA7A7E"/>
    <w:rsid w:val="00BA7D7F"/>
    <w:rsid w:val="00BA7F7C"/>
    <w:rsid w:val="00BB0382"/>
    <w:rsid w:val="00BB0393"/>
    <w:rsid w:val="00BB1090"/>
    <w:rsid w:val="00BB21C0"/>
    <w:rsid w:val="00BB3333"/>
    <w:rsid w:val="00BB4C76"/>
    <w:rsid w:val="00BB5512"/>
    <w:rsid w:val="00BB5781"/>
    <w:rsid w:val="00BB712C"/>
    <w:rsid w:val="00BC255A"/>
    <w:rsid w:val="00BC34C4"/>
    <w:rsid w:val="00BC3806"/>
    <w:rsid w:val="00BC3D19"/>
    <w:rsid w:val="00BC40FE"/>
    <w:rsid w:val="00BC432B"/>
    <w:rsid w:val="00BC4BE5"/>
    <w:rsid w:val="00BC4F3C"/>
    <w:rsid w:val="00BC4F42"/>
    <w:rsid w:val="00BC69B8"/>
    <w:rsid w:val="00BC6D31"/>
    <w:rsid w:val="00BC6F97"/>
    <w:rsid w:val="00BC73E3"/>
    <w:rsid w:val="00BC7E52"/>
    <w:rsid w:val="00BD04AF"/>
    <w:rsid w:val="00BD09F8"/>
    <w:rsid w:val="00BD1548"/>
    <w:rsid w:val="00BD270D"/>
    <w:rsid w:val="00BD422B"/>
    <w:rsid w:val="00BD512D"/>
    <w:rsid w:val="00BD5E88"/>
    <w:rsid w:val="00BD7FCB"/>
    <w:rsid w:val="00BE0CCE"/>
    <w:rsid w:val="00BE0DA5"/>
    <w:rsid w:val="00BE15B6"/>
    <w:rsid w:val="00BE1BEA"/>
    <w:rsid w:val="00BE2BF8"/>
    <w:rsid w:val="00BE2FBE"/>
    <w:rsid w:val="00BE32F2"/>
    <w:rsid w:val="00BE42CE"/>
    <w:rsid w:val="00BE430B"/>
    <w:rsid w:val="00BE4EC3"/>
    <w:rsid w:val="00BE5B2E"/>
    <w:rsid w:val="00BE725D"/>
    <w:rsid w:val="00BF0C09"/>
    <w:rsid w:val="00BF2050"/>
    <w:rsid w:val="00BF38D7"/>
    <w:rsid w:val="00BF5493"/>
    <w:rsid w:val="00BF5C5F"/>
    <w:rsid w:val="00BF6677"/>
    <w:rsid w:val="00BF6DD4"/>
    <w:rsid w:val="00BF7C77"/>
    <w:rsid w:val="00C00173"/>
    <w:rsid w:val="00C00755"/>
    <w:rsid w:val="00C00ECC"/>
    <w:rsid w:val="00C05859"/>
    <w:rsid w:val="00C058FF"/>
    <w:rsid w:val="00C061A4"/>
    <w:rsid w:val="00C06C4B"/>
    <w:rsid w:val="00C07EBC"/>
    <w:rsid w:val="00C11FA2"/>
    <w:rsid w:val="00C12245"/>
    <w:rsid w:val="00C12A6D"/>
    <w:rsid w:val="00C133A3"/>
    <w:rsid w:val="00C14B61"/>
    <w:rsid w:val="00C15552"/>
    <w:rsid w:val="00C16013"/>
    <w:rsid w:val="00C16875"/>
    <w:rsid w:val="00C16CC9"/>
    <w:rsid w:val="00C17D5D"/>
    <w:rsid w:val="00C20094"/>
    <w:rsid w:val="00C21BA4"/>
    <w:rsid w:val="00C229FE"/>
    <w:rsid w:val="00C22B09"/>
    <w:rsid w:val="00C22CC7"/>
    <w:rsid w:val="00C23143"/>
    <w:rsid w:val="00C2453C"/>
    <w:rsid w:val="00C25096"/>
    <w:rsid w:val="00C2549A"/>
    <w:rsid w:val="00C25969"/>
    <w:rsid w:val="00C26577"/>
    <w:rsid w:val="00C26920"/>
    <w:rsid w:val="00C27AC5"/>
    <w:rsid w:val="00C302A8"/>
    <w:rsid w:val="00C3061F"/>
    <w:rsid w:val="00C30C47"/>
    <w:rsid w:val="00C3181D"/>
    <w:rsid w:val="00C3229A"/>
    <w:rsid w:val="00C322EA"/>
    <w:rsid w:val="00C32374"/>
    <w:rsid w:val="00C35051"/>
    <w:rsid w:val="00C3511D"/>
    <w:rsid w:val="00C3614C"/>
    <w:rsid w:val="00C361F1"/>
    <w:rsid w:val="00C36982"/>
    <w:rsid w:val="00C36B68"/>
    <w:rsid w:val="00C4065F"/>
    <w:rsid w:val="00C40738"/>
    <w:rsid w:val="00C40E96"/>
    <w:rsid w:val="00C41074"/>
    <w:rsid w:val="00C43FF1"/>
    <w:rsid w:val="00C44ED1"/>
    <w:rsid w:val="00C4558D"/>
    <w:rsid w:val="00C459A2"/>
    <w:rsid w:val="00C477F5"/>
    <w:rsid w:val="00C478DA"/>
    <w:rsid w:val="00C47934"/>
    <w:rsid w:val="00C50C76"/>
    <w:rsid w:val="00C5198A"/>
    <w:rsid w:val="00C5359C"/>
    <w:rsid w:val="00C55090"/>
    <w:rsid w:val="00C55693"/>
    <w:rsid w:val="00C557C9"/>
    <w:rsid w:val="00C55E77"/>
    <w:rsid w:val="00C56000"/>
    <w:rsid w:val="00C56223"/>
    <w:rsid w:val="00C5691B"/>
    <w:rsid w:val="00C60D7F"/>
    <w:rsid w:val="00C61A2F"/>
    <w:rsid w:val="00C6200F"/>
    <w:rsid w:val="00C62B29"/>
    <w:rsid w:val="00C62BE6"/>
    <w:rsid w:val="00C63006"/>
    <w:rsid w:val="00C6303E"/>
    <w:rsid w:val="00C636ED"/>
    <w:rsid w:val="00C6374F"/>
    <w:rsid w:val="00C63962"/>
    <w:rsid w:val="00C63FF5"/>
    <w:rsid w:val="00C64489"/>
    <w:rsid w:val="00C64835"/>
    <w:rsid w:val="00C6543C"/>
    <w:rsid w:val="00C657F9"/>
    <w:rsid w:val="00C66153"/>
    <w:rsid w:val="00C662EF"/>
    <w:rsid w:val="00C6729E"/>
    <w:rsid w:val="00C7081C"/>
    <w:rsid w:val="00C715A1"/>
    <w:rsid w:val="00C71977"/>
    <w:rsid w:val="00C72432"/>
    <w:rsid w:val="00C726BB"/>
    <w:rsid w:val="00C729F2"/>
    <w:rsid w:val="00C741E8"/>
    <w:rsid w:val="00C75152"/>
    <w:rsid w:val="00C752B5"/>
    <w:rsid w:val="00C75B5F"/>
    <w:rsid w:val="00C75BF6"/>
    <w:rsid w:val="00C7729D"/>
    <w:rsid w:val="00C7764B"/>
    <w:rsid w:val="00C801B2"/>
    <w:rsid w:val="00C80487"/>
    <w:rsid w:val="00C80A1F"/>
    <w:rsid w:val="00C80BF8"/>
    <w:rsid w:val="00C8182F"/>
    <w:rsid w:val="00C829B2"/>
    <w:rsid w:val="00C83639"/>
    <w:rsid w:val="00C83A5F"/>
    <w:rsid w:val="00C8475A"/>
    <w:rsid w:val="00C84B1E"/>
    <w:rsid w:val="00C8626E"/>
    <w:rsid w:val="00C866FC"/>
    <w:rsid w:val="00C8763E"/>
    <w:rsid w:val="00C87CED"/>
    <w:rsid w:val="00C90F6E"/>
    <w:rsid w:val="00C91411"/>
    <w:rsid w:val="00C91EDF"/>
    <w:rsid w:val="00C92385"/>
    <w:rsid w:val="00C925C6"/>
    <w:rsid w:val="00C92CE5"/>
    <w:rsid w:val="00C9341E"/>
    <w:rsid w:val="00C93E00"/>
    <w:rsid w:val="00C93E56"/>
    <w:rsid w:val="00C9439E"/>
    <w:rsid w:val="00C950CA"/>
    <w:rsid w:val="00C9531C"/>
    <w:rsid w:val="00C9536D"/>
    <w:rsid w:val="00C95922"/>
    <w:rsid w:val="00C96BEB"/>
    <w:rsid w:val="00C97756"/>
    <w:rsid w:val="00C97A7C"/>
    <w:rsid w:val="00CA00C8"/>
    <w:rsid w:val="00CA0FB4"/>
    <w:rsid w:val="00CA2C51"/>
    <w:rsid w:val="00CA381D"/>
    <w:rsid w:val="00CA5994"/>
    <w:rsid w:val="00CA5B6E"/>
    <w:rsid w:val="00CA5F82"/>
    <w:rsid w:val="00CA609F"/>
    <w:rsid w:val="00CA7D49"/>
    <w:rsid w:val="00CB0215"/>
    <w:rsid w:val="00CB023B"/>
    <w:rsid w:val="00CB1951"/>
    <w:rsid w:val="00CB1A81"/>
    <w:rsid w:val="00CB3034"/>
    <w:rsid w:val="00CB3F22"/>
    <w:rsid w:val="00CB4F87"/>
    <w:rsid w:val="00CB5278"/>
    <w:rsid w:val="00CB59A1"/>
    <w:rsid w:val="00CB5A98"/>
    <w:rsid w:val="00CB6526"/>
    <w:rsid w:val="00CB6A9D"/>
    <w:rsid w:val="00CB7173"/>
    <w:rsid w:val="00CB7C9E"/>
    <w:rsid w:val="00CB7D8B"/>
    <w:rsid w:val="00CC0847"/>
    <w:rsid w:val="00CC281F"/>
    <w:rsid w:val="00CC3EB5"/>
    <w:rsid w:val="00CC4727"/>
    <w:rsid w:val="00CC54C9"/>
    <w:rsid w:val="00CC5F6D"/>
    <w:rsid w:val="00CC6549"/>
    <w:rsid w:val="00CC7400"/>
    <w:rsid w:val="00CC7E23"/>
    <w:rsid w:val="00CD0C3A"/>
    <w:rsid w:val="00CD25D6"/>
    <w:rsid w:val="00CD29FC"/>
    <w:rsid w:val="00CD3733"/>
    <w:rsid w:val="00CD3896"/>
    <w:rsid w:val="00CD392D"/>
    <w:rsid w:val="00CD3E69"/>
    <w:rsid w:val="00CD439E"/>
    <w:rsid w:val="00CD457E"/>
    <w:rsid w:val="00CD4A93"/>
    <w:rsid w:val="00CD590F"/>
    <w:rsid w:val="00CD5EA1"/>
    <w:rsid w:val="00CE081F"/>
    <w:rsid w:val="00CE43C3"/>
    <w:rsid w:val="00CE47C2"/>
    <w:rsid w:val="00CE49E5"/>
    <w:rsid w:val="00CE4B54"/>
    <w:rsid w:val="00CE4E2E"/>
    <w:rsid w:val="00CE4F59"/>
    <w:rsid w:val="00CE4FB8"/>
    <w:rsid w:val="00CE73D2"/>
    <w:rsid w:val="00CE75E1"/>
    <w:rsid w:val="00CF0523"/>
    <w:rsid w:val="00CF1E17"/>
    <w:rsid w:val="00CF5831"/>
    <w:rsid w:val="00CF5ABA"/>
    <w:rsid w:val="00CF63E8"/>
    <w:rsid w:val="00CF6B82"/>
    <w:rsid w:val="00D00C89"/>
    <w:rsid w:val="00D010C4"/>
    <w:rsid w:val="00D015C2"/>
    <w:rsid w:val="00D01F45"/>
    <w:rsid w:val="00D049A1"/>
    <w:rsid w:val="00D050A4"/>
    <w:rsid w:val="00D05285"/>
    <w:rsid w:val="00D05C81"/>
    <w:rsid w:val="00D0648A"/>
    <w:rsid w:val="00D1200B"/>
    <w:rsid w:val="00D12BD3"/>
    <w:rsid w:val="00D141FA"/>
    <w:rsid w:val="00D1539D"/>
    <w:rsid w:val="00D15E4A"/>
    <w:rsid w:val="00D16247"/>
    <w:rsid w:val="00D16562"/>
    <w:rsid w:val="00D16573"/>
    <w:rsid w:val="00D168F7"/>
    <w:rsid w:val="00D16A98"/>
    <w:rsid w:val="00D16DE2"/>
    <w:rsid w:val="00D17389"/>
    <w:rsid w:val="00D17C3A"/>
    <w:rsid w:val="00D2035E"/>
    <w:rsid w:val="00D20C3D"/>
    <w:rsid w:val="00D2126A"/>
    <w:rsid w:val="00D21FCC"/>
    <w:rsid w:val="00D22C69"/>
    <w:rsid w:val="00D2393C"/>
    <w:rsid w:val="00D23E22"/>
    <w:rsid w:val="00D24236"/>
    <w:rsid w:val="00D251F7"/>
    <w:rsid w:val="00D2560F"/>
    <w:rsid w:val="00D26093"/>
    <w:rsid w:val="00D26903"/>
    <w:rsid w:val="00D27F6A"/>
    <w:rsid w:val="00D30248"/>
    <w:rsid w:val="00D30448"/>
    <w:rsid w:val="00D30EE7"/>
    <w:rsid w:val="00D31991"/>
    <w:rsid w:val="00D31AE0"/>
    <w:rsid w:val="00D31DA9"/>
    <w:rsid w:val="00D3202F"/>
    <w:rsid w:val="00D3466D"/>
    <w:rsid w:val="00D35D23"/>
    <w:rsid w:val="00D36983"/>
    <w:rsid w:val="00D369BA"/>
    <w:rsid w:val="00D36C27"/>
    <w:rsid w:val="00D37E5B"/>
    <w:rsid w:val="00D40AB4"/>
    <w:rsid w:val="00D41793"/>
    <w:rsid w:val="00D4261A"/>
    <w:rsid w:val="00D447CE"/>
    <w:rsid w:val="00D448D0"/>
    <w:rsid w:val="00D4616C"/>
    <w:rsid w:val="00D46611"/>
    <w:rsid w:val="00D46F6C"/>
    <w:rsid w:val="00D50786"/>
    <w:rsid w:val="00D50881"/>
    <w:rsid w:val="00D5118B"/>
    <w:rsid w:val="00D52A7A"/>
    <w:rsid w:val="00D52FFA"/>
    <w:rsid w:val="00D547EB"/>
    <w:rsid w:val="00D54A6F"/>
    <w:rsid w:val="00D54B16"/>
    <w:rsid w:val="00D560C5"/>
    <w:rsid w:val="00D56703"/>
    <w:rsid w:val="00D60014"/>
    <w:rsid w:val="00D6126A"/>
    <w:rsid w:val="00D61C49"/>
    <w:rsid w:val="00D61D9A"/>
    <w:rsid w:val="00D6248A"/>
    <w:rsid w:val="00D62B2A"/>
    <w:rsid w:val="00D63292"/>
    <w:rsid w:val="00D63981"/>
    <w:rsid w:val="00D646C3"/>
    <w:rsid w:val="00D6472A"/>
    <w:rsid w:val="00D6486C"/>
    <w:rsid w:val="00D6521D"/>
    <w:rsid w:val="00D65414"/>
    <w:rsid w:val="00D65A1B"/>
    <w:rsid w:val="00D666A2"/>
    <w:rsid w:val="00D66A28"/>
    <w:rsid w:val="00D700F8"/>
    <w:rsid w:val="00D7034D"/>
    <w:rsid w:val="00D707FF"/>
    <w:rsid w:val="00D70EC2"/>
    <w:rsid w:val="00D71D0A"/>
    <w:rsid w:val="00D71EB2"/>
    <w:rsid w:val="00D73A92"/>
    <w:rsid w:val="00D73BAB"/>
    <w:rsid w:val="00D73D75"/>
    <w:rsid w:val="00D73DA6"/>
    <w:rsid w:val="00D74604"/>
    <w:rsid w:val="00D7486C"/>
    <w:rsid w:val="00D74AC3"/>
    <w:rsid w:val="00D756F0"/>
    <w:rsid w:val="00D75F29"/>
    <w:rsid w:val="00D77361"/>
    <w:rsid w:val="00D77644"/>
    <w:rsid w:val="00D77E78"/>
    <w:rsid w:val="00D80A7C"/>
    <w:rsid w:val="00D81174"/>
    <w:rsid w:val="00D8257F"/>
    <w:rsid w:val="00D83482"/>
    <w:rsid w:val="00D849AB"/>
    <w:rsid w:val="00D84D2E"/>
    <w:rsid w:val="00D851E1"/>
    <w:rsid w:val="00D8553B"/>
    <w:rsid w:val="00D85B08"/>
    <w:rsid w:val="00D85E74"/>
    <w:rsid w:val="00D862E3"/>
    <w:rsid w:val="00D8703B"/>
    <w:rsid w:val="00D9047B"/>
    <w:rsid w:val="00D92213"/>
    <w:rsid w:val="00D9278B"/>
    <w:rsid w:val="00D9342E"/>
    <w:rsid w:val="00D93697"/>
    <w:rsid w:val="00D93865"/>
    <w:rsid w:val="00D9421A"/>
    <w:rsid w:val="00D94330"/>
    <w:rsid w:val="00D944E1"/>
    <w:rsid w:val="00D95762"/>
    <w:rsid w:val="00D9628A"/>
    <w:rsid w:val="00D96B33"/>
    <w:rsid w:val="00D96D69"/>
    <w:rsid w:val="00D97B99"/>
    <w:rsid w:val="00DA1113"/>
    <w:rsid w:val="00DA13CF"/>
    <w:rsid w:val="00DA19E4"/>
    <w:rsid w:val="00DA3979"/>
    <w:rsid w:val="00DA3C39"/>
    <w:rsid w:val="00DA4730"/>
    <w:rsid w:val="00DA4DD8"/>
    <w:rsid w:val="00DA5523"/>
    <w:rsid w:val="00DA6203"/>
    <w:rsid w:val="00DA718A"/>
    <w:rsid w:val="00DA7242"/>
    <w:rsid w:val="00DA7E3E"/>
    <w:rsid w:val="00DB001C"/>
    <w:rsid w:val="00DB17AA"/>
    <w:rsid w:val="00DB2B2F"/>
    <w:rsid w:val="00DB2E0A"/>
    <w:rsid w:val="00DB33CE"/>
    <w:rsid w:val="00DB4580"/>
    <w:rsid w:val="00DB4A36"/>
    <w:rsid w:val="00DB4FBF"/>
    <w:rsid w:val="00DB5274"/>
    <w:rsid w:val="00DB6AB8"/>
    <w:rsid w:val="00DC0D17"/>
    <w:rsid w:val="00DC17A1"/>
    <w:rsid w:val="00DC1A86"/>
    <w:rsid w:val="00DC1DBE"/>
    <w:rsid w:val="00DC2E76"/>
    <w:rsid w:val="00DC42DB"/>
    <w:rsid w:val="00DC4D36"/>
    <w:rsid w:val="00DC4EB4"/>
    <w:rsid w:val="00DC55BD"/>
    <w:rsid w:val="00DC5BFC"/>
    <w:rsid w:val="00DC656E"/>
    <w:rsid w:val="00DC6BA9"/>
    <w:rsid w:val="00DC7992"/>
    <w:rsid w:val="00DD052E"/>
    <w:rsid w:val="00DD0C56"/>
    <w:rsid w:val="00DD2F1B"/>
    <w:rsid w:val="00DD304E"/>
    <w:rsid w:val="00DD31BD"/>
    <w:rsid w:val="00DD4035"/>
    <w:rsid w:val="00DD45E1"/>
    <w:rsid w:val="00DD5BF8"/>
    <w:rsid w:val="00DD632A"/>
    <w:rsid w:val="00DD6C8C"/>
    <w:rsid w:val="00DD6D6C"/>
    <w:rsid w:val="00DD74C7"/>
    <w:rsid w:val="00DE0B2A"/>
    <w:rsid w:val="00DE0BEB"/>
    <w:rsid w:val="00DE0FE0"/>
    <w:rsid w:val="00DE2410"/>
    <w:rsid w:val="00DE462A"/>
    <w:rsid w:val="00DE4BA4"/>
    <w:rsid w:val="00DE4D41"/>
    <w:rsid w:val="00DE57DF"/>
    <w:rsid w:val="00DE5DB0"/>
    <w:rsid w:val="00DE5E89"/>
    <w:rsid w:val="00DE7F7A"/>
    <w:rsid w:val="00DF07ED"/>
    <w:rsid w:val="00DF0EE7"/>
    <w:rsid w:val="00DF0F2B"/>
    <w:rsid w:val="00DF1655"/>
    <w:rsid w:val="00DF265E"/>
    <w:rsid w:val="00DF4B06"/>
    <w:rsid w:val="00DF4C62"/>
    <w:rsid w:val="00DF64CA"/>
    <w:rsid w:val="00DF6B1E"/>
    <w:rsid w:val="00DF6FB8"/>
    <w:rsid w:val="00E00C4F"/>
    <w:rsid w:val="00E00D55"/>
    <w:rsid w:val="00E013E0"/>
    <w:rsid w:val="00E0150B"/>
    <w:rsid w:val="00E0330B"/>
    <w:rsid w:val="00E03C47"/>
    <w:rsid w:val="00E041D3"/>
    <w:rsid w:val="00E042C8"/>
    <w:rsid w:val="00E042E8"/>
    <w:rsid w:val="00E049B6"/>
    <w:rsid w:val="00E0667B"/>
    <w:rsid w:val="00E06F02"/>
    <w:rsid w:val="00E07A99"/>
    <w:rsid w:val="00E1006F"/>
    <w:rsid w:val="00E10328"/>
    <w:rsid w:val="00E108AA"/>
    <w:rsid w:val="00E111EB"/>
    <w:rsid w:val="00E130E5"/>
    <w:rsid w:val="00E1392B"/>
    <w:rsid w:val="00E13F5C"/>
    <w:rsid w:val="00E14103"/>
    <w:rsid w:val="00E1423A"/>
    <w:rsid w:val="00E146EE"/>
    <w:rsid w:val="00E164C4"/>
    <w:rsid w:val="00E2079B"/>
    <w:rsid w:val="00E20F98"/>
    <w:rsid w:val="00E218FD"/>
    <w:rsid w:val="00E226EF"/>
    <w:rsid w:val="00E22A52"/>
    <w:rsid w:val="00E22AC9"/>
    <w:rsid w:val="00E23A29"/>
    <w:rsid w:val="00E24299"/>
    <w:rsid w:val="00E24F36"/>
    <w:rsid w:val="00E25050"/>
    <w:rsid w:val="00E2508E"/>
    <w:rsid w:val="00E25197"/>
    <w:rsid w:val="00E25225"/>
    <w:rsid w:val="00E25CF1"/>
    <w:rsid w:val="00E2722A"/>
    <w:rsid w:val="00E304C4"/>
    <w:rsid w:val="00E30838"/>
    <w:rsid w:val="00E309A4"/>
    <w:rsid w:val="00E30C3C"/>
    <w:rsid w:val="00E31D4F"/>
    <w:rsid w:val="00E3262F"/>
    <w:rsid w:val="00E32850"/>
    <w:rsid w:val="00E3313F"/>
    <w:rsid w:val="00E33FA0"/>
    <w:rsid w:val="00E3425D"/>
    <w:rsid w:val="00E35399"/>
    <w:rsid w:val="00E36192"/>
    <w:rsid w:val="00E36FA1"/>
    <w:rsid w:val="00E371BB"/>
    <w:rsid w:val="00E37CBF"/>
    <w:rsid w:val="00E4039D"/>
    <w:rsid w:val="00E41475"/>
    <w:rsid w:val="00E41FDA"/>
    <w:rsid w:val="00E431A1"/>
    <w:rsid w:val="00E433A1"/>
    <w:rsid w:val="00E4468D"/>
    <w:rsid w:val="00E44B57"/>
    <w:rsid w:val="00E44C0E"/>
    <w:rsid w:val="00E45003"/>
    <w:rsid w:val="00E459CF"/>
    <w:rsid w:val="00E45A94"/>
    <w:rsid w:val="00E45C4B"/>
    <w:rsid w:val="00E45DE2"/>
    <w:rsid w:val="00E4646C"/>
    <w:rsid w:val="00E46D72"/>
    <w:rsid w:val="00E47B54"/>
    <w:rsid w:val="00E50587"/>
    <w:rsid w:val="00E51BD8"/>
    <w:rsid w:val="00E51E11"/>
    <w:rsid w:val="00E5310C"/>
    <w:rsid w:val="00E53141"/>
    <w:rsid w:val="00E53ABD"/>
    <w:rsid w:val="00E540A0"/>
    <w:rsid w:val="00E54AD8"/>
    <w:rsid w:val="00E54E1A"/>
    <w:rsid w:val="00E55D07"/>
    <w:rsid w:val="00E57B88"/>
    <w:rsid w:val="00E605A5"/>
    <w:rsid w:val="00E60677"/>
    <w:rsid w:val="00E60992"/>
    <w:rsid w:val="00E60D8B"/>
    <w:rsid w:val="00E616AD"/>
    <w:rsid w:val="00E616C6"/>
    <w:rsid w:val="00E618C0"/>
    <w:rsid w:val="00E61FEA"/>
    <w:rsid w:val="00E65F66"/>
    <w:rsid w:val="00E6688E"/>
    <w:rsid w:val="00E66920"/>
    <w:rsid w:val="00E66DF9"/>
    <w:rsid w:val="00E67198"/>
    <w:rsid w:val="00E67794"/>
    <w:rsid w:val="00E679F4"/>
    <w:rsid w:val="00E7085F"/>
    <w:rsid w:val="00E70B5B"/>
    <w:rsid w:val="00E70C2A"/>
    <w:rsid w:val="00E712AF"/>
    <w:rsid w:val="00E718C3"/>
    <w:rsid w:val="00E71F1D"/>
    <w:rsid w:val="00E72232"/>
    <w:rsid w:val="00E72741"/>
    <w:rsid w:val="00E72FE2"/>
    <w:rsid w:val="00E737A4"/>
    <w:rsid w:val="00E74006"/>
    <w:rsid w:val="00E74455"/>
    <w:rsid w:val="00E74521"/>
    <w:rsid w:val="00E75084"/>
    <w:rsid w:val="00E75A1E"/>
    <w:rsid w:val="00E771F6"/>
    <w:rsid w:val="00E77FDF"/>
    <w:rsid w:val="00E77FE8"/>
    <w:rsid w:val="00E80186"/>
    <w:rsid w:val="00E8215A"/>
    <w:rsid w:val="00E8233E"/>
    <w:rsid w:val="00E82691"/>
    <w:rsid w:val="00E83AAB"/>
    <w:rsid w:val="00E8567B"/>
    <w:rsid w:val="00E85F29"/>
    <w:rsid w:val="00E85FD1"/>
    <w:rsid w:val="00E87FD9"/>
    <w:rsid w:val="00E90A75"/>
    <w:rsid w:val="00E90A9C"/>
    <w:rsid w:val="00E91078"/>
    <w:rsid w:val="00E910FD"/>
    <w:rsid w:val="00E92FFC"/>
    <w:rsid w:val="00E93AF5"/>
    <w:rsid w:val="00E964B7"/>
    <w:rsid w:val="00E96F20"/>
    <w:rsid w:val="00E97743"/>
    <w:rsid w:val="00EA0753"/>
    <w:rsid w:val="00EA12EB"/>
    <w:rsid w:val="00EA18E3"/>
    <w:rsid w:val="00EA221C"/>
    <w:rsid w:val="00EA2EC0"/>
    <w:rsid w:val="00EA4361"/>
    <w:rsid w:val="00EA4E06"/>
    <w:rsid w:val="00EA5865"/>
    <w:rsid w:val="00EA78AD"/>
    <w:rsid w:val="00EA7AB9"/>
    <w:rsid w:val="00EB0CBE"/>
    <w:rsid w:val="00EB1329"/>
    <w:rsid w:val="00EB132A"/>
    <w:rsid w:val="00EB1951"/>
    <w:rsid w:val="00EB2CFF"/>
    <w:rsid w:val="00EB33C5"/>
    <w:rsid w:val="00EB3A0E"/>
    <w:rsid w:val="00EB402A"/>
    <w:rsid w:val="00EB4384"/>
    <w:rsid w:val="00EB45B8"/>
    <w:rsid w:val="00EB4D5F"/>
    <w:rsid w:val="00EC05CF"/>
    <w:rsid w:val="00EC0865"/>
    <w:rsid w:val="00EC0C8D"/>
    <w:rsid w:val="00EC1428"/>
    <w:rsid w:val="00EC144A"/>
    <w:rsid w:val="00EC1C29"/>
    <w:rsid w:val="00EC21AB"/>
    <w:rsid w:val="00EC3D43"/>
    <w:rsid w:val="00EC402E"/>
    <w:rsid w:val="00EC486E"/>
    <w:rsid w:val="00EC4C39"/>
    <w:rsid w:val="00EC4F81"/>
    <w:rsid w:val="00EC572A"/>
    <w:rsid w:val="00EC5750"/>
    <w:rsid w:val="00EC5A80"/>
    <w:rsid w:val="00EC6263"/>
    <w:rsid w:val="00EC62EC"/>
    <w:rsid w:val="00EC63CB"/>
    <w:rsid w:val="00EC79E7"/>
    <w:rsid w:val="00EC7BAE"/>
    <w:rsid w:val="00ED16C0"/>
    <w:rsid w:val="00ED1E53"/>
    <w:rsid w:val="00ED28E4"/>
    <w:rsid w:val="00ED633B"/>
    <w:rsid w:val="00ED643F"/>
    <w:rsid w:val="00ED654D"/>
    <w:rsid w:val="00ED6AA5"/>
    <w:rsid w:val="00ED7522"/>
    <w:rsid w:val="00ED7579"/>
    <w:rsid w:val="00EE0904"/>
    <w:rsid w:val="00EE0BBF"/>
    <w:rsid w:val="00EE1268"/>
    <w:rsid w:val="00EE1766"/>
    <w:rsid w:val="00EE3560"/>
    <w:rsid w:val="00EE3A25"/>
    <w:rsid w:val="00EE3CF0"/>
    <w:rsid w:val="00EE51BC"/>
    <w:rsid w:val="00EE6395"/>
    <w:rsid w:val="00EE6CE6"/>
    <w:rsid w:val="00EF02F7"/>
    <w:rsid w:val="00EF1285"/>
    <w:rsid w:val="00EF1A44"/>
    <w:rsid w:val="00EF21AB"/>
    <w:rsid w:val="00EF2617"/>
    <w:rsid w:val="00EF2F52"/>
    <w:rsid w:val="00EF30ED"/>
    <w:rsid w:val="00EF3DD6"/>
    <w:rsid w:val="00EF4766"/>
    <w:rsid w:val="00EF4FF3"/>
    <w:rsid w:val="00EF5485"/>
    <w:rsid w:val="00EF58DF"/>
    <w:rsid w:val="00EF6894"/>
    <w:rsid w:val="00EF74A9"/>
    <w:rsid w:val="00EF789A"/>
    <w:rsid w:val="00EF7CAD"/>
    <w:rsid w:val="00F00FBF"/>
    <w:rsid w:val="00F014F5"/>
    <w:rsid w:val="00F032B8"/>
    <w:rsid w:val="00F03E83"/>
    <w:rsid w:val="00F03F09"/>
    <w:rsid w:val="00F03F1F"/>
    <w:rsid w:val="00F0424A"/>
    <w:rsid w:val="00F04B29"/>
    <w:rsid w:val="00F06A25"/>
    <w:rsid w:val="00F07CFC"/>
    <w:rsid w:val="00F10306"/>
    <w:rsid w:val="00F10FE4"/>
    <w:rsid w:val="00F117C5"/>
    <w:rsid w:val="00F118CD"/>
    <w:rsid w:val="00F132C1"/>
    <w:rsid w:val="00F1400F"/>
    <w:rsid w:val="00F14088"/>
    <w:rsid w:val="00F14408"/>
    <w:rsid w:val="00F14B64"/>
    <w:rsid w:val="00F1587E"/>
    <w:rsid w:val="00F15A6D"/>
    <w:rsid w:val="00F16F7B"/>
    <w:rsid w:val="00F17838"/>
    <w:rsid w:val="00F2131C"/>
    <w:rsid w:val="00F21826"/>
    <w:rsid w:val="00F21D3B"/>
    <w:rsid w:val="00F22765"/>
    <w:rsid w:val="00F23044"/>
    <w:rsid w:val="00F23455"/>
    <w:rsid w:val="00F249F2"/>
    <w:rsid w:val="00F24B68"/>
    <w:rsid w:val="00F24E92"/>
    <w:rsid w:val="00F25657"/>
    <w:rsid w:val="00F272E2"/>
    <w:rsid w:val="00F27BC0"/>
    <w:rsid w:val="00F27EB9"/>
    <w:rsid w:val="00F314D8"/>
    <w:rsid w:val="00F320FC"/>
    <w:rsid w:val="00F323EE"/>
    <w:rsid w:val="00F32C0E"/>
    <w:rsid w:val="00F32CFA"/>
    <w:rsid w:val="00F33118"/>
    <w:rsid w:val="00F33F02"/>
    <w:rsid w:val="00F345B5"/>
    <w:rsid w:val="00F35908"/>
    <w:rsid w:val="00F35AC2"/>
    <w:rsid w:val="00F373F0"/>
    <w:rsid w:val="00F37D58"/>
    <w:rsid w:val="00F41D72"/>
    <w:rsid w:val="00F41FD7"/>
    <w:rsid w:val="00F42360"/>
    <w:rsid w:val="00F434A1"/>
    <w:rsid w:val="00F43C71"/>
    <w:rsid w:val="00F44033"/>
    <w:rsid w:val="00F44AD8"/>
    <w:rsid w:val="00F44E4D"/>
    <w:rsid w:val="00F4532C"/>
    <w:rsid w:val="00F453B6"/>
    <w:rsid w:val="00F45AF2"/>
    <w:rsid w:val="00F46AD4"/>
    <w:rsid w:val="00F47248"/>
    <w:rsid w:val="00F47941"/>
    <w:rsid w:val="00F47ED3"/>
    <w:rsid w:val="00F47FA6"/>
    <w:rsid w:val="00F511B2"/>
    <w:rsid w:val="00F51C3D"/>
    <w:rsid w:val="00F51CB8"/>
    <w:rsid w:val="00F52819"/>
    <w:rsid w:val="00F52B3F"/>
    <w:rsid w:val="00F52D8F"/>
    <w:rsid w:val="00F5455A"/>
    <w:rsid w:val="00F54B75"/>
    <w:rsid w:val="00F55556"/>
    <w:rsid w:val="00F55DDF"/>
    <w:rsid w:val="00F569A0"/>
    <w:rsid w:val="00F569A7"/>
    <w:rsid w:val="00F56ED0"/>
    <w:rsid w:val="00F57174"/>
    <w:rsid w:val="00F601AE"/>
    <w:rsid w:val="00F61B4F"/>
    <w:rsid w:val="00F61CB3"/>
    <w:rsid w:val="00F62BB4"/>
    <w:rsid w:val="00F62E4B"/>
    <w:rsid w:val="00F63680"/>
    <w:rsid w:val="00F63A58"/>
    <w:rsid w:val="00F63B70"/>
    <w:rsid w:val="00F64E54"/>
    <w:rsid w:val="00F64F12"/>
    <w:rsid w:val="00F657F5"/>
    <w:rsid w:val="00F65A30"/>
    <w:rsid w:val="00F6600C"/>
    <w:rsid w:val="00F668F2"/>
    <w:rsid w:val="00F66C0D"/>
    <w:rsid w:val="00F66E41"/>
    <w:rsid w:val="00F67087"/>
    <w:rsid w:val="00F677AB"/>
    <w:rsid w:val="00F67AF8"/>
    <w:rsid w:val="00F717F8"/>
    <w:rsid w:val="00F71CD3"/>
    <w:rsid w:val="00F71DCE"/>
    <w:rsid w:val="00F72E5B"/>
    <w:rsid w:val="00F72E7F"/>
    <w:rsid w:val="00F73397"/>
    <w:rsid w:val="00F73650"/>
    <w:rsid w:val="00F73BCF"/>
    <w:rsid w:val="00F73C45"/>
    <w:rsid w:val="00F74958"/>
    <w:rsid w:val="00F750D2"/>
    <w:rsid w:val="00F75C40"/>
    <w:rsid w:val="00F767E0"/>
    <w:rsid w:val="00F770D1"/>
    <w:rsid w:val="00F774BD"/>
    <w:rsid w:val="00F805EE"/>
    <w:rsid w:val="00F80D12"/>
    <w:rsid w:val="00F818EF"/>
    <w:rsid w:val="00F81F46"/>
    <w:rsid w:val="00F8242D"/>
    <w:rsid w:val="00F83197"/>
    <w:rsid w:val="00F83A37"/>
    <w:rsid w:val="00F84FA9"/>
    <w:rsid w:val="00F85B83"/>
    <w:rsid w:val="00F85BBF"/>
    <w:rsid w:val="00F85D0C"/>
    <w:rsid w:val="00F8691C"/>
    <w:rsid w:val="00F87D85"/>
    <w:rsid w:val="00F91BBF"/>
    <w:rsid w:val="00F91E39"/>
    <w:rsid w:val="00F92A3D"/>
    <w:rsid w:val="00F93219"/>
    <w:rsid w:val="00F934AD"/>
    <w:rsid w:val="00F93994"/>
    <w:rsid w:val="00F94999"/>
    <w:rsid w:val="00F94F5D"/>
    <w:rsid w:val="00F95911"/>
    <w:rsid w:val="00F96A09"/>
    <w:rsid w:val="00F97A8E"/>
    <w:rsid w:val="00F97ABE"/>
    <w:rsid w:val="00FA04BB"/>
    <w:rsid w:val="00FA0D12"/>
    <w:rsid w:val="00FA0F5B"/>
    <w:rsid w:val="00FA1D4D"/>
    <w:rsid w:val="00FA200A"/>
    <w:rsid w:val="00FA298D"/>
    <w:rsid w:val="00FA5654"/>
    <w:rsid w:val="00FA5718"/>
    <w:rsid w:val="00FA6A4D"/>
    <w:rsid w:val="00FA6D65"/>
    <w:rsid w:val="00FA7009"/>
    <w:rsid w:val="00FA7CC9"/>
    <w:rsid w:val="00FB044A"/>
    <w:rsid w:val="00FB0D90"/>
    <w:rsid w:val="00FB1403"/>
    <w:rsid w:val="00FB2CA1"/>
    <w:rsid w:val="00FB3242"/>
    <w:rsid w:val="00FB34C2"/>
    <w:rsid w:val="00FB35A1"/>
    <w:rsid w:val="00FB3A76"/>
    <w:rsid w:val="00FB3EA1"/>
    <w:rsid w:val="00FB4660"/>
    <w:rsid w:val="00FB4B0A"/>
    <w:rsid w:val="00FB4FEE"/>
    <w:rsid w:val="00FB5A9D"/>
    <w:rsid w:val="00FB5C96"/>
    <w:rsid w:val="00FB5F22"/>
    <w:rsid w:val="00FB6435"/>
    <w:rsid w:val="00FB751F"/>
    <w:rsid w:val="00FC1190"/>
    <w:rsid w:val="00FC1D4B"/>
    <w:rsid w:val="00FC24F7"/>
    <w:rsid w:val="00FC2A98"/>
    <w:rsid w:val="00FC2EC5"/>
    <w:rsid w:val="00FC3754"/>
    <w:rsid w:val="00FC375B"/>
    <w:rsid w:val="00FC452B"/>
    <w:rsid w:val="00FC5161"/>
    <w:rsid w:val="00FC5FEC"/>
    <w:rsid w:val="00FC618B"/>
    <w:rsid w:val="00FC6DC6"/>
    <w:rsid w:val="00FD0493"/>
    <w:rsid w:val="00FD12D9"/>
    <w:rsid w:val="00FD1C31"/>
    <w:rsid w:val="00FD2004"/>
    <w:rsid w:val="00FD20EA"/>
    <w:rsid w:val="00FD30E4"/>
    <w:rsid w:val="00FD4BA4"/>
    <w:rsid w:val="00FD5029"/>
    <w:rsid w:val="00FD5654"/>
    <w:rsid w:val="00FD5991"/>
    <w:rsid w:val="00FD7287"/>
    <w:rsid w:val="00FD7977"/>
    <w:rsid w:val="00FE0A54"/>
    <w:rsid w:val="00FE0AF7"/>
    <w:rsid w:val="00FE2552"/>
    <w:rsid w:val="00FE3B46"/>
    <w:rsid w:val="00FE6797"/>
    <w:rsid w:val="00FE6A95"/>
    <w:rsid w:val="00FE6E8E"/>
    <w:rsid w:val="00FE71AF"/>
    <w:rsid w:val="00FE7B6D"/>
    <w:rsid w:val="00FF04E9"/>
    <w:rsid w:val="00FF130A"/>
    <w:rsid w:val="00FF2FDF"/>
    <w:rsid w:val="00FF3E70"/>
    <w:rsid w:val="00FF3F0F"/>
    <w:rsid w:val="00FF4020"/>
    <w:rsid w:val="00FF58AC"/>
    <w:rsid w:val="00FF5CF3"/>
    <w:rsid w:val="00FF5DC0"/>
    <w:rsid w:val="00FF7284"/>
    <w:rsid w:val="00FF7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822E2"/>
  <w15:chartTrackingRefBased/>
  <w15:docId w15:val="{3E2FE277-FF37-4C8C-BE6E-D4A24CED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60C"/>
  </w:style>
  <w:style w:type="paragraph" w:styleId="Heading1">
    <w:name w:val="heading 1"/>
    <w:basedOn w:val="Normal"/>
    <w:next w:val="Normal"/>
    <w:link w:val="Heading1Char"/>
    <w:uiPriority w:val="9"/>
    <w:qFormat/>
    <w:rsid w:val="006914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75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009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C6AB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0260C"/>
    <w:pPr>
      <w:spacing w:after="0" w:line="240" w:lineRule="auto"/>
    </w:pPr>
    <w:rPr>
      <w:sz w:val="20"/>
      <w:szCs w:val="20"/>
    </w:rPr>
  </w:style>
  <w:style w:type="character" w:customStyle="1" w:styleId="FootnoteTextChar">
    <w:name w:val="Footnote Text Char"/>
    <w:basedOn w:val="DefaultParagraphFont"/>
    <w:link w:val="FootnoteText"/>
    <w:uiPriority w:val="99"/>
    <w:rsid w:val="00B0260C"/>
    <w:rPr>
      <w:sz w:val="20"/>
      <w:szCs w:val="20"/>
    </w:rPr>
  </w:style>
  <w:style w:type="character" w:styleId="FootnoteReference">
    <w:name w:val="footnote reference"/>
    <w:basedOn w:val="DefaultParagraphFont"/>
    <w:uiPriority w:val="99"/>
    <w:semiHidden/>
    <w:unhideWhenUsed/>
    <w:rsid w:val="00B0260C"/>
    <w:rPr>
      <w:vertAlign w:val="superscript"/>
    </w:rPr>
  </w:style>
  <w:style w:type="character" w:customStyle="1" w:styleId="Heading2Char">
    <w:name w:val="Heading 2 Char"/>
    <w:basedOn w:val="DefaultParagraphFont"/>
    <w:link w:val="Heading2"/>
    <w:uiPriority w:val="9"/>
    <w:rsid w:val="000F7593"/>
    <w:rPr>
      <w:rFonts w:asciiTheme="majorHAnsi" w:eastAsiaTheme="majorEastAsia" w:hAnsiTheme="majorHAnsi" w:cstheme="majorBidi"/>
      <w:color w:val="2F5496" w:themeColor="accent1" w:themeShade="BF"/>
      <w:sz w:val="26"/>
      <w:szCs w:val="26"/>
    </w:rPr>
  </w:style>
  <w:style w:type="table" w:styleId="PlainTable1">
    <w:name w:val="Plain Table 1"/>
    <w:basedOn w:val="TableNormal"/>
    <w:uiPriority w:val="41"/>
    <w:rsid w:val="000F75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A653A6"/>
    <w:pPr>
      <w:spacing w:after="0" w:line="240" w:lineRule="auto"/>
    </w:pPr>
  </w:style>
  <w:style w:type="character" w:styleId="Hyperlink">
    <w:name w:val="Hyperlink"/>
    <w:basedOn w:val="DefaultParagraphFont"/>
    <w:uiPriority w:val="99"/>
    <w:unhideWhenUsed/>
    <w:rsid w:val="00D00C89"/>
    <w:rPr>
      <w:color w:val="0563C1"/>
      <w:u w:val="single"/>
    </w:rPr>
  </w:style>
  <w:style w:type="character" w:customStyle="1" w:styleId="Heading1Char">
    <w:name w:val="Heading 1 Char"/>
    <w:basedOn w:val="DefaultParagraphFont"/>
    <w:link w:val="Heading1"/>
    <w:uiPriority w:val="9"/>
    <w:rsid w:val="006914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0090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C6ABA"/>
    <w:rPr>
      <w:rFonts w:asciiTheme="majorHAnsi" w:eastAsiaTheme="majorEastAsia" w:hAnsiTheme="majorHAnsi" w:cstheme="majorBidi"/>
      <w:i/>
      <w:iCs/>
      <w:color w:val="2F5496" w:themeColor="accent1" w:themeShade="BF"/>
    </w:rPr>
  </w:style>
  <w:style w:type="character" w:customStyle="1" w:styleId="UnresolvedMention">
    <w:name w:val="Unresolved Mention"/>
    <w:basedOn w:val="DefaultParagraphFont"/>
    <w:uiPriority w:val="99"/>
    <w:semiHidden/>
    <w:unhideWhenUsed/>
    <w:rsid w:val="00657131"/>
    <w:rPr>
      <w:color w:val="605E5C"/>
      <w:shd w:val="clear" w:color="auto" w:fill="E1DFDD"/>
    </w:rPr>
  </w:style>
  <w:style w:type="paragraph" w:styleId="CommentText">
    <w:name w:val="annotation text"/>
    <w:basedOn w:val="Normal"/>
    <w:link w:val="CommentTextChar"/>
    <w:uiPriority w:val="99"/>
    <w:unhideWhenUsed/>
    <w:rsid w:val="002D7FA5"/>
    <w:pPr>
      <w:spacing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2D7FA5"/>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2D7FA5"/>
    <w:rPr>
      <w:sz w:val="16"/>
      <w:szCs w:val="16"/>
    </w:rPr>
  </w:style>
  <w:style w:type="character" w:styleId="FollowedHyperlink">
    <w:name w:val="FollowedHyperlink"/>
    <w:basedOn w:val="DefaultParagraphFont"/>
    <w:uiPriority w:val="99"/>
    <w:semiHidden/>
    <w:unhideWhenUsed/>
    <w:rsid w:val="006805C4"/>
    <w:rPr>
      <w:color w:val="954F72" w:themeColor="followedHyperlink"/>
      <w:u w:val="single"/>
    </w:rPr>
  </w:style>
  <w:style w:type="paragraph" w:styleId="Header">
    <w:name w:val="header"/>
    <w:basedOn w:val="Normal"/>
    <w:link w:val="HeaderChar"/>
    <w:uiPriority w:val="99"/>
    <w:unhideWhenUsed/>
    <w:rsid w:val="00F74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958"/>
  </w:style>
  <w:style w:type="paragraph" w:styleId="Footer">
    <w:name w:val="footer"/>
    <w:basedOn w:val="Normal"/>
    <w:link w:val="FooterChar"/>
    <w:uiPriority w:val="99"/>
    <w:unhideWhenUsed/>
    <w:rsid w:val="00F74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958"/>
  </w:style>
  <w:style w:type="paragraph" w:styleId="CommentSubject">
    <w:name w:val="annotation subject"/>
    <w:basedOn w:val="CommentText"/>
    <w:next w:val="CommentText"/>
    <w:link w:val="CommentSubjectChar"/>
    <w:uiPriority w:val="99"/>
    <w:semiHidden/>
    <w:unhideWhenUsed/>
    <w:rsid w:val="001D7E97"/>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D7E97"/>
    <w:rPr>
      <w:rFonts w:ascii="Times New Roman" w:hAnsi="Times New Roman" w:cs="Times New Roman"/>
      <w:b/>
      <w:bCs/>
      <w:sz w:val="20"/>
      <w:szCs w:val="20"/>
    </w:rPr>
  </w:style>
  <w:style w:type="paragraph" w:styleId="ListParagraph">
    <w:name w:val="List Paragraph"/>
    <w:basedOn w:val="Normal"/>
    <w:uiPriority w:val="34"/>
    <w:qFormat/>
    <w:rsid w:val="00876085"/>
    <w:pPr>
      <w:ind w:left="720"/>
      <w:contextualSpacing/>
    </w:pPr>
  </w:style>
  <w:style w:type="table" w:styleId="TableGrid">
    <w:name w:val="Table Grid"/>
    <w:basedOn w:val="TableNormal"/>
    <w:uiPriority w:val="39"/>
    <w:rsid w:val="00CD2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DefaultParagraphFont"/>
    <w:rsid w:val="00C12A6D"/>
  </w:style>
  <w:style w:type="character" w:customStyle="1" w:styleId="chaptertitle">
    <w:name w:val="chaptertitle"/>
    <w:basedOn w:val="DefaultParagraphFont"/>
    <w:rsid w:val="00C12A6D"/>
  </w:style>
  <w:style w:type="character" w:customStyle="1" w:styleId="booktitle">
    <w:name w:val="booktitle"/>
    <w:basedOn w:val="DefaultParagraphFont"/>
    <w:rsid w:val="00C12A6D"/>
  </w:style>
  <w:style w:type="character" w:customStyle="1" w:styleId="editor">
    <w:name w:val="editor"/>
    <w:basedOn w:val="DefaultParagraphFont"/>
    <w:rsid w:val="00C12A6D"/>
  </w:style>
  <w:style w:type="character" w:customStyle="1" w:styleId="publisherlocation">
    <w:name w:val="publisherlocation"/>
    <w:basedOn w:val="DefaultParagraphFont"/>
    <w:rsid w:val="00C12A6D"/>
  </w:style>
  <w:style w:type="character" w:customStyle="1" w:styleId="pubyear">
    <w:name w:val="pubyear"/>
    <w:basedOn w:val="DefaultParagraphFont"/>
    <w:rsid w:val="00C12A6D"/>
  </w:style>
  <w:style w:type="paragraph" w:styleId="NoSpacing">
    <w:name w:val="No Spacing"/>
    <w:uiPriority w:val="1"/>
    <w:qFormat/>
    <w:rsid w:val="00E771F6"/>
    <w:pPr>
      <w:spacing w:after="0" w:line="240" w:lineRule="auto"/>
    </w:pPr>
  </w:style>
  <w:style w:type="paragraph" w:styleId="PlainText">
    <w:name w:val="Plain Text"/>
    <w:basedOn w:val="Normal"/>
    <w:link w:val="PlainTextChar"/>
    <w:uiPriority w:val="99"/>
    <w:unhideWhenUsed/>
    <w:rsid w:val="00710E6E"/>
    <w:pPr>
      <w:spacing w:after="0" w:line="240" w:lineRule="auto"/>
    </w:pPr>
    <w:rPr>
      <w:rFonts w:ascii="Times New Roman" w:hAnsi="Times New Roman"/>
      <w:sz w:val="24"/>
      <w:szCs w:val="21"/>
    </w:rPr>
  </w:style>
  <w:style w:type="character" w:customStyle="1" w:styleId="PlainTextChar">
    <w:name w:val="Plain Text Char"/>
    <w:basedOn w:val="DefaultParagraphFont"/>
    <w:link w:val="PlainText"/>
    <w:uiPriority w:val="99"/>
    <w:rsid w:val="00710E6E"/>
    <w:rPr>
      <w:rFonts w:ascii="Times New Roman" w:hAnsi="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1883">
      <w:bodyDiv w:val="1"/>
      <w:marLeft w:val="0"/>
      <w:marRight w:val="0"/>
      <w:marTop w:val="0"/>
      <w:marBottom w:val="0"/>
      <w:divBdr>
        <w:top w:val="none" w:sz="0" w:space="0" w:color="auto"/>
        <w:left w:val="none" w:sz="0" w:space="0" w:color="auto"/>
        <w:bottom w:val="none" w:sz="0" w:space="0" w:color="auto"/>
        <w:right w:val="none" w:sz="0" w:space="0" w:color="auto"/>
      </w:divBdr>
      <w:divsChild>
        <w:div w:id="573974914">
          <w:marLeft w:val="0"/>
          <w:marRight w:val="0"/>
          <w:marTop w:val="0"/>
          <w:marBottom w:val="0"/>
          <w:divBdr>
            <w:top w:val="none" w:sz="0" w:space="0" w:color="auto"/>
            <w:left w:val="none" w:sz="0" w:space="0" w:color="auto"/>
            <w:bottom w:val="none" w:sz="0" w:space="0" w:color="auto"/>
            <w:right w:val="none" w:sz="0" w:space="0" w:color="auto"/>
          </w:divBdr>
        </w:div>
      </w:divsChild>
    </w:div>
    <w:div w:id="74012225">
      <w:bodyDiv w:val="1"/>
      <w:marLeft w:val="0"/>
      <w:marRight w:val="0"/>
      <w:marTop w:val="0"/>
      <w:marBottom w:val="0"/>
      <w:divBdr>
        <w:top w:val="none" w:sz="0" w:space="0" w:color="auto"/>
        <w:left w:val="none" w:sz="0" w:space="0" w:color="auto"/>
        <w:bottom w:val="none" w:sz="0" w:space="0" w:color="auto"/>
        <w:right w:val="none" w:sz="0" w:space="0" w:color="auto"/>
      </w:divBdr>
      <w:divsChild>
        <w:div w:id="2080981764">
          <w:marLeft w:val="0"/>
          <w:marRight w:val="0"/>
          <w:marTop w:val="0"/>
          <w:marBottom w:val="0"/>
          <w:divBdr>
            <w:top w:val="none" w:sz="0" w:space="0" w:color="auto"/>
            <w:left w:val="none" w:sz="0" w:space="0" w:color="auto"/>
            <w:bottom w:val="none" w:sz="0" w:space="0" w:color="auto"/>
            <w:right w:val="none" w:sz="0" w:space="0" w:color="auto"/>
          </w:divBdr>
        </w:div>
      </w:divsChild>
    </w:div>
    <w:div w:id="101074137">
      <w:bodyDiv w:val="1"/>
      <w:marLeft w:val="0"/>
      <w:marRight w:val="0"/>
      <w:marTop w:val="0"/>
      <w:marBottom w:val="0"/>
      <w:divBdr>
        <w:top w:val="none" w:sz="0" w:space="0" w:color="auto"/>
        <w:left w:val="none" w:sz="0" w:space="0" w:color="auto"/>
        <w:bottom w:val="none" w:sz="0" w:space="0" w:color="auto"/>
        <w:right w:val="none" w:sz="0" w:space="0" w:color="auto"/>
      </w:divBdr>
      <w:divsChild>
        <w:div w:id="447746092">
          <w:marLeft w:val="0"/>
          <w:marRight w:val="0"/>
          <w:marTop w:val="0"/>
          <w:marBottom w:val="0"/>
          <w:divBdr>
            <w:top w:val="none" w:sz="0" w:space="0" w:color="auto"/>
            <w:left w:val="none" w:sz="0" w:space="0" w:color="auto"/>
            <w:bottom w:val="none" w:sz="0" w:space="0" w:color="auto"/>
            <w:right w:val="none" w:sz="0" w:space="0" w:color="auto"/>
          </w:divBdr>
        </w:div>
      </w:divsChild>
    </w:div>
    <w:div w:id="216745279">
      <w:bodyDiv w:val="1"/>
      <w:marLeft w:val="0"/>
      <w:marRight w:val="0"/>
      <w:marTop w:val="0"/>
      <w:marBottom w:val="0"/>
      <w:divBdr>
        <w:top w:val="none" w:sz="0" w:space="0" w:color="auto"/>
        <w:left w:val="none" w:sz="0" w:space="0" w:color="auto"/>
        <w:bottom w:val="none" w:sz="0" w:space="0" w:color="auto"/>
        <w:right w:val="none" w:sz="0" w:space="0" w:color="auto"/>
      </w:divBdr>
      <w:divsChild>
        <w:div w:id="75054455">
          <w:marLeft w:val="0"/>
          <w:marRight w:val="0"/>
          <w:marTop w:val="0"/>
          <w:marBottom w:val="0"/>
          <w:divBdr>
            <w:top w:val="none" w:sz="0" w:space="0" w:color="auto"/>
            <w:left w:val="none" w:sz="0" w:space="0" w:color="auto"/>
            <w:bottom w:val="none" w:sz="0" w:space="0" w:color="auto"/>
            <w:right w:val="none" w:sz="0" w:space="0" w:color="auto"/>
          </w:divBdr>
        </w:div>
      </w:divsChild>
    </w:div>
    <w:div w:id="295330632">
      <w:bodyDiv w:val="1"/>
      <w:marLeft w:val="0"/>
      <w:marRight w:val="0"/>
      <w:marTop w:val="0"/>
      <w:marBottom w:val="0"/>
      <w:divBdr>
        <w:top w:val="none" w:sz="0" w:space="0" w:color="auto"/>
        <w:left w:val="none" w:sz="0" w:space="0" w:color="auto"/>
        <w:bottom w:val="none" w:sz="0" w:space="0" w:color="auto"/>
        <w:right w:val="none" w:sz="0" w:space="0" w:color="auto"/>
      </w:divBdr>
      <w:divsChild>
        <w:div w:id="1229070405">
          <w:marLeft w:val="0"/>
          <w:marRight w:val="0"/>
          <w:marTop w:val="0"/>
          <w:marBottom w:val="0"/>
          <w:divBdr>
            <w:top w:val="none" w:sz="0" w:space="0" w:color="auto"/>
            <w:left w:val="none" w:sz="0" w:space="0" w:color="auto"/>
            <w:bottom w:val="none" w:sz="0" w:space="0" w:color="auto"/>
            <w:right w:val="none" w:sz="0" w:space="0" w:color="auto"/>
          </w:divBdr>
        </w:div>
      </w:divsChild>
    </w:div>
    <w:div w:id="345402677">
      <w:bodyDiv w:val="1"/>
      <w:marLeft w:val="0"/>
      <w:marRight w:val="0"/>
      <w:marTop w:val="0"/>
      <w:marBottom w:val="0"/>
      <w:divBdr>
        <w:top w:val="none" w:sz="0" w:space="0" w:color="auto"/>
        <w:left w:val="none" w:sz="0" w:space="0" w:color="auto"/>
        <w:bottom w:val="none" w:sz="0" w:space="0" w:color="auto"/>
        <w:right w:val="none" w:sz="0" w:space="0" w:color="auto"/>
      </w:divBdr>
      <w:divsChild>
        <w:div w:id="739446599">
          <w:marLeft w:val="0"/>
          <w:marRight w:val="0"/>
          <w:marTop w:val="0"/>
          <w:marBottom w:val="0"/>
          <w:divBdr>
            <w:top w:val="none" w:sz="0" w:space="0" w:color="auto"/>
            <w:left w:val="none" w:sz="0" w:space="0" w:color="auto"/>
            <w:bottom w:val="none" w:sz="0" w:space="0" w:color="auto"/>
            <w:right w:val="none" w:sz="0" w:space="0" w:color="auto"/>
          </w:divBdr>
        </w:div>
      </w:divsChild>
    </w:div>
    <w:div w:id="417796818">
      <w:bodyDiv w:val="1"/>
      <w:marLeft w:val="0"/>
      <w:marRight w:val="0"/>
      <w:marTop w:val="0"/>
      <w:marBottom w:val="0"/>
      <w:divBdr>
        <w:top w:val="none" w:sz="0" w:space="0" w:color="auto"/>
        <w:left w:val="none" w:sz="0" w:space="0" w:color="auto"/>
        <w:bottom w:val="none" w:sz="0" w:space="0" w:color="auto"/>
        <w:right w:val="none" w:sz="0" w:space="0" w:color="auto"/>
      </w:divBdr>
    </w:div>
    <w:div w:id="536432647">
      <w:bodyDiv w:val="1"/>
      <w:marLeft w:val="0"/>
      <w:marRight w:val="0"/>
      <w:marTop w:val="0"/>
      <w:marBottom w:val="0"/>
      <w:divBdr>
        <w:top w:val="none" w:sz="0" w:space="0" w:color="auto"/>
        <w:left w:val="none" w:sz="0" w:space="0" w:color="auto"/>
        <w:bottom w:val="none" w:sz="0" w:space="0" w:color="auto"/>
        <w:right w:val="none" w:sz="0" w:space="0" w:color="auto"/>
      </w:divBdr>
      <w:divsChild>
        <w:div w:id="697780717">
          <w:marLeft w:val="0"/>
          <w:marRight w:val="0"/>
          <w:marTop w:val="0"/>
          <w:marBottom w:val="0"/>
          <w:divBdr>
            <w:top w:val="none" w:sz="0" w:space="0" w:color="auto"/>
            <w:left w:val="none" w:sz="0" w:space="0" w:color="auto"/>
            <w:bottom w:val="none" w:sz="0" w:space="0" w:color="auto"/>
            <w:right w:val="none" w:sz="0" w:space="0" w:color="auto"/>
          </w:divBdr>
        </w:div>
      </w:divsChild>
    </w:div>
    <w:div w:id="541138464">
      <w:bodyDiv w:val="1"/>
      <w:marLeft w:val="0"/>
      <w:marRight w:val="0"/>
      <w:marTop w:val="0"/>
      <w:marBottom w:val="0"/>
      <w:divBdr>
        <w:top w:val="none" w:sz="0" w:space="0" w:color="auto"/>
        <w:left w:val="none" w:sz="0" w:space="0" w:color="auto"/>
        <w:bottom w:val="none" w:sz="0" w:space="0" w:color="auto"/>
        <w:right w:val="none" w:sz="0" w:space="0" w:color="auto"/>
      </w:divBdr>
      <w:divsChild>
        <w:div w:id="1705398428">
          <w:marLeft w:val="0"/>
          <w:marRight w:val="0"/>
          <w:marTop w:val="0"/>
          <w:marBottom w:val="0"/>
          <w:divBdr>
            <w:top w:val="none" w:sz="0" w:space="0" w:color="auto"/>
            <w:left w:val="none" w:sz="0" w:space="0" w:color="auto"/>
            <w:bottom w:val="none" w:sz="0" w:space="0" w:color="auto"/>
            <w:right w:val="none" w:sz="0" w:space="0" w:color="auto"/>
          </w:divBdr>
        </w:div>
      </w:divsChild>
    </w:div>
    <w:div w:id="541524346">
      <w:bodyDiv w:val="1"/>
      <w:marLeft w:val="0"/>
      <w:marRight w:val="0"/>
      <w:marTop w:val="0"/>
      <w:marBottom w:val="0"/>
      <w:divBdr>
        <w:top w:val="none" w:sz="0" w:space="0" w:color="auto"/>
        <w:left w:val="none" w:sz="0" w:space="0" w:color="auto"/>
        <w:bottom w:val="none" w:sz="0" w:space="0" w:color="auto"/>
        <w:right w:val="none" w:sz="0" w:space="0" w:color="auto"/>
      </w:divBdr>
      <w:divsChild>
        <w:div w:id="1749186229">
          <w:marLeft w:val="0"/>
          <w:marRight w:val="0"/>
          <w:marTop w:val="0"/>
          <w:marBottom w:val="0"/>
          <w:divBdr>
            <w:top w:val="none" w:sz="0" w:space="0" w:color="auto"/>
            <w:left w:val="none" w:sz="0" w:space="0" w:color="auto"/>
            <w:bottom w:val="none" w:sz="0" w:space="0" w:color="auto"/>
            <w:right w:val="none" w:sz="0" w:space="0" w:color="auto"/>
          </w:divBdr>
        </w:div>
      </w:divsChild>
    </w:div>
    <w:div w:id="600113567">
      <w:bodyDiv w:val="1"/>
      <w:marLeft w:val="0"/>
      <w:marRight w:val="0"/>
      <w:marTop w:val="0"/>
      <w:marBottom w:val="0"/>
      <w:divBdr>
        <w:top w:val="none" w:sz="0" w:space="0" w:color="auto"/>
        <w:left w:val="none" w:sz="0" w:space="0" w:color="auto"/>
        <w:bottom w:val="none" w:sz="0" w:space="0" w:color="auto"/>
        <w:right w:val="none" w:sz="0" w:space="0" w:color="auto"/>
      </w:divBdr>
      <w:divsChild>
        <w:div w:id="238684518">
          <w:marLeft w:val="0"/>
          <w:marRight w:val="0"/>
          <w:marTop w:val="0"/>
          <w:marBottom w:val="0"/>
          <w:divBdr>
            <w:top w:val="none" w:sz="0" w:space="0" w:color="auto"/>
            <w:left w:val="none" w:sz="0" w:space="0" w:color="auto"/>
            <w:bottom w:val="none" w:sz="0" w:space="0" w:color="auto"/>
            <w:right w:val="none" w:sz="0" w:space="0" w:color="auto"/>
          </w:divBdr>
        </w:div>
      </w:divsChild>
    </w:div>
    <w:div w:id="613096713">
      <w:bodyDiv w:val="1"/>
      <w:marLeft w:val="0"/>
      <w:marRight w:val="0"/>
      <w:marTop w:val="0"/>
      <w:marBottom w:val="0"/>
      <w:divBdr>
        <w:top w:val="none" w:sz="0" w:space="0" w:color="auto"/>
        <w:left w:val="none" w:sz="0" w:space="0" w:color="auto"/>
        <w:bottom w:val="none" w:sz="0" w:space="0" w:color="auto"/>
        <w:right w:val="none" w:sz="0" w:space="0" w:color="auto"/>
      </w:divBdr>
      <w:divsChild>
        <w:div w:id="1579318809">
          <w:marLeft w:val="0"/>
          <w:marRight w:val="0"/>
          <w:marTop w:val="0"/>
          <w:marBottom w:val="0"/>
          <w:divBdr>
            <w:top w:val="none" w:sz="0" w:space="0" w:color="auto"/>
            <w:left w:val="none" w:sz="0" w:space="0" w:color="auto"/>
            <w:bottom w:val="none" w:sz="0" w:space="0" w:color="auto"/>
            <w:right w:val="none" w:sz="0" w:space="0" w:color="auto"/>
          </w:divBdr>
        </w:div>
      </w:divsChild>
    </w:div>
    <w:div w:id="650906323">
      <w:bodyDiv w:val="1"/>
      <w:marLeft w:val="0"/>
      <w:marRight w:val="0"/>
      <w:marTop w:val="0"/>
      <w:marBottom w:val="0"/>
      <w:divBdr>
        <w:top w:val="none" w:sz="0" w:space="0" w:color="auto"/>
        <w:left w:val="none" w:sz="0" w:space="0" w:color="auto"/>
        <w:bottom w:val="none" w:sz="0" w:space="0" w:color="auto"/>
        <w:right w:val="none" w:sz="0" w:space="0" w:color="auto"/>
      </w:divBdr>
    </w:div>
    <w:div w:id="708382111">
      <w:bodyDiv w:val="1"/>
      <w:marLeft w:val="0"/>
      <w:marRight w:val="0"/>
      <w:marTop w:val="0"/>
      <w:marBottom w:val="0"/>
      <w:divBdr>
        <w:top w:val="none" w:sz="0" w:space="0" w:color="auto"/>
        <w:left w:val="none" w:sz="0" w:space="0" w:color="auto"/>
        <w:bottom w:val="none" w:sz="0" w:space="0" w:color="auto"/>
        <w:right w:val="none" w:sz="0" w:space="0" w:color="auto"/>
      </w:divBdr>
      <w:divsChild>
        <w:div w:id="1800032670">
          <w:marLeft w:val="0"/>
          <w:marRight w:val="0"/>
          <w:marTop w:val="0"/>
          <w:marBottom w:val="0"/>
          <w:divBdr>
            <w:top w:val="none" w:sz="0" w:space="0" w:color="auto"/>
            <w:left w:val="none" w:sz="0" w:space="0" w:color="auto"/>
            <w:bottom w:val="none" w:sz="0" w:space="0" w:color="auto"/>
            <w:right w:val="none" w:sz="0" w:space="0" w:color="auto"/>
          </w:divBdr>
        </w:div>
      </w:divsChild>
    </w:div>
    <w:div w:id="711922879">
      <w:bodyDiv w:val="1"/>
      <w:marLeft w:val="0"/>
      <w:marRight w:val="0"/>
      <w:marTop w:val="0"/>
      <w:marBottom w:val="0"/>
      <w:divBdr>
        <w:top w:val="none" w:sz="0" w:space="0" w:color="auto"/>
        <w:left w:val="none" w:sz="0" w:space="0" w:color="auto"/>
        <w:bottom w:val="none" w:sz="0" w:space="0" w:color="auto"/>
        <w:right w:val="none" w:sz="0" w:space="0" w:color="auto"/>
      </w:divBdr>
    </w:div>
    <w:div w:id="729890867">
      <w:bodyDiv w:val="1"/>
      <w:marLeft w:val="0"/>
      <w:marRight w:val="0"/>
      <w:marTop w:val="0"/>
      <w:marBottom w:val="0"/>
      <w:divBdr>
        <w:top w:val="none" w:sz="0" w:space="0" w:color="auto"/>
        <w:left w:val="none" w:sz="0" w:space="0" w:color="auto"/>
        <w:bottom w:val="none" w:sz="0" w:space="0" w:color="auto"/>
        <w:right w:val="none" w:sz="0" w:space="0" w:color="auto"/>
      </w:divBdr>
      <w:divsChild>
        <w:div w:id="216820715">
          <w:marLeft w:val="0"/>
          <w:marRight w:val="0"/>
          <w:marTop w:val="0"/>
          <w:marBottom w:val="0"/>
          <w:divBdr>
            <w:top w:val="none" w:sz="0" w:space="0" w:color="auto"/>
            <w:left w:val="none" w:sz="0" w:space="0" w:color="auto"/>
            <w:bottom w:val="none" w:sz="0" w:space="0" w:color="auto"/>
            <w:right w:val="none" w:sz="0" w:space="0" w:color="auto"/>
          </w:divBdr>
        </w:div>
      </w:divsChild>
    </w:div>
    <w:div w:id="767118958">
      <w:bodyDiv w:val="1"/>
      <w:marLeft w:val="0"/>
      <w:marRight w:val="0"/>
      <w:marTop w:val="0"/>
      <w:marBottom w:val="0"/>
      <w:divBdr>
        <w:top w:val="none" w:sz="0" w:space="0" w:color="auto"/>
        <w:left w:val="none" w:sz="0" w:space="0" w:color="auto"/>
        <w:bottom w:val="none" w:sz="0" w:space="0" w:color="auto"/>
        <w:right w:val="none" w:sz="0" w:space="0" w:color="auto"/>
      </w:divBdr>
    </w:div>
    <w:div w:id="804393036">
      <w:bodyDiv w:val="1"/>
      <w:marLeft w:val="0"/>
      <w:marRight w:val="0"/>
      <w:marTop w:val="0"/>
      <w:marBottom w:val="0"/>
      <w:divBdr>
        <w:top w:val="none" w:sz="0" w:space="0" w:color="auto"/>
        <w:left w:val="none" w:sz="0" w:space="0" w:color="auto"/>
        <w:bottom w:val="none" w:sz="0" w:space="0" w:color="auto"/>
        <w:right w:val="none" w:sz="0" w:space="0" w:color="auto"/>
      </w:divBdr>
      <w:divsChild>
        <w:div w:id="1284389089">
          <w:marLeft w:val="0"/>
          <w:marRight w:val="0"/>
          <w:marTop w:val="0"/>
          <w:marBottom w:val="0"/>
          <w:divBdr>
            <w:top w:val="none" w:sz="0" w:space="0" w:color="auto"/>
            <w:left w:val="none" w:sz="0" w:space="0" w:color="auto"/>
            <w:bottom w:val="none" w:sz="0" w:space="0" w:color="auto"/>
            <w:right w:val="none" w:sz="0" w:space="0" w:color="auto"/>
          </w:divBdr>
        </w:div>
      </w:divsChild>
    </w:div>
    <w:div w:id="893585122">
      <w:bodyDiv w:val="1"/>
      <w:marLeft w:val="0"/>
      <w:marRight w:val="0"/>
      <w:marTop w:val="0"/>
      <w:marBottom w:val="0"/>
      <w:divBdr>
        <w:top w:val="none" w:sz="0" w:space="0" w:color="auto"/>
        <w:left w:val="none" w:sz="0" w:space="0" w:color="auto"/>
        <w:bottom w:val="none" w:sz="0" w:space="0" w:color="auto"/>
        <w:right w:val="none" w:sz="0" w:space="0" w:color="auto"/>
      </w:divBdr>
    </w:div>
    <w:div w:id="896089630">
      <w:bodyDiv w:val="1"/>
      <w:marLeft w:val="0"/>
      <w:marRight w:val="0"/>
      <w:marTop w:val="0"/>
      <w:marBottom w:val="0"/>
      <w:divBdr>
        <w:top w:val="none" w:sz="0" w:space="0" w:color="auto"/>
        <w:left w:val="none" w:sz="0" w:space="0" w:color="auto"/>
        <w:bottom w:val="none" w:sz="0" w:space="0" w:color="auto"/>
        <w:right w:val="none" w:sz="0" w:space="0" w:color="auto"/>
      </w:divBdr>
      <w:divsChild>
        <w:div w:id="1272123514">
          <w:marLeft w:val="0"/>
          <w:marRight w:val="0"/>
          <w:marTop w:val="0"/>
          <w:marBottom w:val="0"/>
          <w:divBdr>
            <w:top w:val="none" w:sz="0" w:space="0" w:color="auto"/>
            <w:left w:val="none" w:sz="0" w:space="0" w:color="auto"/>
            <w:bottom w:val="none" w:sz="0" w:space="0" w:color="auto"/>
            <w:right w:val="none" w:sz="0" w:space="0" w:color="auto"/>
          </w:divBdr>
        </w:div>
      </w:divsChild>
    </w:div>
    <w:div w:id="908811025">
      <w:bodyDiv w:val="1"/>
      <w:marLeft w:val="0"/>
      <w:marRight w:val="0"/>
      <w:marTop w:val="0"/>
      <w:marBottom w:val="0"/>
      <w:divBdr>
        <w:top w:val="none" w:sz="0" w:space="0" w:color="auto"/>
        <w:left w:val="none" w:sz="0" w:space="0" w:color="auto"/>
        <w:bottom w:val="none" w:sz="0" w:space="0" w:color="auto"/>
        <w:right w:val="none" w:sz="0" w:space="0" w:color="auto"/>
      </w:divBdr>
      <w:divsChild>
        <w:div w:id="1766610751">
          <w:marLeft w:val="0"/>
          <w:marRight w:val="0"/>
          <w:marTop w:val="0"/>
          <w:marBottom w:val="0"/>
          <w:divBdr>
            <w:top w:val="none" w:sz="0" w:space="0" w:color="auto"/>
            <w:left w:val="none" w:sz="0" w:space="0" w:color="auto"/>
            <w:bottom w:val="none" w:sz="0" w:space="0" w:color="auto"/>
            <w:right w:val="none" w:sz="0" w:space="0" w:color="auto"/>
          </w:divBdr>
        </w:div>
      </w:divsChild>
    </w:div>
    <w:div w:id="920482419">
      <w:bodyDiv w:val="1"/>
      <w:marLeft w:val="0"/>
      <w:marRight w:val="0"/>
      <w:marTop w:val="0"/>
      <w:marBottom w:val="0"/>
      <w:divBdr>
        <w:top w:val="none" w:sz="0" w:space="0" w:color="auto"/>
        <w:left w:val="none" w:sz="0" w:space="0" w:color="auto"/>
        <w:bottom w:val="none" w:sz="0" w:space="0" w:color="auto"/>
        <w:right w:val="none" w:sz="0" w:space="0" w:color="auto"/>
      </w:divBdr>
      <w:divsChild>
        <w:div w:id="1333528898">
          <w:marLeft w:val="0"/>
          <w:marRight w:val="0"/>
          <w:marTop w:val="0"/>
          <w:marBottom w:val="0"/>
          <w:divBdr>
            <w:top w:val="none" w:sz="0" w:space="0" w:color="auto"/>
            <w:left w:val="none" w:sz="0" w:space="0" w:color="auto"/>
            <w:bottom w:val="none" w:sz="0" w:space="0" w:color="auto"/>
            <w:right w:val="none" w:sz="0" w:space="0" w:color="auto"/>
          </w:divBdr>
        </w:div>
      </w:divsChild>
    </w:div>
    <w:div w:id="1013991823">
      <w:bodyDiv w:val="1"/>
      <w:marLeft w:val="0"/>
      <w:marRight w:val="0"/>
      <w:marTop w:val="0"/>
      <w:marBottom w:val="0"/>
      <w:divBdr>
        <w:top w:val="none" w:sz="0" w:space="0" w:color="auto"/>
        <w:left w:val="none" w:sz="0" w:space="0" w:color="auto"/>
        <w:bottom w:val="none" w:sz="0" w:space="0" w:color="auto"/>
        <w:right w:val="none" w:sz="0" w:space="0" w:color="auto"/>
      </w:divBdr>
      <w:divsChild>
        <w:div w:id="1632708572">
          <w:marLeft w:val="0"/>
          <w:marRight w:val="0"/>
          <w:marTop w:val="0"/>
          <w:marBottom w:val="0"/>
          <w:divBdr>
            <w:top w:val="none" w:sz="0" w:space="0" w:color="auto"/>
            <w:left w:val="none" w:sz="0" w:space="0" w:color="auto"/>
            <w:bottom w:val="none" w:sz="0" w:space="0" w:color="auto"/>
            <w:right w:val="none" w:sz="0" w:space="0" w:color="auto"/>
          </w:divBdr>
        </w:div>
      </w:divsChild>
    </w:div>
    <w:div w:id="1048533120">
      <w:bodyDiv w:val="1"/>
      <w:marLeft w:val="0"/>
      <w:marRight w:val="0"/>
      <w:marTop w:val="0"/>
      <w:marBottom w:val="0"/>
      <w:divBdr>
        <w:top w:val="none" w:sz="0" w:space="0" w:color="auto"/>
        <w:left w:val="none" w:sz="0" w:space="0" w:color="auto"/>
        <w:bottom w:val="none" w:sz="0" w:space="0" w:color="auto"/>
        <w:right w:val="none" w:sz="0" w:space="0" w:color="auto"/>
      </w:divBdr>
      <w:divsChild>
        <w:div w:id="1944722425">
          <w:marLeft w:val="0"/>
          <w:marRight w:val="0"/>
          <w:marTop w:val="0"/>
          <w:marBottom w:val="0"/>
          <w:divBdr>
            <w:top w:val="none" w:sz="0" w:space="0" w:color="auto"/>
            <w:left w:val="none" w:sz="0" w:space="0" w:color="auto"/>
            <w:bottom w:val="none" w:sz="0" w:space="0" w:color="auto"/>
            <w:right w:val="none" w:sz="0" w:space="0" w:color="auto"/>
          </w:divBdr>
        </w:div>
      </w:divsChild>
    </w:div>
    <w:div w:id="1076828053">
      <w:bodyDiv w:val="1"/>
      <w:marLeft w:val="0"/>
      <w:marRight w:val="0"/>
      <w:marTop w:val="0"/>
      <w:marBottom w:val="0"/>
      <w:divBdr>
        <w:top w:val="none" w:sz="0" w:space="0" w:color="auto"/>
        <w:left w:val="none" w:sz="0" w:space="0" w:color="auto"/>
        <w:bottom w:val="none" w:sz="0" w:space="0" w:color="auto"/>
        <w:right w:val="none" w:sz="0" w:space="0" w:color="auto"/>
      </w:divBdr>
      <w:divsChild>
        <w:div w:id="246697437">
          <w:marLeft w:val="0"/>
          <w:marRight w:val="0"/>
          <w:marTop w:val="0"/>
          <w:marBottom w:val="0"/>
          <w:divBdr>
            <w:top w:val="none" w:sz="0" w:space="0" w:color="auto"/>
            <w:left w:val="none" w:sz="0" w:space="0" w:color="auto"/>
            <w:bottom w:val="none" w:sz="0" w:space="0" w:color="auto"/>
            <w:right w:val="none" w:sz="0" w:space="0" w:color="auto"/>
          </w:divBdr>
        </w:div>
      </w:divsChild>
    </w:div>
    <w:div w:id="1159617627">
      <w:bodyDiv w:val="1"/>
      <w:marLeft w:val="0"/>
      <w:marRight w:val="0"/>
      <w:marTop w:val="0"/>
      <w:marBottom w:val="0"/>
      <w:divBdr>
        <w:top w:val="none" w:sz="0" w:space="0" w:color="auto"/>
        <w:left w:val="none" w:sz="0" w:space="0" w:color="auto"/>
        <w:bottom w:val="none" w:sz="0" w:space="0" w:color="auto"/>
        <w:right w:val="none" w:sz="0" w:space="0" w:color="auto"/>
      </w:divBdr>
      <w:divsChild>
        <w:div w:id="974944927">
          <w:marLeft w:val="0"/>
          <w:marRight w:val="0"/>
          <w:marTop w:val="0"/>
          <w:marBottom w:val="0"/>
          <w:divBdr>
            <w:top w:val="none" w:sz="0" w:space="0" w:color="auto"/>
            <w:left w:val="none" w:sz="0" w:space="0" w:color="auto"/>
            <w:bottom w:val="none" w:sz="0" w:space="0" w:color="auto"/>
            <w:right w:val="none" w:sz="0" w:space="0" w:color="auto"/>
          </w:divBdr>
        </w:div>
      </w:divsChild>
    </w:div>
    <w:div w:id="1202328758">
      <w:bodyDiv w:val="1"/>
      <w:marLeft w:val="0"/>
      <w:marRight w:val="0"/>
      <w:marTop w:val="0"/>
      <w:marBottom w:val="0"/>
      <w:divBdr>
        <w:top w:val="none" w:sz="0" w:space="0" w:color="auto"/>
        <w:left w:val="none" w:sz="0" w:space="0" w:color="auto"/>
        <w:bottom w:val="none" w:sz="0" w:space="0" w:color="auto"/>
        <w:right w:val="none" w:sz="0" w:space="0" w:color="auto"/>
      </w:divBdr>
    </w:div>
    <w:div w:id="1394812093">
      <w:bodyDiv w:val="1"/>
      <w:marLeft w:val="0"/>
      <w:marRight w:val="0"/>
      <w:marTop w:val="0"/>
      <w:marBottom w:val="0"/>
      <w:divBdr>
        <w:top w:val="none" w:sz="0" w:space="0" w:color="auto"/>
        <w:left w:val="none" w:sz="0" w:space="0" w:color="auto"/>
        <w:bottom w:val="none" w:sz="0" w:space="0" w:color="auto"/>
        <w:right w:val="none" w:sz="0" w:space="0" w:color="auto"/>
      </w:divBdr>
      <w:divsChild>
        <w:div w:id="1865553964">
          <w:marLeft w:val="0"/>
          <w:marRight w:val="0"/>
          <w:marTop w:val="0"/>
          <w:marBottom w:val="0"/>
          <w:divBdr>
            <w:top w:val="none" w:sz="0" w:space="0" w:color="auto"/>
            <w:left w:val="none" w:sz="0" w:space="0" w:color="auto"/>
            <w:bottom w:val="none" w:sz="0" w:space="0" w:color="auto"/>
            <w:right w:val="none" w:sz="0" w:space="0" w:color="auto"/>
          </w:divBdr>
        </w:div>
      </w:divsChild>
    </w:div>
    <w:div w:id="1448965711">
      <w:bodyDiv w:val="1"/>
      <w:marLeft w:val="0"/>
      <w:marRight w:val="0"/>
      <w:marTop w:val="0"/>
      <w:marBottom w:val="0"/>
      <w:divBdr>
        <w:top w:val="none" w:sz="0" w:space="0" w:color="auto"/>
        <w:left w:val="none" w:sz="0" w:space="0" w:color="auto"/>
        <w:bottom w:val="none" w:sz="0" w:space="0" w:color="auto"/>
        <w:right w:val="none" w:sz="0" w:space="0" w:color="auto"/>
      </w:divBdr>
      <w:divsChild>
        <w:div w:id="1805611058">
          <w:marLeft w:val="0"/>
          <w:marRight w:val="0"/>
          <w:marTop w:val="0"/>
          <w:marBottom w:val="0"/>
          <w:divBdr>
            <w:top w:val="none" w:sz="0" w:space="0" w:color="auto"/>
            <w:left w:val="none" w:sz="0" w:space="0" w:color="auto"/>
            <w:bottom w:val="none" w:sz="0" w:space="0" w:color="auto"/>
            <w:right w:val="none" w:sz="0" w:space="0" w:color="auto"/>
          </w:divBdr>
        </w:div>
      </w:divsChild>
    </w:div>
    <w:div w:id="1450663594">
      <w:bodyDiv w:val="1"/>
      <w:marLeft w:val="0"/>
      <w:marRight w:val="0"/>
      <w:marTop w:val="0"/>
      <w:marBottom w:val="0"/>
      <w:divBdr>
        <w:top w:val="none" w:sz="0" w:space="0" w:color="auto"/>
        <w:left w:val="none" w:sz="0" w:space="0" w:color="auto"/>
        <w:bottom w:val="none" w:sz="0" w:space="0" w:color="auto"/>
        <w:right w:val="none" w:sz="0" w:space="0" w:color="auto"/>
      </w:divBdr>
    </w:div>
    <w:div w:id="1587373827">
      <w:bodyDiv w:val="1"/>
      <w:marLeft w:val="0"/>
      <w:marRight w:val="0"/>
      <w:marTop w:val="0"/>
      <w:marBottom w:val="0"/>
      <w:divBdr>
        <w:top w:val="none" w:sz="0" w:space="0" w:color="auto"/>
        <w:left w:val="none" w:sz="0" w:space="0" w:color="auto"/>
        <w:bottom w:val="none" w:sz="0" w:space="0" w:color="auto"/>
        <w:right w:val="none" w:sz="0" w:space="0" w:color="auto"/>
      </w:divBdr>
      <w:divsChild>
        <w:div w:id="155727441">
          <w:marLeft w:val="0"/>
          <w:marRight w:val="0"/>
          <w:marTop w:val="0"/>
          <w:marBottom w:val="0"/>
          <w:divBdr>
            <w:top w:val="none" w:sz="0" w:space="0" w:color="auto"/>
            <w:left w:val="none" w:sz="0" w:space="0" w:color="auto"/>
            <w:bottom w:val="none" w:sz="0" w:space="0" w:color="auto"/>
            <w:right w:val="none" w:sz="0" w:space="0" w:color="auto"/>
          </w:divBdr>
        </w:div>
      </w:divsChild>
    </w:div>
    <w:div w:id="1606385456">
      <w:bodyDiv w:val="1"/>
      <w:marLeft w:val="0"/>
      <w:marRight w:val="0"/>
      <w:marTop w:val="0"/>
      <w:marBottom w:val="0"/>
      <w:divBdr>
        <w:top w:val="none" w:sz="0" w:space="0" w:color="auto"/>
        <w:left w:val="none" w:sz="0" w:space="0" w:color="auto"/>
        <w:bottom w:val="none" w:sz="0" w:space="0" w:color="auto"/>
        <w:right w:val="none" w:sz="0" w:space="0" w:color="auto"/>
      </w:divBdr>
      <w:divsChild>
        <w:div w:id="1976837652">
          <w:marLeft w:val="0"/>
          <w:marRight w:val="0"/>
          <w:marTop w:val="0"/>
          <w:marBottom w:val="0"/>
          <w:divBdr>
            <w:top w:val="none" w:sz="0" w:space="0" w:color="auto"/>
            <w:left w:val="none" w:sz="0" w:space="0" w:color="auto"/>
            <w:bottom w:val="none" w:sz="0" w:space="0" w:color="auto"/>
            <w:right w:val="none" w:sz="0" w:space="0" w:color="auto"/>
          </w:divBdr>
        </w:div>
      </w:divsChild>
    </w:div>
    <w:div w:id="1660579105">
      <w:bodyDiv w:val="1"/>
      <w:marLeft w:val="0"/>
      <w:marRight w:val="0"/>
      <w:marTop w:val="0"/>
      <w:marBottom w:val="0"/>
      <w:divBdr>
        <w:top w:val="none" w:sz="0" w:space="0" w:color="auto"/>
        <w:left w:val="none" w:sz="0" w:space="0" w:color="auto"/>
        <w:bottom w:val="none" w:sz="0" w:space="0" w:color="auto"/>
        <w:right w:val="none" w:sz="0" w:space="0" w:color="auto"/>
      </w:divBdr>
      <w:divsChild>
        <w:div w:id="185409874">
          <w:marLeft w:val="0"/>
          <w:marRight w:val="0"/>
          <w:marTop w:val="0"/>
          <w:marBottom w:val="0"/>
          <w:divBdr>
            <w:top w:val="none" w:sz="0" w:space="0" w:color="auto"/>
            <w:left w:val="none" w:sz="0" w:space="0" w:color="auto"/>
            <w:bottom w:val="none" w:sz="0" w:space="0" w:color="auto"/>
            <w:right w:val="none" w:sz="0" w:space="0" w:color="auto"/>
          </w:divBdr>
        </w:div>
      </w:divsChild>
    </w:div>
    <w:div w:id="1893498507">
      <w:bodyDiv w:val="1"/>
      <w:marLeft w:val="0"/>
      <w:marRight w:val="0"/>
      <w:marTop w:val="0"/>
      <w:marBottom w:val="0"/>
      <w:divBdr>
        <w:top w:val="none" w:sz="0" w:space="0" w:color="auto"/>
        <w:left w:val="none" w:sz="0" w:space="0" w:color="auto"/>
        <w:bottom w:val="none" w:sz="0" w:space="0" w:color="auto"/>
        <w:right w:val="none" w:sz="0" w:space="0" w:color="auto"/>
      </w:divBdr>
      <w:divsChild>
        <w:div w:id="2098404113">
          <w:marLeft w:val="0"/>
          <w:marRight w:val="0"/>
          <w:marTop w:val="0"/>
          <w:marBottom w:val="0"/>
          <w:divBdr>
            <w:top w:val="none" w:sz="0" w:space="0" w:color="auto"/>
            <w:left w:val="none" w:sz="0" w:space="0" w:color="auto"/>
            <w:bottom w:val="none" w:sz="0" w:space="0" w:color="auto"/>
            <w:right w:val="none" w:sz="0" w:space="0" w:color="auto"/>
          </w:divBdr>
        </w:div>
      </w:divsChild>
    </w:div>
    <w:div w:id="1979407904">
      <w:bodyDiv w:val="1"/>
      <w:marLeft w:val="0"/>
      <w:marRight w:val="0"/>
      <w:marTop w:val="0"/>
      <w:marBottom w:val="0"/>
      <w:divBdr>
        <w:top w:val="none" w:sz="0" w:space="0" w:color="auto"/>
        <w:left w:val="none" w:sz="0" w:space="0" w:color="auto"/>
        <w:bottom w:val="none" w:sz="0" w:space="0" w:color="auto"/>
        <w:right w:val="none" w:sz="0" w:space="0" w:color="auto"/>
      </w:divBdr>
      <w:divsChild>
        <w:div w:id="1521049953">
          <w:marLeft w:val="0"/>
          <w:marRight w:val="0"/>
          <w:marTop w:val="0"/>
          <w:marBottom w:val="0"/>
          <w:divBdr>
            <w:top w:val="none" w:sz="0" w:space="0" w:color="auto"/>
            <w:left w:val="none" w:sz="0" w:space="0" w:color="auto"/>
            <w:bottom w:val="none" w:sz="0" w:space="0" w:color="auto"/>
            <w:right w:val="none" w:sz="0" w:space="0" w:color="auto"/>
          </w:divBdr>
        </w:div>
      </w:divsChild>
    </w:div>
    <w:div w:id="2059275253">
      <w:bodyDiv w:val="1"/>
      <w:marLeft w:val="0"/>
      <w:marRight w:val="0"/>
      <w:marTop w:val="0"/>
      <w:marBottom w:val="0"/>
      <w:divBdr>
        <w:top w:val="none" w:sz="0" w:space="0" w:color="auto"/>
        <w:left w:val="none" w:sz="0" w:space="0" w:color="auto"/>
        <w:bottom w:val="none" w:sz="0" w:space="0" w:color="auto"/>
        <w:right w:val="none" w:sz="0" w:space="0" w:color="auto"/>
      </w:divBdr>
      <w:divsChild>
        <w:div w:id="113909652">
          <w:marLeft w:val="0"/>
          <w:marRight w:val="0"/>
          <w:marTop w:val="0"/>
          <w:marBottom w:val="0"/>
          <w:divBdr>
            <w:top w:val="none" w:sz="0" w:space="0" w:color="auto"/>
            <w:left w:val="none" w:sz="0" w:space="0" w:color="auto"/>
            <w:bottom w:val="none" w:sz="0" w:space="0" w:color="auto"/>
            <w:right w:val="none" w:sz="0" w:space="0" w:color="auto"/>
          </w:divBdr>
        </w:div>
      </w:divsChild>
    </w:div>
    <w:div w:id="2089228480">
      <w:bodyDiv w:val="1"/>
      <w:marLeft w:val="0"/>
      <w:marRight w:val="0"/>
      <w:marTop w:val="0"/>
      <w:marBottom w:val="0"/>
      <w:divBdr>
        <w:top w:val="none" w:sz="0" w:space="0" w:color="auto"/>
        <w:left w:val="none" w:sz="0" w:space="0" w:color="auto"/>
        <w:bottom w:val="none" w:sz="0" w:space="0" w:color="auto"/>
        <w:right w:val="none" w:sz="0" w:space="0" w:color="auto"/>
      </w:divBdr>
      <w:divsChild>
        <w:div w:id="833452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urnals.sagepub.com/doi/full/10.1177/0007650312439701" TargetMode="External"/><Relationship Id="rId18" Type="http://schemas.openxmlformats.org/officeDocument/2006/relationships/hyperlink" Target="https://download.microsoft.com/download/0/B/4/0B45C094-CAF2-4909-99FB-897BB65B4815/MS%202012%20Citizenship%20Report.pdf" TargetMode="External"/><Relationship Id="rId26" Type="http://schemas.openxmlformats.org/officeDocument/2006/relationships/hyperlink" Target="https://www.coca-colacompany.com/content/dam/company/us/en/reports/archive/sustainability-reports/2010-2011-sustainability-report.pdf" TargetMode="External"/><Relationship Id="rId39" Type="http://schemas.openxmlformats.org/officeDocument/2006/relationships/hyperlink" Target="https://www.jnj.com/media-center/press-releases/johnson-johnson-launches-healthy-future-2015-its-citizenship-and-sustainability-goals" TargetMode="External"/><Relationship Id="rId21" Type="http://schemas.openxmlformats.org/officeDocument/2006/relationships/hyperlink" Target="https://www.patagonia.com/on/demandware.static/sites-patagonia-us-Site/Library-Sites-PatagoniaShared/en_US/v1484248663834/PDF-Resources/2012_Enviro_Social_Initiatives.pdf" TargetMode="External"/><Relationship Id="rId34" Type="http://schemas.openxmlformats.org/officeDocument/2006/relationships/hyperlink" Target="https://www.bp.com/content/dam/bp/business-sites/en/global/corporate/pdfs/sustainability/archive/archived-reports-and-translations/2013/bp-sustainability-review-2013.pdf"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header" Target="header4.xml"/><Relationship Id="rId55"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s://link.springer.com/article/10.1007/s10551-014-2276-7" TargetMode="External"/><Relationship Id="rId17" Type="http://schemas.openxmlformats.org/officeDocument/2006/relationships/hyperlink" Target="https://www.unilever.com/files/92e850cf-299e-40ec-82ef-ca19e6f30a59/unilever-sustainable-living-plan-2010.pdf" TargetMode="External"/><Relationship Id="rId25" Type="http://schemas.openxmlformats.org/officeDocument/2006/relationships/hyperlink" Target="https://corporate.walmart.com/content/dam/walmart/documents/global-responsibility-report-archive/2014-global-responsibility-report.pdf" TargetMode="External"/><Relationship Id="rId33" Type="http://schemas.openxmlformats.org/officeDocument/2006/relationships/hyperlink" Target="https://www.shell.com/sustainability/sustainability-reporting-and-performance-data/sustainability-reports-archive/_jcr_content/root/main/section/simple/text.downloadapp.pdf/1619002237033/shell-sustainability-report-2015.pdf" TargetMode="External"/><Relationship Id="rId38" Type="http://schemas.openxmlformats.org/officeDocument/2006/relationships/hyperlink" Target="https://www.ibm.com/ibm/responsibility/2011/pdf/IBM_2011_Corporate_Responsibility_Report.pdf"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scholarship.org/uc/item/3k89n5b7" TargetMode="External"/><Relationship Id="rId20" Type="http://schemas.openxmlformats.org/officeDocument/2006/relationships/hyperlink" Target="https://www.apple.com/newsroom/pdfs/Apple_Environmental_Responsibility_Report_2014.pdf" TargetMode="External"/><Relationship Id="rId29" Type="http://schemas.openxmlformats.org/officeDocument/2006/relationships/hyperlink" Target="https://www.gm.com.cn/content/dam/company/cn/pdf/csr/2015_CSR_Report_EN.pdf" TargetMode="External"/><Relationship Id="rId41" Type="http://schemas.openxmlformats.org/officeDocument/2006/relationships/hyperlink" Target="https://www.toyota-global.com/sustainability/report/archive/sr15/pdf/sustainability_report15_full_en.pdf"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aee.org/en/Publications/newsletterdl.aspx?id=432" TargetMode="External"/><Relationship Id="rId24" Type="http://schemas.openxmlformats.org/officeDocument/2006/relationships/hyperlink" Target="https://assets.ctfassets.net/oggad6svuzkv/2YLbgvN5rOSwswwGAgkEEs/1e257a435ac70bfb9316aa24eb5d9b59/2013_Full_Sustainability_Report.pdf" TargetMode="External"/><Relationship Id="rId32" Type="http://schemas.openxmlformats.org/officeDocument/2006/relationships/hyperlink" Target="https://www.danone.com/content/dam/corp/global/danonecom/investors/en-all-publications/2014/integratedreports/Danone_RES2014_EN_01.pdf" TargetMode="External"/><Relationship Id="rId37" Type="http://schemas.openxmlformats.org/officeDocument/2006/relationships/hyperlink" Target="https://www.intel.com/content/dam/www/public/us/en/documents/corporate-responsibility/2016-corporate-responsibility-report.pdf" TargetMode="External"/><Relationship Id="rId40" Type="http://schemas.openxmlformats.org/officeDocument/2006/relationships/hyperlink" Target="https://multimedia.3m.com/mws/media/801452O/2012-sustainability-report.pdf" TargetMode="External"/><Relationship Id="rId45" Type="http://schemas.openxmlformats.org/officeDocument/2006/relationships/footer" Target="footer2.xml"/><Relationship Id="rId53"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papers.ssrn.com/sol3/papers.cfm?abstract_id=2775552" TargetMode="External"/><Relationship Id="rId23" Type="http://schemas.openxmlformats.org/officeDocument/2006/relationships/hyperlink" Target="https://stories.starbucks.com/uploads/2019/01/2015-global-responsibility-report.pdf" TargetMode="External"/><Relationship Id="rId28" Type="http://schemas.openxmlformats.org/officeDocument/2006/relationships/hyperlink" Target="https://www.ikea.com/cz/cs/files/pdf/7e/16/7e164668/sustainability_report_2014.pdf" TargetMode="External"/><Relationship Id="rId36" Type="http://schemas.openxmlformats.org/officeDocument/2006/relationships/hyperlink" Target="https://assets.new.siemens.com/siemens/assets/api/uuid:66f06a16-6515-419b-89ba-08889498260c/siemens-sustainability-report-2014.pdf" TargetMode="External"/><Relationship Id="rId49" Type="http://schemas.openxmlformats.org/officeDocument/2006/relationships/hyperlink" Target="https://en.wikipedia.org/wiki/Cigarettes" TargetMode="External"/><Relationship Id="rId57" Type="http://schemas.openxmlformats.org/officeDocument/2006/relationships/theme" Target="theme/theme1.xml"/><Relationship Id="rId10" Type="http://schemas.openxmlformats.org/officeDocument/2006/relationships/hyperlink" Target="https://link.springer.com/article/10.1007/s10551-015-2591-7" TargetMode="External"/><Relationship Id="rId19" Type="http://schemas.openxmlformats.org/officeDocument/2006/relationships/hyperlink" Target="https://sustainability.google/reports/google-2017-environmental-report/" TargetMode="External"/><Relationship Id="rId31" Type="http://schemas.openxmlformats.org/officeDocument/2006/relationships/hyperlink" Target="https://www.nestle.com/sites/default/files/asset-library/documents/library/documents/corporate_social_responsibility/nestle-csv-full-report-2016-en.pdf" TargetMode="External"/><Relationship Id="rId44" Type="http://schemas.openxmlformats.org/officeDocument/2006/relationships/footer" Target="footer1.xml"/><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journals.aom.org/doi/abs/10.5465/amp.2012.0123" TargetMode="External"/><Relationship Id="rId14" Type="http://schemas.openxmlformats.org/officeDocument/2006/relationships/hyperlink" Target="https://pubsonline.informs.org/doi/full/10.1287/orsc.2015.1039" TargetMode="External"/><Relationship Id="rId22" Type="http://schemas.openxmlformats.org/officeDocument/2006/relationships/hyperlink" Target="https://media.about.nike.com/files/6cbd26ae-7222-45f8-ae29-885429852268/FY16-17-Nike-Sustainable-Business-Report_FINAL.pdf" TargetMode="External"/><Relationship Id="rId27" Type="http://schemas.openxmlformats.org/officeDocument/2006/relationships/hyperlink" Target="https://www.pepsico.com/docs/default-source/sustainability-reporting/pepsico_2013_sustainability_report.pdf" TargetMode="External"/><Relationship Id="rId30" Type="http://schemas.openxmlformats.org/officeDocument/2006/relationships/hyperlink" Target="https://ophelia.sdsu.edu:8443/ford/09-14-2014/doc/sr12.pdf" TargetMode="External"/><Relationship Id="rId35" Type="http://schemas.openxmlformats.org/officeDocument/2006/relationships/hyperlink" Target="https://www.hsbc.com/-/files/hsbc/news-and-insight/2018/pdfs/171103-esg-supplement.pdf" TargetMode="External"/><Relationship Id="rId43" Type="http://schemas.openxmlformats.org/officeDocument/2006/relationships/header" Target="header2.xml"/><Relationship Id="rId48" Type="http://schemas.openxmlformats.org/officeDocument/2006/relationships/hyperlink" Target="https://en.wikipedia.org/wiki/Bakery" TargetMode="External"/><Relationship Id="rId56" Type="http://schemas.openxmlformats.org/officeDocument/2006/relationships/fontTable" Target="fontTable.xml"/><Relationship Id="rId8" Type="http://schemas.openxmlformats.org/officeDocument/2006/relationships/hyperlink" Target="https://escholarship.org/uc/item/3k89n5b7" TargetMode="External"/><Relationship Id="rId51" Type="http://schemas.openxmlformats.org/officeDocument/2006/relationships/header" Target="header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20FC-7DD9-4687-A91A-D6178EF76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4390</Words>
  <Characters>33296</Characters>
  <Application>Microsoft Office Word</Application>
  <DocSecurity>0</DocSecurity>
  <Lines>277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Priyanga R</cp:lastModifiedBy>
  <cp:revision>40</cp:revision>
  <dcterms:created xsi:type="dcterms:W3CDTF">2026-02-21T18:28:00Z</dcterms:created>
  <dcterms:modified xsi:type="dcterms:W3CDTF">2026-05-04T09:06:00Z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a3d68251-674f-4db3-9aba-f6b1f77fe56e</vt:lpwstr>
  </property>
</Properties>
</file>