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7D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Trajectories of body mass index, from adolescence to older adulthood, and pancreatic cancer risk; a population-based case-control study in Ontario, Canada</w:t>
      </w:r>
    </w:p>
    <w:p w:rsidR="00B15C57" w:rsidRPr="00A27DD4" w:rsidRDefault="00B15C57" w:rsidP="00B15C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Vanessa De Rubeis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, Michelle Cotterchio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2,4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, Brendan T. Smith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3,4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, Lauren E. Griffith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, Ayelet Borgida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, Steven Gallinger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5,6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, Sean Cleary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7,8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, Laura N. Anderson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1, 9</w:t>
      </w:r>
    </w:p>
    <w:p w:rsidR="00B15C57" w:rsidRPr="00A27DD4" w:rsidRDefault="00B15C57" w:rsidP="00B15C5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Department of Health Research Methods, Evidence, and Impact, McMaster University, Hamilton, ON, Canada</w:t>
      </w:r>
    </w:p>
    <w:p w:rsidR="00B15C57" w:rsidRPr="00A27DD4" w:rsidRDefault="00B15C57" w:rsidP="00B15C5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Prevention and Cancer Control, Cancer Care Ontario, Toronto, ON, Canada</w:t>
      </w:r>
    </w:p>
    <w:p w:rsidR="00B15C57" w:rsidRPr="00A27DD4" w:rsidRDefault="00B15C57" w:rsidP="00B15C5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Public Health Ontario, Toronto, ON, Canada</w:t>
      </w:r>
    </w:p>
    <w:p w:rsidR="00B15C57" w:rsidRPr="00A27DD4" w:rsidRDefault="00B15C57" w:rsidP="00B15C5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Dalla Lana School of Public Health, University of Toronto, Toronto, ON, Canada</w:t>
      </w:r>
    </w:p>
    <w:p w:rsidR="00B15C57" w:rsidRPr="00A27DD4" w:rsidRDefault="00B15C57" w:rsidP="00B15C5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5 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Division of General Surgery.</w:t>
      </w:r>
      <w:proofErr w:type="gramEnd"/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Toronto General Hospital, Toronto, ON, Canada</w:t>
      </w:r>
    </w:p>
    <w:p w:rsidR="00B15C57" w:rsidRPr="00A27DD4" w:rsidRDefault="00B15C57" w:rsidP="00B15C5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5 </w:t>
      </w:r>
      <w:proofErr w:type="spellStart"/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Lunenfeld-Tanenbaum</w:t>
      </w:r>
      <w:proofErr w:type="spellEnd"/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Research Institute, Mount Sinai Hospital, Toronto, ON, Canada</w:t>
      </w:r>
    </w:p>
    <w:p w:rsidR="00B15C57" w:rsidRPr="00A27DD4" w:rsidRDefault="00B15C57" w:rsidP="00B15C5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6 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Division of General Surgery.</w:t>
      </w:r>
      <w:proofErr w:type="gramEnd"/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Toronto General Hospital, Toronto, ON, Canada</w:t>
      </w:r>
    </w:p>
    <w:p w:rsidR="00B15C57" w:rsidRPr="00A27DD4" w:rsidRDefault="00B15C57" w:rsidP="00B15C5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Department of Surgery, University Health Network, University of Toronto, Toronto, ON, Canada</w:t>
      </w:r>
    </w:p>
    <w:p w:rsidR="00B15C57" w:rsidRPr="00A27DD4" w:rsidRDefault="00B15C57" w:rsidP="00B15C5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8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Division of Hepatobiliary and Pancreas Surgery, Mayo Clinic, Rochester, MN, USA</w:t>
      </w:r>
    </w:p>
    <w:p w:rsidR="00B15C57" w:rsidRPr="00A27DD4" w:rsidRDefault="00B15C57" w:rsidP="00B15C5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9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Child Health Evaluative Sciences, </w:t>
      </w:r>
      <w:proofErr w:type="gramStart"/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gramEnd"/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Hospital for Sick Children Research Institute, Toronto, ON, Canada </w:t>
      </w:r>
    </w:p>
    <w:p w:rsidR="00B15C57" w:rsidRPr="00A27DD4" w:rsidRDefault="00B15C57" w:rsidP="00B15C5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5C57" w:rsidRPr="00A27DD4" w:rsidRDefault="00B15C57" w:rsidP="00B15C57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27D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Corresponding Author: </w:t>
      </w:r>
      <w:r w:rsidRPr="00A27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Laura N Anderson, McMaster University, 1280 Main Street West, Hamilton ON, Canada, L8S4L8, 905-525-9140 x 21725, </w:t>
      </w:r>
      <w:hyperlink r:id="rId5" w:history="1">
        <w:r w:rsidRPr="00A27DD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ln.anderson@mcmaster.ca</w:t>
        </w:r>
      </w:hyperlink>
    </w:p>
    <w:p w:rsidR="00B15C57" w:rsidRPr="00A27DD4" w:rsidRDefault="00B15C57" w:rsidP="00B15C57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24BE" w:rsidRPr="00A27DD4" w:rsidRDefault="00CB7AF6">
      <w:pPr>
        <w:rPr>
          <w:color w:val="000000" w:themeColor="text1"/>
        </w:rPr>
      </w:pPr>
    </w:p>
    <w:p w:rsidR="00B15C57" w:rsidRPr="00A27DD4" w:rsidRDefault="00B15C57">
      <w:pPr>
        <w:rPr>
          <w:color w:val="000000" w:themeColor="text1"/>
        </w:rPr>
      </w:pPr>
    </w:p>
    <w:p w:rsidR="00B15C57" w:rsidRPr="00A27DD4" w:rsidRDefault="00B15C57">
      <w:pPr>
        <w:rPr>
          <w:color w:val="000000" w:themeColor="text1"/>
        </w:rPr>
      </w:pPr>
    </w:p>
    <w:p w:rsidR="00B15C57" w:rsidRPr="00A27DD4" w:rsidRDefault="00B15C57">
      <w:pPr>
        <w:rPr>
          <w:color w:val="000000" w:themeColor="text1"/>
        </w:rPr>
      </w:pPr>
    </w:p>
    <w:p w:rsidR="00B15C57" w:rsidRPr="00A27DD4" w:rsidRDefault="00B15C57">
      <w:pPr>
        <w:rPr>
          <w:color w:val="000000" w:themeColor="text1"/>
        </w:rPr>
      </w:pPr>
    </w:p>
    <w:p w:rsidR="00B15C57" w:rsidRPr="00A27DD4" w:rsidRDefault="00B15C57">
      <w:pPr>
        <w:rPr>
          <w:color w:val="000000" w:themeColor="text1"/>
        </w:rPr>
      </w:pPr>
    </w:p>
    <w:p w:rsidR="00B15C57" w:rsidRPr="00A27DD4" w:rsidRDefault="00B15C57">
      <w:pPr>
        <w:rPr>
          <w:color w:val="000000" w:themeColor="text1"/>
        </w:rPr>
      </w:pPr>
    </w:p>
    <w:p w:rsidR="00B15C57" w:rsidRPr="00A27DD4" w:rsidRDefault="00B15C57">
      <w:pPr>
        <w:rPr>
          <w:color w:val="000000" w:themeColor="text1"/>
        </w:rPr>
      </w:pPr>
    </w:p>
    <w:p w:rsidR="00B15C57" w:rsidRPr="00A27DD4" w:rsidRDefault="00B15C57">
      <w:pPr>
        <w:rPr>
          <w:color w:val="000000" w:themeColor="text1"/>
        </w:rPr>
      </w:pPr>
    </w:p>
    <w:p w:rsidR="00B15C57" w:rsidRPr="00A27DD4" w:rsidRDefault="00B15C57">
      <w:pPr>
        <w:rPr>
          <w:color w:val="000000" w:themeColor="text1"/>
        </w:rPr>
      </w:pPr>
    </w:p>
    <w:p w:rsidR="00B15C57" w:rsidRPr="00A27DD4" w:rsidRDefault="00B15C57">
      <w:pPr>
        <w:rPr>
          <w:color w:val="000000" w:themeColor="text1"/>
        </w:rPr>
      </w:pPr>
    </w:p>
    <w:p w:rsidR="00B15C57" w:rsidRPr="00A27DD4" w:rsidRDefault="00B15C57">
      <w:pPr>
        <w:rPr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color w:val="000000" w:themeColor="text1"/>
        </w:rPr>
      </w:pPr>
      <w:proofErr w:type="gramStart"/>
      <w:r w:rsidRPr="00A27DD4">
        <w:rPr>
          <w:rFonts w:ascii="Times New Roman" w:hAnsi="Times New Roman" w:cs="Times New Roman"/>
          <w:b/>
          <w:color w:val="000000" w:themeColor="text1"/>
        </w:rPr>
        <w:lastRenderedPageBreak/>
        <w:t>Table 1</w:t>
      </w:r>
      <w:bookmarkStart w:id="0" w:name="_GoBack"/>
      <w:bookmarkEnd w:id="0"/>
      <w:r w:rsidRPr="00A27DD4">
        <w:rPr>
          <w:rFonts w:ascii="Times New Roman" w:hAnsi="Times New Roman" w:cs="Times New Roman"/>
          <w:b/>
          <w:color w:val="000000" w:themeColor="text1"/>
        </w:rPr>
        <w:t>.</w:t>
      </w:r>
      <w:proofErr w:type="gramEnd"/>
      <w:r w:rsidRPr="00A27DD4">
        <w:rPr>
          <w:rFonts w:ascii="Times New Roman" w:hAnsi="Times New Roman" w:cs="Times New Roman"/>
          <w:color w:val="000000" w:themeColor="text1"/>
        </w:rPr>
        <w:t xml:space="preserve"> Odds Ratio Estimates for Latent BMI Trajectory Classes and Pancreatic Cancer among Cases Diagnosed in 2011-2013 and Controls Recruited in 2011, from Ontario, Canada, stratified by sex </w:t>
      </w: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2"/>
        <w:gridCol w:w="1057"/>
        <w:gridCol w:w="974"/>
        <w:gridCol w:w="1585"/>
        <w:gridCol w:w="1134"/>
        <w:gridCol w:w="1074"/>
        <w:gridCol w:w="1619"/>
      </w:tblGrid>
      <w:tr w:rsidR="00B15C57" w:rsidRPr="00A27DD4" w:rsidTr="00940F53">
        <w:tc>
          <w:tcPr>
            <w:tcW w:w="3042" w:type="dxa"/>
            <w:vMerge w:val="restart"/>
            <w:tcBorders>
              <w:top w:val="single" w:sz="4" w:space="0" w:color="auto"/>
            </w:tcBorders>
            <w:vAlign w:val="bottom"/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Trajectory Classes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FEMALE</w:t>
            </w:r>
          </w:p>
        </w:tc>
      </w:tr>
      <w:tr w:rsidR="00B15C57" w:rsidRPr="00A27DD4" w:rsidTr="00940F53">
        <w:tc>
          <w:tcPr>
            <w:tcW w:w="3042" w:type="dxa"/>
            <w:vMerge/>
            <w:tcBorders>
              <w:bottom w:val="single" w:sz="4" w:space="0" w:color="auto"/>
            </w:tcBorders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Cases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N=164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Controls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N=662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Cases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N=146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Controls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N=596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</w:tr>
      <w:tr w:rsidR="00B15C57" w:rsidRPr="00A27DD4" w:rsidTr="00940F53">
        <w:tc>
          <w:tcPr>
            <w:tcW w:w="3042" w:type="dxa"/>
            <w:tcBorders>
              <w:top w:val="single" w:sz="4" w:space="0" w:color="auto"/>
            </w:tcBorders>
            <w:vAlign w:val="center"/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stable-normal weight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974" w:type="dxa"/>
            <w:tcBorders>
              <w:top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585" w:type="dxa"/>
            <w:tcBorders>
              <w:top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1.00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074" w:type="dxa"/>
            <w:tcBorders>
              <w:top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</w:tr>
      <w:tr w:rsidR="00B15C57" w:rsidRPr="00A27DD4" w:rsidTr="00940F53">
        <w:tc>
          <w:tcPr>
            <w:tcW w:w="3042" w:type="dxa"/>
            <w:vAlign w:val="center"/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progressively overweight</w:t>
            </w:r>
          </w:p>
        </w:tc>
        <w:tc>
          <w:tcPr>
            <w:tcW w:w="1057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974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585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1.33 (0.83-2.16)</w:t>
            </w:r>
          </w:p>
        </w:tc>
        <w:tc>
          <w:tcPr>
            <w:tcW w:w="1134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074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619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 (0.66-1.68)</w:t>
            </w:r>
          </w:p>
        </w:tc>
      </w:tr>
      <w:tr w:rsidR="00B15C57" w:rsidRPr="00A27DD4" w:rsidTr="00940F53">
        <w:tc>
          <w:tcPr>
            <w:tcW w:w="3042" w:type="dxa"/>
            <w:vAlign w:val="center"/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persistent overweight</w:t>
            </w:r>
          </w:p>
        </w:tc>
        <w:tc>
          <w:tcPr>
            <w:tcW w:w="1057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974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585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2.58 (1.45-4.47)</w:t>
            </w:r>
          </w:p>
        </w:tc>
        <w:tc>
          <w:tcPr>
            <w:tcW w:w="1134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74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19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 (0.21-1.42)</w:t>
            </w:r>
          </w:p>
        </w:tc>
      </w:tr>
      <w:tr w:rsidR="00B15C57" w:rsidRPr="00A27DD4" w:rsidTr="00940F53">
        <w:tc>
          <w:tcPr>
            <w:tcW w:w="3042" w:type="dxa"/>
            <w:vAlign w:val="center"/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progressive obesity</w:t>
            </w:r>
          </w:p>
        </w:tc>
        <w:tc>
          <w:tcPr>
            <w:tcW w:w="1057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74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85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2.07 (0.76-5.62)</w:t>
            </w:r>
          </w:p>
        </w:tc>
        <w:tc>
          <w:tcPr>
            <w:tcW w:w="1134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74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19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1.43 (0.56-3.71)</w:t>
            </w:r>
          </w:p>
        </w:tc>
      </w:tr>
      <w:tr w:rsidR="00B15C57" w:rsidRPr="00A27DD4" w:rsidTr="00940F53">
        <w:tc>
          <w:tcPr>
            <w:tcW w:w="3042" w:type="dxa"/>
            <w:tcBorders>
              <w:bottom w:val="single" w:sz="4" w:space="0" w:color="auto"/>
            </w:tcBorders>
            <w:vAlign w:val="center"/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5: persistent obesity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 (0.04-2.30)</w:t>
            </w:r>
          </w:p>
        </w:tc>
      </w:tr>
    </w:tbl>
    <w:p w:rsidR="00B15C57" w:rsidRPr="00A27DD4" w:rsidRDefault="00B15C57" w:rsidP="00B15C57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27DD4">
        <w:rPr>
          <w:rFonts w:ascii="Times New Roman" w:hAnsi="Times New Roman" w:cs="Times New Roman"/>
          <w:color w:val="000000" w:themeColor="text1"/>
          <w:sz w:val="16"/>
          <w:szCs w:val="16"/>
        </w:rPr>
        <w:t>Adjusted for age group, sex, race, alcohol consumption, smoking, vegetable consumption, fruit consumption, red meat consumption, current moderate physical activity, current vigorous physical activity, family history of pancreatic cancer</w:t>
      </w:r>
    </w:p>
    <w:p w:rsidR="00B15C57" w:rsidRPr="00A27DD4" w:rsidRDefault="00B15C57" w:rsidP="00B15C57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27DD4">
        <w:rPr>
          <w:rFonts w:ascii="Times New Roman" w:hAnsi="Times New Roman" w:cs="Times New Roman"/>
          <w:color w:val="000000" w:themeColor="text1"/>
          <w:sz w:val="16"/>
          <w:szCs w:val="16"/>
        </w:rPr>
        <w:t>OR could not be estimated due to small cell size</w:t>
      </w: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b/>
          <w:color w:val="000000" w:themeColor="text1"/>
        </w:rPr>
      </w:pPr>
    </w:p>
    <w:p w:rsidR="00B15C57" w:rsidRPr="00A27DD4" w:rsidRDefault="00B15C57" w:rsidP="00B15C57">
      <w:pPr>
        <w:rPr>
          <w:rFonts w:ascii="Times New Roman" w:hAnsi="Times New Roman" w:cs="Times New Roman"/>
          <w:color w:val="000000" w:themeColor="text1"/>
        </w:rPr>
      </w:pPr>
      <w:proofErr w:type="gramStart"/>
      <w:r w:rsidRPr="00A27DD4">
        <w:rPr>
          <w:rFonts w:ascii="Times New Roman" w:hAnsi="Times New Roman" w:cs="Times New Roman"/>
          <w:b/>
          <w:color w:val="000000" w:themeColor="text1"/>
        </w:rPr>
        <w:lastRenderedPageBreak/>
        <w:t>Table 2.</w:t>
      </w:r>
      <w:proofErr w:type="gramEnd"/>
      <w:r w:rsidRPr="00A27DD4">
        <w:rPr>
          <w:rFonts w:ascii="Times New Roman" w:hAnsi="Times New Roman" w:cs="Times New Roman"/>
          <w:color w:val="000000" w:themeColor="text1"/>
        </w:rPr>
        <w:t xml:space="preserve"> Odds Ratio Estimates for Recalled Body Mass Index (BMI) by Age Period and Pancreatic Cancer among Cases Diagnosed in 2011-2013 and Controls Recruited in 2011, from Ontario, Canada, stratified by sex </w:t>
      </w:r>
    </w:p>
    <w:tbl>
      <w:tblPr>
        <w:tblStyle w:val="TableGrid"/>
        <w:tblW w:w="1020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1021"/>
        <w:gridCol w:w="1034"/>
        <w:gridCol w:w="1801"/>
        <w:gridCol w:w="992"/>
        <w:gridCol w:w="1215"/>
        <w:gridCol w:w="1904"/>
      </w:tblGrid>
      <w:tr w:rsidR="00B15C57" w:rsidRPr="00A27DD4" w:rsidTr="00940F53">
        <w:tc>
          <w:tcPr>
            <w:tcW w:w="2235" w:type="dxa"/>
            <w:vMerge w:val="restart"/>
            <w:tcBorders>
              <w:top w:val="single" w:sz="4" w:space="0" w:color="auto"/>
            </w:tcBorders>
            <w:vAlign w:val="bottom"/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Body Mass Index (kg/m</w:t>
            </w: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for various time periods</w:t>
            </w:r>
          </w:p>
        </w:tc>
        <w:tc>
          <w:tcPr>
            <w:tcW w:w="38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MALES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FEMALES</w:t>
            </w:r>
          </w:p>
        </w:tc>
      </w:tr>
      <w:tr w:rsidR="00B15C57" w:rsidRPr="00A27DD4" w:rsidTr="00940F53"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Cases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N=164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Controls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N=662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Cases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N=146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Controls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N=596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</w:tr>
      <w:tr w:rsidR="00B15C57" w:rsidRPr="00A27DD4" w:rsidTr="00940F53">
        <w:tc>
          <w:tcPr>
            <w:tcW w:w="2235" w:type="dxa"/>
            <w:tcBorders>
              <w:top w:val="single" w:sz="4" w:space="0" w:color="auto"/>
            </w:tcBorders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Adolescent </w:t>
            </w:r>
          </w:p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&lt;25.0</w:t>
            </w:r>
          </w:p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25.0-&lt;30.0</w:t>
            </w:r>
          </w:p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≥30.0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34" w:type="dxa"/>
            <w:tcBorders>
              <w:top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1.77 (1.10-2.85)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1.67 (0.47-5.93)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 (0.28-1.47)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 (0.04-2.54)</w:t>
            </w:r>
          </w:p>
        </w:tc>
      </w:tr>
      <w:tr w:rsidR="00B15C57" w:rsidRPr="00A27DD4" w:rsidTr="00940F53">
        <w:tc>
          <w:tcPr>
            <w:tcW w:w="2235" w:type="dxa"/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Young adulthood (20s) </w:t>
            </w:r>
          </w:p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&lt;25.0</w:t>
            </w:r>
          </w:p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25.0-&lt;30.0</w:t>
            </w:r>
          </w:p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≥30.0</w:t>
            </w:r>
          </w:p>
        </w:tc>
        <w:tc>
          <w:tcPr>
            <w:tcW w:w="1021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34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01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 (0.81-1.87)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2.69 (1.22-5.90)</w:t>
            </w:r>
          </w:p>
        </w:tc>
        <w:tc>
          <w:tcPr>
            <w:tcW w:w="992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15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04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 (0.28-1.26)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 (0.11-1.44)</w:t>
            </w:r>
          </w:p>
        </w:tc>
      </w:tr>
      <w:tr w:rsidR="00B15C57" w:rsidRPr="00A27DD4" w:rsidTr="00940F53">
        <w:tc>
          <w:tcPr>
            <w:tcW w:w="2235" w:type="dxa"/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Mid adulthood (30s-40s) </w:t>
            </w:r>
          </w:p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&lt;25.0</w:t>
            </w:r>
          </w:p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25.0-&lt;30.0</w:t>
            </w:r>
          </w:p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≥30.0</w:t>
            </w:r>
          </w:p>
        </w:tc>
        <w:tc>
          <w:tcPr>
            <w:tcW w:w="1021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034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801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1.41 (0.92-2.17)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2.30 (1.32-4.01)</w:t>
            </w:r>
          </w:p>
        </w:tc>
        <w:tc>
          <w:tcPr>
            <w:tcW w:w="992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15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04" w:type="dxa"/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 (0.72-1.99)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 (0.36-1.62)</w:t>
            </w:r>
          </w:p>
        </w:tc>
      </w:tr>
      <w:tr w:rsidR="00B15C57" w:rsidRPr="00A27DD4" w:rsidTr="00940F53">
        <w:tc>
          <w:tcPr>
            <w:tcW w:w="2235" w:type="dxa"/>
            <w:tcBorders>
              <w:bottom w:val="single" w:sz="4" w:space="0" w:color="auto"/>
            </w:tcBorders>
          </w:tcPr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Late adulthood (50s-60s)</w:t>
            </w:r>
          </w:p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&lt;25.0</w:t>
            </w:r>
          </w:p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25.0-&lt;30.0</w:t>
            </w:r>
          </w:p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≥30.0</w:t>
            </w:r>
          </w:p>
          <w:p w:rsidR="00B15C57" w:rsidRPr="00A27DD4" w:rsidRDefault="00B15C57" w:rsidP="00940F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Age not reached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 (0.54-1.47)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1.70 (0.96-3.00)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 (0.56-1.50)</w:t>
            </w:r>
          </w:p>
          <w:p w:rsidR="00B15C57" w:rsidRPr="00A27DD4" w:rsidRDefault="00B15C57" w:rsidP="00940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7D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 (0.43-1.37)</w:t>
            </w:r>
          </w:p>
        </w:tc>
      </w:tr>
    </w:tbl>
    <w:p w:rsidR="00B15C57" w:rsidRPr="00A27DD4" w:rsidRDefault="00B15C57" w:rsidP="00B15C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27DD4">
        <w:rPr>
          <w:rFonts w:ascii="Times New Roman" w:hAnsi="Times New Roman" w:cs="Times New Roman"/>
          <w:color w:val="000000" w:themeColor="text1"/>
          <w:sz w:val="16"/>
          <w:szCs w:val="16"/>
        </w:rPr>
        <w:t>Adjusted for age group, sex, race, alcohol consumption, smoking, vegetable consumption, fruit consumption, red meat consumption, current moderate physical activity, current vigorous physical activity, family history of pancreatic cancer</w:t>
      </w:r>
    </w:p>
    <w:p w:rsidR="00B15C57" w:rsidRPr="00A27DD4" w:rsidRDefault="00B15C57" w:rsidP="00B15C57">
      <w:pPr>
        <w:rPr>
          <w:rFonts w:ascii="Times New Roman" w:hAnsi="Times New Roman" w:cs="Times New Roman"/>
          <w:color w:val="000000" w:themeColor="text1"/>
        </w:rPr>
      </w:pPr>
    </w:p>
    <w:p w:rsidR="00B15C57" w:rsidRPr="00A27DD4" w:rsidRDefault="00B15C57">
      <w:pPr>
        <w:rPr>
          <w:color w:val="000000" w:themeColor="text1"/>
        </w:rPr>
      </w:pPr>
    </w:p>
    <w:sectPr w:rsidR="00B15C57" w:rsidRPr="00A27DD4" w:rsidSect="00A27D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006"/>
    <w:multiLevelType w:val="hybridMultilevel"/>
    <w:tmpl w:val="20B2A87A"/>
    <w:lvl w:ilvl="0" w:tplc="10090019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008" w:hanging="360"/>
      </w:pPr>
    </w:lvl>
    <w:lvl w:ilvl="2" w:tplc="1009001B" w:tentative="1">
      <w:start w:val="1"/>
      <w:numFmt w:val="lowerRoman"/>
      <w:lvlText w:val="%3."/>
      <w:lvlJc w:val="right"/>
      <w:pPr>
        <w:ind w:left="2728" w:hanging="180"/>
      </w:pPr>
    </w:lvl>
    <w:lvl w:ilvl="3" w:tplc="1009000F" w:tentative="1">
      <w:start w:val="1"/>
      <w:numFmt w:val="decimal"/>
      <w:lvlText w:val="%4."/>
      <w:lvlJc w:val="left"/>
      <w:pPr>
        <w:ind w:left="3448" w:hanging="360"/>
      </w:pPr>
    </w:lvl>
    <w:lvl w:ilvl="4" w:tplc="10090019" w:tentative="1">
      <w:start w:val="1"/>
      <w:numFmt w:val="lowerLetter"/>
      <w:lvlText w:val="%5."/>
      <w:lvlJc w:val="left"/>
      <w:pPr>
        <w:ind w:left="4168" w:hanging="360"/>
      </w:pPr>
    </w:lvl>
    <w:lvl w:ilvl="5" w:tplc="1009001B" w:tentative="1">
      <w:start w:val="1"/>
      <w:numFmt w:val="lowerRoman"/>
      <w:lvlText w:val="%6."/>
      <w:lvlJc w:val="right"/>
      <w:pPr>
        <w:ind w:left="4888" w:hanging="180"/>
      </w:pPr>
    </w:lvl>
    <w:lvl w:ilvl="6" w:tplc="1009000F" w:tentative="1">
      <w:start w:val="1"/>
      <w:numFmt w:val="decimal"/>
      <w:lvlText w:val="%7."/>
      <w:lvlJc w:val="left"/>
      <w:pPr>
        <w:ind w:left="5608" w:hanging="360"/>
      </w:pPr>
    </w:lvl>
    <w:lvl w:ilvl="7" w:tplc="10090019" w:tentative="1">
      <w:start w:val="1"/>
      <w:numFmt w:val="lowerLetter"/>
      <w:lvlText w:val="%8."/>
      <w:lvlJc w:val="left"/>
      <w:pPr>
        <w:ind w:left="6328" w:hanging="360"/>
      </w:pPr>
    </w:lvl>
    <w:lvl w:ilvl="8" w:tplc="10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21200AFC"/>
    <w:multiLevelType w:val="hybridMultilevel"/>
    <w:tmpl w:val="03B82BE2"/>
    <w:lvl w:ilvl="0" w:tplc="1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E60B7"/>
    <w:rsid w:val="00040B38"/>
    <w:rsid w:val="007E60B7"/>
    <w:rsid w:val="00A27DD4"/>
    <w:rsid w:val="00AC20F9"/>
    <w:rsid w:val="00B15C57"/>
    <w:rsid w:val="00FE0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C5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5C5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15C5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15C57"/>
    <w:pPr>
      <w:spacing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B15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n.anderson@mcmaster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De Rubeis</dc:creator>
  <cp:lastModifiedBy>0015577</cp:lastModifiedBy>
  <cp:revision>2</cp:revision>
  <dcterms:created xsi:type="dcterms:W3CDTF">2019-06-17T12:50:00Z</dcterms:created>
  <dcterms:modified xsi:type="dcterms:W3CDTF">2019-06-17T12:50:00Z</dcterms:modified>
</cp:coreProperties>
</file>