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1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835"/>
        <w:gridCol w:w="1417"/>
        <w:gridCol w:w="1238"/>
      </w:tblGrid>
      <w:tr w:rsidR="00606F7F" w:rsidRPr="007418FA" w14:paraId="101C32EF" w14:textId="77777777" w:rsidTr="006051A7">
        <w:trPr>
          <w:trHeight w:val="515"/>
        </w:trPr>
        <w:tc>
          <w:tcPr>
            <w:tcW w:w="9313" w:type="dxa"/>
            <w:gridSpan w:val="4"/>
            <w:tcBorders>
              <w:bottom w:val="single" w:sz="4" w:space="0" w:color="auto"/>
            </w:tcBorders>
          </w:tcPr>
          <w:p w14:paraId="18E7CFD1" w14:textId="21D25A15" w:rsidR="00606F7F" w:rsidRPr="004A5F90" w:rsidRDefault="00606F7F" w:rsidP="006051A7">
            <w:pPr>
              <w:spacing w:line="360" w:lineRule="auto"/>
              <w:rPr>
                <w:rFonts w:ascii="Times New Roman" w:hAnsi="Times New Roman" w:cs="Times New Roman"/>
                <w:b/>
                <w:bCs/>
                <w:sz w:val="24"/>
                <w:szCs w:val="24"/>
              </w:rPr>
            </w:pPr>
            <w:bookmarkStart w:id="0" w:name="_GoBack"/>
            <w:bookmarkEnd w:id="0"/>
            <w:r w:rsidRPr="004A5F90">
              <w:rPr>
                <w:rFonts w:ascii="Times New Roman" w:hAnsi="Times New Roman" w:cs="Times New Roman"/>
                <w:b/>
                <w:bCs/>
                <w:sz w:val="24"/>
                <w:szCs w:val="24"/>
              </w:rPr>
              <w:t xml:space="preserve">Electronic supplementary material </w:t>
            </w:r>
            <w:r w:rsidR="00FB3166">
              <w:rPr>
                <w:rFonts w:ascii="Times New Roman" w:hAnsi="Times New Roman" w:cs="Times New Roman"/>
                <w:b/>
                <w:bCs/>
                <w:sz w:val="24"/>
                <w:szCs w:val="24"/>
              </w:rPr>
              <w:t>4</w:t>
            </w:r>
            <w:r w:rsidRPr="004A5F90">
              <w:rPr>
                <w:rFonts w:ascii="Times New Roman" w:hAnsi="Times New Roman" w:cs="Times New Roman"/>
                <w:b/>
                <w:bCs/>
                <w:sz w:val="24"/>
                <w:szCs w:val="24"/>
              </w:rPr>
              <w:t xml:space="preserve">. </w:t>
            </w:r>
            <w:r w:rsidRPr="006201E0">
              <w:rPr>
                <w:rFonts w:ascii="Times New Roman" w:hAnsi="Times New Roman" w:cs="Times New Roman"/>
                <w:sz w:val="24"/>
                <w:szCs w:val="24"/>
              </w:rPr>
              <w:t>Leave-one-out sensitivity analys</w:t>
            </w:r>
            <w:r>
              <w:rPr>
                <w:rFonts w:ascii="Times New Roman" w:hAnsi="Times New Roman" w:cs="Times New Roman"/>
                <w:sz w:val="24"/>
                <w:szCs w:val="24"/>
              </w:rPr>
              <w:t>es on each meta-analysed outcome</w:t>
            </w:r>
          </w:p>
        </w:tc>
      </w:tr>
      <w:tr w:rsidR="00606F7F" w:rsidRPr="007418FA" w14:paraId="58C39C0F" w14:textId="77777777" w:rsidTr="006051A7">
        <w:trPr>
          <w:trHeight w:val="515"/>
        </w:trPr>
        <w:tc>
          <w:tcPr>
            <w:tcW w:w="3823" w:type="dxa"/>
            <w:tcBorders>
              <w:top w:val="single" w:sz="4" w:space="0" w:color="auto"/>
              <w:bottom w:val="single" w:sz="4" w:space="0" w:color="auto"/>
            </w:tcBorders>
          </w:tcPr>
          <w:p w14:paraId="24DAC288" w14:textId="77777777" w:rsidR="00606F7F" w:rsidRPr="007418FA" w:rsidRDefault="00606F7F" w:rsidP="006051A7">
            <w:pPr>
              <w:rPr>
                <w:rFonts w:ascii="Times New Roman" w:hAnsi="Times New Roman" w:cs="Times New Roman"/>
                <w:sz w:val="24"/>
                <w:szCs w:val="24"/>
              </w:rPr>
            </w:pPr>
          </w:p>
        </w:tc>
        <w:tc>
          <w:tcPr>
            <w:tcW w:w="2835" w:type="dxa"/>
            <w:tcBorders>
              <w:top w:val="single" w:sz="4" w:space="0" w:color="auto"/>
              <w:bottom w:val="single" w:sz="4" w:space="0" w:color="auto"/>
            </w:tcBorders>
          </w:tcPr>
          <w:p w14:paraId="7765AEB9"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Pooled treatment effect (95% CI)</w:t>
            </w:r>
          </w:p>
        </w:tc>
        <w:tc>
          <w:tcPr>
            <w:tcW w:w="1417" w:type="dxa"/>
            <w:tcBorders>
              <w:top w:val="single" w:sz="4" w:space="0" w:color="auto"/>
              <w:bottom w:val="single" w:sz="4" w:space="0" w:color="auto"/>
            </w:tcBorders>
          </w:tcPr>
          <w:p w14:paraId="12ECEED0" w14:textId="77777777" w:rsidR="00606F7F" w:rsidRPr="007418FA" w:rsidRDefault="00606F7F" w:rsidP="006051A7">
            <w:pPr>
              <w:jc w:val="right"/>
              <w:rPr>
                <w:rFonts w:ascii="Times New Roman" w:hAnsi="Times New Roman" w:cs="Times New Roman"/>
                <w:sz w:val="24"/>
                <w:szCs w:val="24"/>
              </w:rPr>
            </w:pPr>
            <w:r w:rsidRPr="000B07F3">
              <w:rPr>
                <w:rFonts w:ascii="Times New Roman" w:hAnsi="Times New Roman" w:cs="Times New Roman"/>
                <w:i/>
                <w:iCs/>
                <w:sz w:val="24"/>
                <w:szCs w:val="24"/>
              </w:rPr>
              <w:t>p</w:t>
            </w:r>
            <w:r>
              <w:rPr>
                <w:rFonts w:ascii="Times New Roman" w:hAnsi="Times New Roman" w:cs="Times New Roman"/>
                <w:sz w:val="24"/>
                <w:szCs w:val="24"/>
              </w:rPr>
              <w:t>-value</w:t>
            </w:r>
          </w:p>
        </w:tc>
        <w:tc>
          <w:tcPr>
            <w:tcW w:w="1238" w:type="dxa"/>
            <w:tcBorders>
              <w:top w:val="single" w:sz="4" w:space="0" w:color="auto"/>
              <w:bottom w:val="single" w:sz="4" w:space="0" w:color="auto"/>
            </w:tcBorders>
          </w:tcPr>
          <w:p w14:paraId="269261EE" w14:textId="77777777" w:rsidR="00606F7F" w:rsidRPr="00980655" w:rsidRDefault="00606F7F" w:rsidP="006051A7">
            <w:pPr>
              <w:jc w:val="right"/>
              <w:rPr>
                <w:rFonts w:ascii="Times New Roman" w:hAnsi="Times New Roman" w:cs="Times New Roman"/>
                <w:i/>
                <w:iCs/>
                <w:sz w:val="24"/>
                <w:szCs w:val="24"/>
              </w:rPr>
            </w:pPr>
            <w:r w:rsidRPr="00980655">
              <w:rPr>
                <w:rFonts w:ascii="Times New Roman" w:hAnsi="Times New Roman" w:cs="Times New Roman"/>
                <w:i/>
                <w:iCs/>
                <w:sz w:val="24"/>
                <w:szCs w:val="24"/>
              </w:rPr>
              <w:t>I</w:t>
            </w:r>
            <w:r w:rsidRPr="00980655">
              <w:rPr>
                <w:rFonts w:ascii="Times New Roman" w:hAnsi="Times New Roman" w:cs="Times New Roman"/>
                <w:i/>
                <w:iCs/>
                <w:sz w:val="24"/>
                <w:szCs w:val="24"/>
                <w:vertAlign w:val="superscript"/>
              </w:rPr>
              <w:t>2</w:t>
            </w:r>
          </w:p>
        </w:tc>
      </w:tr>
      <w:tr w:rsidR="00606F7F" w:rsidRPr="007418FA" w14:paraId="2D5890CA" w14:textId="77777777" w:rsidTr="006051A7">
        <w:trPr>
          <w:trHeight w:val="515"/>
        </w:trPr>
        <w:tc>
          <w:tcPr>
            <w:tcW w:w="3823" w:type="dxa"/>
            <w:tcBorders>
              <w:top w:val="single" w:sz="4" w:space="0" w:color="auto"/>
            </w:tcBorders>
            <w:shd w:val="clear" w:color="auto" w:fill="F2F2F2" w:themeFill="background1" w:themeFillShade="F2"/>
          </w:tcPr>
          <w:p w14:paraId="6346D8EB" w14:textId="77777777" w:rsidR="00606F7F" w:rsidRPr="007418FA" w:rsidRDefault="00606F7F" w:rsidP="006051A7">
            <w:pPr>
              <w:rPr>
                <w:rFonts w:ascii="Times New Roman" w:hAnsi="Times New Roman" w:cs="Times New Roman"/>
                <w:b/>
                <w:bCs/>
                <w:sz w:val="24"/>
                <w:szCs w:val="24"/>
              </w:rPr>
            </w:pPr>
            <w:r w:rsidRPr="007418FA">
              <w:rPr>
                <w:rFonts w:ascii="Times New Roman" w:hAnsi="Times New Roman" w:cs="Times New Roman"/>
                <w:b/>
                <w:bCs/>
                <w:sz w:val="24"/>
                <w:szCs w:val="24"/>
              </w:rPr>
              <w:t>Body mass (</w:t>
            </w:r>
            <w:r>
              <w:rPr>
                <w:rFonts w:ascii="Times New Roman" w:hAnsi="Times New Roman" w:cs="Times New Roman"/>
                <w:b/>
                <w:bCs/>
                <w:sz w:val="24"/>
                <w:szCs w:val="24"/>
              </w:rPr>
              <w:t xml:space="preserve">MD, </w:t>
            </w:r>
            <w:r w:rsidRPr="007418FA">
              <w:rPr>
                <w:rFonts w:ascii="Times New Roman" w:hAnsi="Times New Roman" w:cs="Times New Roman"/>
                <w:b/>
                <w:bCs/>
                <w:sz w:val="24"/>
                <w:szCs w:val="24"/>
              </w:rPr>
              <w:t>kg)</w:t>
            </w:r>
          </w:p>
        </w:tc>
        <w:tc>
          <w:tcPr>
            <w:tcW w:w="2835" w:type="dxa"/>
            <w:tcBorders>
              <w:top w:val="single" w:sz="4" w:space="0" w:color="auto"/>
            </w:tcBorders>
            <w:shd w:val="clear" w:color="auto" w:fill="F2F2F2" w:themeFill="background1" w:themeFillShade="F2"/>
          </w:tcPr>
          <w:p w14:paraId="2FFC97AC" w14:textId="77777777" w:rsidR="00606F7F" w:rsidRPr="007418FA" w:rsidRDefault="00606F7F" w:rsidP="006051A7">
            <w:pPr>
              <w:jc w:val="right"/>
              <w:rPr>
                <w:rFonts w:ascii="Times New Roman" w:hAnsi="Times New Roman" w:cs="Times New Roman"/>
                <w:sz w:val="24"/>
                <w:szCs w:val="24"/>
              </w:rPr>
            </w:pPr>
          </w:p>
        </w:tc>
        <w:tc>
          <w:tcPr>
            <w:tcW w:w="1417" w:type="dxa"/>
            <w:tcBorders>
              <w:top w:val="single" w:sz="4" w:space="0" w:color="auto"/>
            </w:tcBorders>
            <w:shd w:val="clear" w:color="auto" w:fill="F2F2F2" w:themeFill="background1" w:themeFillShade="F2"/>
          </w:tcPr>
          <w:p w14:paraId="08537555" w14:textId="77777777" w:rsidR="00606F7F" w:rsidRPr="007418FA" w:rsidRDefault="00606F7F" w:rsidP="006051A7">
            <w:pPr>
              <w:jc w:val="right"/>
              <w:rPr>
                <w:rFonts w:ascii="Times New Roman" w:hAnsi="Times New Roman" w:cs="Times New Roman"/>
                <w:sz w:val="24"/>
                <w:szCs w:val="24"/>
              </w:rPr>
            </w:pPr>
          </w:p>
        </w:tc>
        <w:tc>
          <w:tcPr>
            <w:tcW w:w="1238" w:type="dxa"/>
            <w:tcBorders>
              <w:top w:val="single" w:sz="4" w:space="0" w:color="auto"/>
            </w:tcBorders>
            <w:shd w:val="clear" w:color="auto" w:fill="F2F2F2" w:themeFill="background1" w:themeFillShade="F2"/>
          </w:tcPr>
          <w:p w14:paraId="04C8FB2D" w14:textId="77777777" w:rsidR="00606F7F" w:rsidRPr="007418FA" w:rsidRDefault="00606F7F" w:rsidP="006051A7">
            <w:pPr>
              <w:jc w:val="right"/>
              <w:rPr>
                <w:rFonts w:ascii="Times New Roman" w:hAnsi="Times New Roman" w:cs="Times New Roman"/>
                <w:sz w:val="24"/>
                <w:szCs w:val="24"/>
              </w:rPr>
            </w:pPr>
          </w:p>
        </w:tc>
      </w:tr>
      <w:tr w:rsidR="00606F7F" w:rsidRPr="007418FA" w14:paraId="4B71DE5E" w14:textId="77777777" w:rsidTr="006051A7">
        <w:trPr>
          <w:trHeight w:val="485"/>
        </w:trPr>
        <w:tc>
          <w:tcPr>
            <w:tcW w:w="3823" w:type="dxa"/>
            <w:shd w:val="clear" w:color="auto" w:fill="F2F2F2" w:themeFill="background1" w:themeFillShade="F2"/>
          </w:tcPr>
          <w:p w14:paraId="39B76C00" w14:textId="77777777" w:rsidR="00606F7F" w:rsidRPr="00902EB7" w:rsidRDefault="00606F7F" w:rsidP="006051A7">
            <w:pPr>
              <w:rPr>
                <w:rFonts w:ascii="Times New Roman" w:hAnsi="Times New Roman" w:cs="Times New Roman"/>
                <w:b/>
                <w:bCs/>
                <w:sz w:val="24"/>
                <w:szCs w:val="24"/>
              </w:rPr>
            </w:pPr>
            <w:r w:rsidRPr="00902EB7">
              <w:rPr>
                <w:rFonts w:ascii="Times New Roman" w:hAnsi="Times New Roman" w:cs="Times New Roman"/>
                <w:b/>
                <w:bCs/>
                <w:sz w:val="24"/>
                <w:szCs w:val="24"/>
              </w:rPr>
              <w:t>All studies included</w:t>
            </w:r>
          </w:p>
        </w:tc>
        <w:tc>
          <w:tcPr>
            <w:tcW w:w="2835" w:type="dxa"/>
            <w:shd w:val="clear" w:color="auto" w:fill="F2F2F2" w:themeFill="background1" w:themeFillShade="F2"/>
          </w:tcPr>
          <w:p w14:paraId="4CB714F0"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-1.6 (-2.7, -0.39)</w:t>
            </w:r>
          </w:p>
        </w:tc>
        <w:tc>
          <w:tcPr>
            <w:tcW w:w="1417" w:type="dxa"/>
            <w:shd w:val="clear" w:color="auto" w:fill="F2F2F2" w:themeFill="background1" w:themeFillShade="F2"/>
          </w:tcPr>
          <w:p w14:paraId="26AB2C55"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0.009</w:t>
            </w:r>
          </w:p>
        </w:tc>
        <w:tc>
          <w:tcPr>
            <w:tcW w:w="1238" w:type="dxa"/>
            <w:shd w:val="clear" w:color="auto" w:fill="F2F2F2" w:themeFill="background1" w:themeFillShade="F2"/>
          </w:tcPr>
          <w:p w14:paraId="0FD076FF" w14:textId="64E77676" w:rsidR="00606F7F" w:rsidRPr="00902EB7" w:rsidRDefault="00E57FAE"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8</w:t>
            </w:r>
            <w:r>
              <w:rPr>
                <w:rFonts w:ascii="Times New Roman" w:hAnsi="Times New Roman" w:cs="Times New Roman"/>
                <w:b/>
                <w:bCs/>
                <w:sz w:val="24"/>
                <w:szCs w:val="24"/>
              </w:rPr>
              <w:t>1</w:t>
            </w:r>
            <w:r w:rsidR="00606F7F" w:rsidRPr="00902EB7">
              <w:rPr>
                <w:rFonts w:ascii="Times New Roman" w:hAnsi="Times New Roman" w:cs="Times New Roman"/>
                <w:b/>
                <w:bCs/>
                <w:sz w:val="24"/>
                <w:szCs w:val="24"/>
              </w:rPr>
              <w:t>%</w:t>
            </w:r>
          </w:p>
        </w:tc>
      </w:tr>
      <w:tr w:rsidR="00606F7F" w:rsidRPr="007418FA" w14:paraId="24012311" w14:textId="77777777" w:rsidTr="006051A7">
        <w:trPr>
          <w:trHeight w:val="485"/>
        </w:trPr>
        <w:tc>
          <w:tcPr>
            <w:tcW w:w="3823" w:type="dxa"/>
            <w:shd w:val="clear" w:color="auto" w:fill="F2F2F2" w:themeFill="background1" w:themeFillShade="F2"/>
          </w:tcPr>
          <w:p w14:paraId="6A6C8BCC"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l1RAJMM","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shd w:val="clear" w:color="auto" w:fill="F2F2F2" w:themeFill="background1" w:themeFillShade="F2"/>
          </w:tcPr>
          <w:p w14:paraId="613BEE2B"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-1.1 (-2.2, 0.07)</w:t>
            </w:r>
          </w:p>
        </w:tc>
        <w:tc>
          <w:tcPr>
            <w:tcW w:w="1417" w:type="dxa"/>
            <w:shd w:val="clear" w:color="auto" w:fill="F2F2F2" w:themeFill="background1" w:themeFillShade="F2"/>
          </w:tcPr>
          <w:p w14:paraId="532CD863"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0.066</w:t>
            </w:r>
          </w:p>
        </w:tc>
        <w:tc>
          <w:tcPr>
            <w:tcW w:w="1238" w:type="dxa"/>
            <w:shd w:val="clear" w:color="auto" w:fill="F2F2F2" w:themeFill="background1" w:themeFillShade="F2"/>
          </w:tcPr>
          <w:p w14:paraId="7A7635F6"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68%</w:t>
            </w:r>
          </w:p>
        </w:tc>
      </w:tr>
      <w:tr w:rsidR="00606F7F" w:rsidRPr="007418FA" w14:paraId="5CAFDFCB" w14:textId="77777777" w:rsidTr="006051A7">
        <w:trPr>
          <w:trHeight w:val="515"/>
        </w:trPr>
        <w:tc>
          <w:tcPr>
            <w:tcW w:w="3823" w:type="dxa"/>
            <w:shd w:val="clear" w:color="auto" w:fill="F2F2F2" w:themeFill="background1" w:themeFillShade="F2"/>
          </w:tcPr>
          <w:p w14:paraId="5AAB1106"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BAMeYOp","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shd w:val="clear" w:color="auto" w:fill="F2F2F2" w:themeFill="background1" w:themeFillShade="F2"/>
          </w:tcPr>
          <w:p w14:paraId="6FB908D1"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-1.4 (-3.0, 0.14)</w:t>
            </w:r>
          </w:p>
        </w:tc>
        <w:tc>
          <w:tcPr>
            <w:tcW w:w="1417" w:type="dxa"/>
            <w:shd w:val="clear" w:color="auto" w:fill="F2F2F2" w:themeFill="background1" w:themeFillShade="F2"/>
          </w:tcPr>
          <w:p w14:paraId="28941A83"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0.074</w:t>
            </w:r>
          </w:p>
        </w:tc>
        <w:tc>
          <w:tcPr>
            <w:tcW w:w="1238" w:type="dxa"/>
            <w:shd w:val="clear" w:color="auto" w:fill="F2F2F2" w:themeFill="background1" w:themeFillShade="F2"/>
          </w:tcPr>
          <w:p w14:paraId="54C9CC4F"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87%</w:t>
            </w:r>
          </w:p>
        </w:tc>
      </w:tr>
      <w:tr w:rsidR="00606F7F" w:rsidRPr="007418FA" w14:paraId="04C6D3B9" w14:textId="77777777" w:rsidTr="006051A7">
        <w:trPr>
          <w:trHeight w:val="485"/>
        </w:trPr>
        <w:tc>
          <w:tcPr>
            <w:tcW w:w="3823" w:type="dxa"/>
            <w:shd w:val="clear" w:color="auto" w:fill="F2F2F2" w:themeFill="background1" w:themeFillShade="F2"/>
          </w:tcPr>
          <w:p w14:paraId="62295A91"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Lewis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53nIlbNM","properties":{"formattedCitation":"[32]","plainCitation":"[32]","noteIndex":0},"citationItems":[{"id":163,"uris":["http://zotero.org/users/6288582/items/YKY77ELW"],"uri":["http://zotero.org/users/6288582/items/YKY77ELW"],"itemData":{"id":163,"type":"article-journal","abstract":"This nonblinded randomized controlled trial investigated the efficacy of a physical activity (PA) intervention underpinned by self-determination theory. Participants (N = 31, mean age 69 years [SD = 4.9]) diagnosed with bowel polyps were randomized to an active lifestyle program (ALP; n = 17) or standard care (n = 14). ALP received supervised exercise and counseling for 6 months. Both groups were followed up at 12 months. Outcomes were change in PA and behavioral regulation. Data were analyzed with intention to treat. At 6 months, differences were observed for behavioral regulation in favor of ALP (p &lt; .05). PA differences were significant for leisure, walking, and vigorous in favor of ALP (p &lt; .05). The self-determination theory can be an effective strategy for promoting PA behavior change in this population, but a larger trial is needed to further explore the utility of the self-determination theory in this context.","container-title":"Journal of Aging and Physical Activity","DOI":"10.1123/japa.2018-0279","ISSN":"1543-267X","journalAbbreviation":"J Aging Phys Act","language":"eng","note":"PMID: 31188705","page":"1-11","source":"PubMed","title":"The Role of Self-Determination in Changing Physical Activity Behavior in People Diagnosed With Bowel Polyps: A Pilot Randomized Controlled Trial","title-short":"The Role of Self-Determination in Changing Physical Activity Behavior in People Diagnosed With Bowel Polyps","author":[{"family":"Lewis","given":"Liane S."},{"family":"Shaw","given":"Barnabas"},{"family":"Banerjee","given":"Srijit"},{"family":"Dieguez","given":"Pryscilla"},{"family":"Hernon","given":"James"},{"family":"Belshaw","given":"Nigel"},{"family":"Saxton","given":"John M."}],"issued":{"date-parts":[["2019",10,17]]}}}],"schema":"https://github.com/citation-style-language/schema/raw/master/csl-citation.json"}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[32]</w:t>
            </w:r>
            <w:r>
              <w:rPr>
                <w:rFonts w:ascii="Times New Roman" w:hAnsi="Times New Roman" w:cs="Times New Roman"/>
                <w:sz w:val="24"/>
                <w:szCs w:val="24"/>
              </w:rPr>
              <w:fldChar w:fldCharType="end"/>
            </w:r>
          </w:p>
        </w:tc>
        <w:tc>
          <w:tcPr>
            <w:tcW w:w="2835" w:type="dxa"/>
            <w:shd w:val="clear" w:color="auto" w:fill="F2F2F2" w:themeFill="background1" w:themeFillShade="F2"/>
          </w:tcPr>
          <w:p w14:paraId="67845520"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-1.6 (-3.1, -0.13)</w:t>
            </w:r>
          </w:p>
        </w:tc>
        <w:tc>
          <w:tcPr>
            <w:tcW w:w="1417" w:type="dxa"/>
            <w:shd w:val="clear" w:color="auto" w:fill="F2F2F2" w:themeFill="background1" w:themeFillShade="F2"/>
          </w:tcPr>
          <w:p w14:paraId="5AC28E68"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0.033</w:t>
            </w:r>
          </w:p>
        </w:tc>
        <w:tc>
          <w:tcPr>
            <w:tcW w:w="1238" w:type="dxa"/>
            <w:shd w:val="clear" w:color="auto" w:fill="F2F2F2" w:themeFill="background1" w:themeFillShade="F2"/>
          </w:tcPr>
          <w:p w14:paraId="74DE0731"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88%</w:t>
            </w:r>
          </w:p>
        </w:tc>
      </w:tr>
      <w:tr w:rsidR="00606F7F" w:rsidRPr="007418FA" w14:paraId="39053F42" w14:textId="77777777" w:rsidTr="006051A7">
        <w:trPr>
          <w:trHeight w:val="485"/>
        </w:trPr>
        <w:tc>
          <w:tcPr>
            <w:tcW w:w="3823" w:type="dxa"/>
            <w:shd w:val="clear" w:color="auto" w:fill="F2F2F2" w:themeFill="background1" w:themeFillShade="F2"/>
          </w:tcPr>
          <w:p w14:paraId="5AB5097E" w14:textId="77777777" w:rsidR="00606F7F" w:rsidRPr="007418FA" w:rsidRDefault="00606F7F" w:rsidP="006051A7">
            <w:pPr>
              <w:rPr>
                <w:rFonts w:ascii="Times New Roman" w:hAnsi="Times New Roman" w:cs="Times New Roman"/>
                <w:sz w:val="24"/>
                <w:szCs w:val="24"/>
              </w:rPr>
            </w:pPr>
            <w:r>
              <w:rPr>
                <w:rFonts w:ascii="Times New Roman" w:hAnsi="Times New Roman" w:cs="Times New Roman"/>
                <w:sz w:val="24"/>
                <w:szCs w:val="24"/>
              </w:rPr>
              <w:t>O</w:t>
            </w:r>
            <w:r w:rsidRPr="007418FA">
              <w:rPr>
                <w:rFonts w:ascii="Times New Roman" w:hAnsi="Times New Roman" w:cs="Times New Roman"/>
                <w:sz w:val="24"/>
                <w:szCs w:val="24"/>
              </w:rPr>
              <w:t xml:space="preserve">mitting Masala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R56ITFp","properties":{"formattedCitation":"[33]","plainCitation":"[33]","noteIndex":0},"citationItems":[{"id":154,"uris":["http://zotero.org/users/6288582/items/EX6XTRRL"],"uri":["http://zotero.org/users/6288582/items/EX6XTRRL"],"itemData":{"id":154,"type":"article-journal","abstract":"BACKGROUND: Few randomized trials have been carried out to evaluate the effect of lifestyle modifications on mammographic breast density (MBD). The randomized 2 × 2 factorial Diet, physical Activity and MAmmography trial aimed to evaluate whether MBD can be reduced in postmenopausal women with high baseline MBD by a 24-month dietary and/or physical activity (PA) interventions.\nMETHODS: We randomized healthy postmenopausal women, attending the Florence (Italy) mammographic screening program, ages 50 to 69 years, nonsmokers, with MBD &gt; 50% and no recent hormone therapy, to (i) a dietary intervention focused on plant foods, with a low glycemic load, low in saturated fats and alcohol; (ii) a PA intervention combining daily moderate intensity activities and one weekly supervised session of more strenuous activity; (iii) both interventions; (iv) general recommendations. We evaluated changes in MBD based on Volpara estimates comparing baseline and follow-up digital mammograms by an intention-to-treat-analysis.\nRESULTS: MBD measures were available for 226 participants. An interaction emerged between treatments and thus we run analyses by arms. A decrease in volumetric percent density emerged for women in the dietary intervention (ratio 0.91; 95% CI, 0.86-0.97; P = 0.002) and in the PA intervention arm (0.93; 95% CI, 0.87-0.98; P = 0.01) in comparison with controls. No clear effect emerged in the double intervention arm.\nCONCLUSIONS: This intervention trial suggests that a 24-month dietary or PA intervention may reduce MBD in postmenopausal women.\nIMPACT: A modification of dietary habits or an increase in PA in postmenopausal women may reduce MBD. Further studies are needed to confirm these findings for planning breast cancer preventive strategies.","container-title":"Cancer Epidemiology, Biomarkers &amp; Prevention: A Publication of the American Association for Cancer Research, Cosponsored by the American Society of Preventive Oncology","DOI":"10.1158/1055-9965.EPI-18-0468","ISSN":"1538-7755","issue":"1","journalAbbreviation":"Cancer Epidemiol. Biomarkers Prev.","language":"eng","note":"PMID: 30068518","page":"41-50","source":"PubMed","title":"Can Dietary and Physical Activity Modifications Reduce Breast Density in Postmenopausal Women? The DAMA Study, a Randomized Intervention Trial in Italy","title-short":"Can Dietary and Physical Activity Modifications Reduce Breast Density in Postmenopausal Women?","volume":"28","author":[{"family":"Masala","given":"Giovanna"},{"family":"Assedi","given":"Melania"},{"family":"Sera","given":"Francesco"},{"family":"Ermini","given":"Ilaria"},{"family":"Occhini","given":"Daniela"},{"family":"Castaldo","given":"Maria"},{"family":"Pierpaoli","given":"Elena"},{"family":"Caini","given":"Saverio"},{"family":"Bendinelli","given":"Benedetta"},{"family":"Ambrogetti","given":"Daniela"},{"family":"Palli","given":"Domenico"}],"issued":{"date-parts":[["2019"]]}}}],"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[33]</w:t>
            </w:r>
            <w:r>
              <w:rPr>
                <w:rFonts w:ascii="Times New Roman" w:hAnsi="Times New Roman" w:cs="Times New Roman"/>
                <w:sz w:val="24"/>
                <w:szCs w:val="24"/>
              </w:rPr>
              <w:fldChar w:fldCharType="end"/>
            </w:r>
          </w:p>
        </w:tc>
        <w:tc>
          <w:tcPr>
            <w:tcW w:w="2835" w:type="dxa"/>
            <w:shd w:val="clear" w:color="auto" w:fill="F2F2F2" w:themeFill="background1" w:themeFillShade="F2"/>
          </w:tcPr>
          <w:p w14:paraId="6E3A03D5"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-2.2 (-3.0, -1.50)</w:t>
            </w:r>
          </w:p>
        </w:tc>
        <w:tc>
          <w:tcPr>
            <w:tcW w:w="1417" w:type="dxa"/>
            <w:shd w:val="clear" w:color="auto" w:fill="F2F2F2" w:themeFill="background1" w:themeFillShade="F2"/>
          </w:tcPr>
          <w:p w14:paraId="42B1F325"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&lt;0.001</w:t>
            </w:r>
          </w:p>
        </w:tc>
        <w:tc>
          <w:tcPr>
            <w:tcW w:w="1238" w:type="dxa"/>
            <w:shd w:val="clear" w:color="auto" w:fill="F2F2F2" w:themeFill="background1" w:themeFillShade="F2"/>
          </w:tcPr>
          <w:p w14:paraId="3FC9BA84" w14:textId="77777777" w:rsidR="00606F7F" w:rsidRPr="007418FA" w:rsidRDefault="00606F7F" w:rsidP="006051A7">
            <w:pPr>
              <w:jc w:val="right"/>
              <w:rPr>
                <w:rFonts w:ascii="Times New Roman" w:hAnsi="Times New Roman" w:cs="Times New Roman"/>
                <w:sz w:val="24"/>
                <w:szCs w:val="24"/>
              </w:rPr>
            </w:pPr>
            <w:r>
              <w:rPr>
                <w:rFonts w:ascii="Times New Roman" w:hAnsi="Times New Roman" w:cs="Times New Roman"/>
                <w:sz w:val="24"/>
                <w:szCs w:val="24"/>
              </w:rPr>
              <w:t>7%</w:t>
            </w:r>
          </w:p>
        </w:tc>
      </w:tr>
      <w:tr w:rsidR="00606F7F" w:rsidRPr="007418FA" w14:paraId="7D50D87E" w14:textId="77777777" w:rsidTr="006051A7">
        <w:trPr>
          <w:trHeight w:val="485"/>
        </w:trPr>
        <w:tc>
          <w:tcPr>
            <w:tcW w:w="3823" w:type="dxa"/>
          </w:tcPr>
          <w:p w14:paraId="195890A2" w14:textId="77777777" w:rsidR="00606F7F" w:rsidRPr="003D6405" w:rsidRDefault="00606F7F" w:rsidP="006051A7">
            <w:pPr>
              <w:rPr>
                <w:rFonts w:ascii="Times New Roman" w:hAnsi="Times New Roman" w:cs="Times New Roman"/>
                <w:b/>
                <w:bCs/>
                <w:sz w:val="24"/>
                <w:szCs w:val="24"/>
              </w:rPr>
            </w:pPr>
            <w:r w:rsidRPr="003D6405">
              <w:rPr>
                <w:rFonts w:ascii="Times New Roman" w:hAnsi="Times New Roman" w:cs="Times New Roman"/>
                <w:b/>
                <w:bCs/>
                <w:sz w:val="24"/>
                <w:szCs w:val="24"/>
              </w:rPr>
              <w:t>BMI (MD, kg/m</w:t>
            </w:r>
            <w:r w:rsidRPr="003D6405">
              <w:rPr>
                <w:rFonts w:ascii="Times New Roman" w:hAnsi="Times New Roman" w:cs="Times New Roman"/>
                <w:b/>
                <w:bCs/>
                <w:sz w:val="24"/>
                <w:szCs w:val="24"/>
                <w:vertAlign w:val="superscript"/>
              </w:rPr>
              <w:t>2</w:t>
            </w:r>
            <w:r w:rsidRPr="003D6405">
              <w:rPr>
                <w:rFonts w:ascii="Times New Roman" w:hAnsi="Times New Roman" w:cs="Times New Roman"/>
                <w:b/>
                <w:bCs/>
                <w:sz w:val="24"/>
                <w:szCs w:val="24"/>
              </w:rPr>
              <w:t>)</w:t>
            </w:r>
          </w:p>
        </w:tc>
        <w:tc>
          <w:tcPr>
            <w:tcW w:w="2835" w:type="dxa"/>
          </w:tcPr>
          <w:p w14:paraId="75B15F87" w14:textId="77777777" w:rsidR="00606F7F" w:rsidRDefault="00606F7F" w:rsidP="006051A7">
            <w:pPr>
              <w:jc w:val="right"/>
              <w:rPr>
                <w:rFonts w:ascii="Times New Roman" w:hAnsi="Times New Roman" w:cs="Times New Roman"/>
                <w:sz w:val="24"/>
                <w:szCs w:val="24"/>
              </w:rPr>
            </w:pPr>
          </w:p>
        </w:tc>
        <w:tc>
          <w:tcPr>
            <w:tcW w:w="1417" w:type="dxa"/>
          </w:tcPr>
          <w:p w14:paraId="30AAC597" w14:textId="77777777" w:rsidR="00606F7F" w:rsidRDefault="00606F7F" w:rsidP="006051A7">
            <w:pPr>
              <w:jc w:val="right"/>
              <w:rPr>
                <w:rFonts w:ascii="Times New Roman" w:hAnsi="Times New Roman" w:cs="Times New Roman"/>
                <w:sz w:val="24"/>
                <w:szCs w:val="24"/>
              </w:rPr>
            </w:pPr>
          </w:p>
        </w:tc>
        <w:tc>
          <w:tcPr>
            <w:tcW w:w="1238" w:type="dxa"/>
          </w:tcPr>
          <w:p w14:paraId="226AFBF6" w14:textId="77777777" w:rsidR="00606F7F" w:rsidRDefault="00606F7F" w:rsidP="006051A7">
            <w:pPr>
              <w:jc w:val="right"/>
              <w:rPr>
                <w:rFonts w:ascii="Times New Roman" w:hAnsi="Times New Roman" w:cs="Times New Roman"/>
                <w:sz w:val="24"/>
                <w:szCs w:val="24"/>
              </w:rPr>
            </w:pPr>
          </w:p>
        </w:tc>
      </w:tr>
      <w:tr w:rsidR="00606F7F" w:rsidRPr="007418FA" w14:paraId="79887C64" w14:textId="77777777" w:rsidTr="006051A7">
        <w:trPr>
          <w:trHeight w:val="485"/>
        </w:trPr>
        <w:tc>
          <w:tcPr>
            <w:tcW w:w="3823" w:type="dxa"/>
          </w:tcPr>
          <w:p w14:paraId="218E4898" w14:textId="77777777" w:rsidR="00606F7F" w:rsidRPr="00902EB7" w:rsidRDefault="00606F7F" w:rsidP="006051A7">
            <w:pPr>
              <w:rPr>
                <w:rFonts w:ascii="Times New Roman" w:hAnsi="Times New Roman" w:cs="Times New Roman"/>
                <w:b/>
                <w:bCs/>
                <w:sz w:val="24"/>
                <w:szCs w:val="24"/>
              </w:rPr>
            </w:pPr>
            <w:r w:rsidRPr="00902EB7">
              <w:rPr>
                <w:rFonts w:ascii="Times New Roman" w:hAnsi="Times New Roman" w:cs="Times New Roman"/>
                <w:b/>
                <w:bCs/>
                <w:sz w:val="24"/>
                <w:szCs w:val="24"/>
              </w:rPr>
              <w:t>All studies included</w:t>
            </w:r>
          </w:p>
        </w:tc>
        <w:tc>
          <w:tcPr>
            <w:tcW w:w="2835" w:type="dxa"/>
          </w:tcPr>
          <w:p w14:paraId="6A83BB92"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-0.78 (-1.06, -0.50)</w:t>
            </w:r>
          </w:p>
        </w:tc>
        <w:tc>
          <w:tcPr>
            <w:tcW w:w="1417" w:type="dxa"/>
          </w:tcPr>
          <w:p w14:paraId="5ABFAD66"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&lt;0.001</w:t>
            </w:r>
          </w:p>
        </w:tc>
        <w:tc>
          <w:tcPr>
            <w:tcW w:w="1238" w:type="dxa"/>
          </w:tcPr>
          <w:p w14:paraId="066C0856"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22%</w:t>
            </w:r>
          </w:p>
        </w:tc>
      </w:tr>
      <w:tr w:rsidR="00606F7F" w:rsidRPr="007418FA" w14:paraId="35C29B74" w14:textId="77777777" w:rsidTr="006051A7">
        <w:trPr>
          <w:trHeight w:val="485"/>
        </w:trPr>
        <w:tc>
          <w:tcPr>
            <w:tcW w:w="3823" w:type="dxa"/>
          </w:tcPr>
          <w:p w14:paraId="04190E87"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HnGeXHZ","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tcPr>
          <w:p w14:paraId="504F10CE"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-0.62 (-0.99, -0.26)</w:t>
            </w:r>
          </w:p>
        </w:tc>
        <w:tc>
          <w:tcPr>
            <w:tcW w:w="1417" w:type="dxa"/>
          </w:tcPr>
          <w:p w14:paraId="04449EC8"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0.001</w:t>
            </w:r>
          </w:p>
        </w:tc>
        <w:tc>
          <w:tcPr>
            <w:tcW w:w="1238" w:type="dxa"/>
          </w:tcPr>
          <w:p w14:paraId="578C205E"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644FEAC8" w14:textId="77777777" w:rsidTr="006051A7">
        <w:trPr>
          <w:trHeight w:val="485"/>
        </w:trPr>
        <w:tc>
          <w:tcPr>
            <w:tcW w:w="3823" w:type="dxa"/>
          </w:tcPr>
          <w:p w14:paraId="05D27ACD"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6Jb3qd6j","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tcPr>
          <w:p w14:paraId="76BDACC9"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-0.73 (-1.3, -.20)</w:t>
            </w:r>
          </w:p>
        </w:tc>
        <w:tc>
          <w:tcPr>
            <w:tcW w:w="1417" w:type="dxa"/>
          </w:tcPr>
          <w:p w14:paraId="659AA290"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0.007</w:t>
            </w:r>
          </w:p>
        </w:tc>
        <w:tc>
          <w:tcPr>
            <w:tcW w:w="1238" w:type="dxa"/>
          </w:tcPr>
          <w:p w14:paraId="785B5EC7"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60%</w:t>
            </w:r>
          </w:p>
        </w:tc>
      </w:tr>
      <w:tr w:rsidR="00606F7F" w:rsidRPr="007418FA" w14:paraId="5A1A72B3" w14:textId="77777777" w:rsidTr="006051A7">
        <w:trPr>
          <w:trHeight w:val="485"/>
        </w:trPr>
        <w:tc>
          <w:tcPr>
            <w:tcW w:w="3823" w:type="dxa"/>
          </w:tcPr>
          <w:p w14:paraId="68EEE979"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Lewis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d50HOOR","properties":{"formattedCitation":"[32]","plainCitation":"[32]","noteIndex":0},"citationItems":[{"id":163,"uris":["http://zotero.org/users/6288582/items/YKY77ELW"],"uri":["http://zotero.org/users/6288582/items/YKY77ELW"],"itemData":{"id":163,"type":"article-journal","abstract":"This nonblinded randomized controlled trial investigated the efficacy of a physical activity (PA) intervention underpinned by self-determination theory. Participants (N = 31, mean age 69 years [SD = 4.9]) diagnosed with bowel polyps were randomized to an active lifestyle program (ALP; n = 17) or standard care (n = 14). ALP received supervised exercise and counseling for 6 months. Both groups were followed up at 12 months. Outcomes were change in PA and behavioral regulation. Data were analyzed with intention to treat. At 6 months, differences were observed for behavioral regulation in favor of ALP (p &lt; .05). PA differences were significant for leisure, walking, and vigorous in favor of ALP (p &lt; .05). The self-determination theory can be an effective strategy for promoting PA behavior change in this population, but a larger trial is needed to further explore the utility of the self-determination theory in this context.","container-title":"Journal of Aging and Physical Activity","DOI":"10.1123/japa.2018-0279","ISSN":"1543-267X","journalAbbreviation":"J Aging Phys Act","language":"eng","note":"PMID: 31188705","page":"1-11","source":"PubMed","title":"The Role of Self-Determination in Changing Physical Activity Behavior in People Diagnosed With Bowel Polyps: A Pilot Randomized Controlled Trial","title-short":"The Role of Self-Determination in Changing Physical Activity Behavior in People Diagnosed With Bowel Polyps","author":[{"family":"Lewis","given":"Liane S."},{"family":"Shaw","given":"Barnabas"},{"family":"Banerjee","given":"Srijit"},{"family":"Dieguez","given":"Pryscilla"},{"family":"Hernon","given":"James"},{"family":"Belshaw","given":"Nigel"},{"family":"Saxton","given":"John M."}],"issued":{"date-parts":[["2019",10,17]]}}}],"schema":"https://github.com/citation-style-language/schema/raw/master/csl-citation.json"}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[32]</w:t>
            </w:r>
            <w:r>
              <w:rPr>
                <w:rFonts w:ascii="Times New Roman" w:hAnsi="Times New Roman" w:cs="Times New Roman"/>
                <w:sz w:val="24"/>
                <w:szCs w:val="24"/>
              </w:rPr>
              <w:fldChar w:fldCharType="end"/>
            </w:r>
          </w:p>
        </w:tc>
        <w:tc>
          <w:tcPr>
            <w:tcW w:w="2835" w:type="dxa"/>
          </w:tcPr>
          <w:p w14:paraId="307FB999"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-0.88 (-1.2, -0.61)</w:t>
            </w:r>
          </w:p>
        </w:tc>
        <w:tc>
          <w:tcPr>
            <w:tcW w:w="1417" w:type="dxa"/>
          </w:tcPr>
          <w:p w14:paraId="2EFFF8F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&lt;0.001</w:t>
            </w:r>
          </w:p>
        </w:tc>
        <w:tc>
          <w:tcPr>
            <w:tcW w:w="1238" w:type="dxa"/>
          </w:tcPr>
          <w:p w14:paraId="2CFF52D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390423CE" w14:textId="77777777" w:rsidTr="006051A7">
        <w:trPr>
          <w:trHeight w:val="485"/>
        </w:trPr>
        <w:tc>
          <w:tcPr>
            <w:tcW w:w="3823" w:type="dxa"/>
            <w:shd w:val="clear" w:color="auto" w:fill="F2F2F2" w:themeFill="background1" w:themeFillShade="F2"/>
          </w:tcPr>
          <w:p w14:paraId="43AF2062" w14:textId="77777777" w:rsidR="00606F7F" w:rsidRPr="008C7B29" w:rsidRDefault="00606F7F" w:rsidP="006051A7">
            <w:pPr>
              <w:rPr>
                <w:rFonts w:ascii="Times New Roman" w:hAnsi="Times New Roman" w:cs="Times New Roman"/>
                <w:b/>
                <w:bCs/>
                <w:sz w:val="24"/>
                <w:szCs w:val="24"/>
              </w:rPr>
            </w:pPr>
            <w:r w:rsidRPr="008C7B29">
              <w:rPr>
                <w:rFonts w:ascii="Times New Roman" w:hAnsi="Times New Roman" w:cs="Times New Roman"/>
                <w:b/>
                <w:bCs/>
                <w:sz w:val="24"/>
                <w:szCs w:val="24"/>
              </w:rPr>
              <w:t>Waist circumference (MD, cm)</w:t>
            </w:r>
          </w:p>
        </w:tc>
        <w:tc>
          <w:tcPr>
            <w:tcW w:w="2835" w:type="dxa"/>
            <w:shd w:val="clear" w:color="auto" w:fill="F2F2F2" w:themeFill="background1" w:themeFillShade="F2"/>
          </w:tcPr>
          <w:p w14:paraId="307A23E6" w14:textId="77777777" w:rsidR="00606F7F" w:rsidRDefault="00606F7F" w:rsidP="006051A7">
            <w:pPr>
              <w:jc w:val="right"/>
              <w:rPr>
                <w:rFonts w:ascii="Times New Roman" w:hAnsi="Times New Roman" w:cs="Times New Roman"/>
                <w:sz w:val="24"/>
                <w:szCs w:val="24"/>
              </w:rPr>
            </w:pPr>
          </w:p>
        </w:tc>
        <w:tc>
          <w:tcPr>
            <w:tcW w:w="1417" w:type="dxa"/>
            <w:shd w:val="clear" w:color="auto" w:fill="F2F2F2" w:themeFill="background1" w:themeFillShade="F2"/>
          </w:tcPr>
          <w:p w14:paraId="58BFEF4B" w14:textId="77777777" w:rsidR="00606F7F" w:rsidRDefault="00606F7F" w:rsidP="006051A7">
            <w:pPr>
              <w:jc w:val="right"/>
              <w:rPr>
                <w:rFonts w:ascii="Times New Roman" w:hAnsi="Times New Roman" w:cs="Times New Roman"/>
                <w:sz w:val="24"/>
                <w:szCs w:val="24"/>
              </w:rPr>
            </w:pPr>
          </w:p>
        </w:tc>
        <w:tc>
          <w:tcPr>
            <w:tcW w:w="1238" w:type="dxa"/>
            <w:shd w:val="clear" w:color="auto" w:fill="F2F2F2" w:themeFill="background1" w:themeFillShade="F2"/>
          </w:tcPr>
          <w:p w14:paraId="564BE7B0" w14:textId="77777777" w:rsidR="00606F7F" w:rsidRDefault="00606F7F" w:rsidP="006051A7">
            <w:pPr>
              <w:jc w:val="right"/>
              <w:rPr>
                <w:rFonts w:ascii="Times New Roman" w:hAnsi="Times New Roman" w:cs="Times New Roman"/>
                <w:sz w:val="24"/>
                <w:szCs w:val="24"/>
              </w:rPr>
            </w:pPr>
          </w:p>
        </w:tc>
      </w:tr>
      <w:tr w:rsidR="00606F7F" w:rsidRPr="007418FA" w14:paraId="0A44BF74" w14:textId="77777777" w:rsidTr="006051A7">
        <w:trPr>
          <w:trHeight w:val="485"/>
        </w:trPr>
        <w:tc>
          <w:tcPr>
            <w:tcW w:w="3823" w:type="dxa"/>
            <w:shd w:val="clear" w:color="auto" w:fill="F2F2F2" w:themeFill="background1" w:themeFillShade="F2"/>
          </w:tcPr>
          <w:p w14:paraId="6EDE59A5" w14:textId="77777777" w:rsidR="00606F7F" w:rsidRDefault="00606F7F" w:rsidP="006051A7">
            <w:pPr>
              <w:rPr>
                <w:rFonts w:ascii="Times New Roman" w:hAnsi="Times New Roman" w:cs="Times New Roman"/>
                <w:sz w:val="24"/>
                <w:szCs w:val="24"/>
              </w:rPr>
            </w:pPr>
            <w:r>
              <w:rPr>
                <w:rFonts w:ascii="Times New Roman" w:hAnsi="Times New Roman" w:cs="Times New Roman"/>
                <w:sz w:val="24"/>
                <w:szCs w:val="24"/>
              </w:rPr>
              <w:t>All studies included</w:t>
            </w:r>
          </w:p>
        </w:tc>
        <w:tc>
          <w:tcPr>
            <w:tcW w:w="2835" w:type="dxa"/>
            <w:shd w:val="clear" w:color="auto" w:fill="F2F2F2" w:themeFill="background1" w:themeFillShade="F2"/>
          </w:tcPr>
          <w:p w14:paraId="6321F78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-2.9 (-3.8, -1.9)</w:t>
            </w:r>
          </w:p>
        </w:tc>
        <w:tc>
          <w:tcPr>
            <w:tcW w:w="1417" w:type="dxa"/>
            <w:shd w:val="clear" w:color="auto" w:fill="F2F2F2" w:themeFill="background1" w:themeFillShade="F2"/>
          </w:tcPr>
          <w:p w14:paraId="292258D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&lt;0.001</w:t>
            </w:r>
          </w:p>
        </w:tc>
        <w:tc>
          <w:tcPr>
            <w:tcW w:w="1238" w:type="dxa"/>
            <w:shd w:val="clear" w:color="auto" w:fill="F2F2F2" w:themeFill="background1" w:themeFillShade="F2"/>
          </w:tcPr>
          <w:p w14:paraId="25B7765E"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47CBC074" w14:textId="77777777" w:rsidTr="006051A7">
        <w:trPr>
          <w:trHeight w:val="485"/>
        </w:trPr>
        <w:tc>
          <w:tcPr>
            <w:tcW w:w="3823" w:type="dxa"/>
            <w:shd w:val="clear" w:color="auto" w:fill="F2F2F2" w:themeFill="background1" w:themeFillShade="F2"/>
          </w:tcPr>
          <w:p w14:paraId="0A718DAD"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v6gUcZE","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shd w:val="clear" w:color="auto" w:fill="F2F2F2" w:themeFill="background1" w:themeFillShade="F2"/>
          </w:tcPr>
          <w:p w14:paraId="4154D2B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-2.8 (-5.5, -0.04)</w:t>
            </w:r>
          </w:p>
        </w:tc>
        <w:tc>
          <w:tcPr>
            <w:tcW w:w="1417" w:type="dxa"/>
            <w:shd w:val="clear" w:color="auto" w:fill="F2F2F2" w:themeFill="background1" w:themeFillShade="F2"/>
          </w:tcPr>
          <w:p w14:paraId="6E252234"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0.047</w:t>
            </w:r>
          </w:p>
        </w:tc>
        <w:tc>
          <w:tcPr>
            <w:tcW w:w="1238" w:type="dxa"/>
            <w:shd w:val="clear" w:color="auto" w:fill="F2F2F2" w:themeFill="background1" w:themeFillShade="F2"/>
          </w:tcPr>
          <w:p w14:paraId="219E0FA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33%</w:t>
            </w:r>
          </w:p>
        </w:tc>
      </w:tr>
      <w:tr w:rsidR="00606F7F" w:rsidRPr="007418FA" w14:paraId="0D610816" w14:textId="77777777" w:rsidTr="006051A7">
        <w:trPr>
          <w:trHeight w:val="485"/>
        </w:trPr>
        <w:tc>
          <w:tcPr>
            <w:tcW w:w="3823" w:type="dxa"/>
            <w:shd w:val="clear" w:color="auto" w:fill="F2F2F2" w:themeFill="background1" w:themeFillShade="F2"/>
          </w:tcPr>
          <w:p w14:paraId="6EA2F7DB"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IEjzEY7","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shd w:val="clear" w:color="auto" w:fill="F2F2F2" w:themeFill="background1" w:themeFillShade="F2"/>
          </w:tcPr>
          <w:p w14:paraId="7D0B84F7"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 xml:space="preserve">-2.6 (-3.7, -1.5) </w:t>
            </w:r>
          </w:p>
        </w:tc>
        <w:tc>
          <w:tcPr>
            <w:tcW w:w="1417" w:type="dxa"/>
            <w:shd w:val="clear" w:color="auto" w:fill="F2F2F2" w:themeFill="background1" w:themeFillShade="F2"/>
          </w:tcPr>
          <w:p w14:paraId="3DF8F409"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&lt;0.001</w:t>
            </w:r>
          </w:p>
        </w:tc>
        <w:tc>
          <w:tcPr>
            <w:tcW w:w="1238" w:type="dxa"/>
            <w:shd w:val="clear" w:color="auto" w:fill="F2F2F2" w:themeFill="background1" w:themeFillShade="F2"/>
          </w:tcPr>
          <w:p w14:paraId="12B6E44D"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3E47C509" w14:textId="77777777" w:rsidTr="006051A7">
        <w:trPr>
          <w:trHeight w:val="485"/>
        </w:trPr>
        <w:tc>
          <w:tcPr>
            <w:tcW w:w="3823" w:type="dxa"/>
            <w:shd w:val="clear" w:color="auto" w:fill="F2F2F2" w:themeFill="background1" w:themeFillShade="F2"/>
          </w:tcPr>
          <w:p w14:paraId="5E7FEA9D"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Lewis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xXbA744","properties":{"formattedCitation":"[32]","plainCitation":"[32]","noteIndex":0},"citationItems":[{"id":163,"uris":["http://zotero.org/users/6288582/items/YKY77ELW"],"uri":["http://zotero.org/users/6288582/items/YKY77ELW"],"itemData":{"id":163,"type":"article-journal","abstract":"This nonblinded randomized controlled trial investigated the efficacy of a physical activity (PA) intervention underpinned by self-determination theory. Participants (N = 31, mean age 69 years [SD = 4.9]) diagnosed with bowel polyps were randomized to an active lifestyle program (ALP; n = 17) or standard care (n = 14). ALP received supervised exercise and counseling for 6 months. Both groups were followed up at 12 months. Outcomes were change in PA and behavioral regulation. Data were analyzed with intention to treat. At 6 months, differences were observed for behavioral regulation in favor of ALP (p &lt; .05). PA differences were significant for leisure, walking, and vigorous in favor of ALP (p &lt; .05). The self-determination theory can be an effective strategy for promoting PA behavior change in this population, but a larger trial is needed to further explore the utility of the self-determination theory in this context.","container-title":"Journal of Aging and Physical Activity","DOI":"10.1123/japa.2018-0279","ISSN":"1543-267X","journalAbbreviation":"J Aging Phys Act","language":"eng","note":"PMID: 31188705","page":"1-11","source":"PubMed","title":"The Role of Self-Determination in Changing Physical Activity Behavior in People Diagnosed With Bowel Polyps: A Pilot Randomized Controlled Trial","title-short":"The Role of Self-Determination in Changing Physical Activity Behavior in People Diagnosed With Bowel Polyps","author":[{"family":"Lewis","given":"Liane S."},{"family":"Shaw","given":"Barnabas"},{"family":"Banerjee","given":"Srijit"},{"family":"Dieguez","given":"Pryscilla"},{"family":"Hernon","given":"James"},{"family":"Belshaw","given":"Nigel"},{"family":"Saxton","given":"John M."}],"issued":{"date-parts":[["2019",10,17]]}}}],"schema":"https://github.com/citation-style-language/schema/raw/master/csl-citation.json"}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[32]</w:t>
            </w:r>
            <w:r>
              <w:rPr>
                <w:rFonts w:ascii="Times New Roman" w:hAnsi="Times New Roman" w:cs="Times New Roman"/>
                <w:sz w:val="24"/>
                <w:szCs w:val="24"/>
              </w:rPr>
              <w:fldChar w:fldCharType="end"/>
            </w:r>
          </w:p>
        </w:tc>
        <w:tc>
          <w:tcPr>
            <w:tcW w:w="2835" w:type="dxa"/>
            <w:shd w:val="clear" w:color="auto" w:fill="F2F2F2" w:themeFill="background1" w:themeFillShade="F2"/>
          </w:tcPr>
          <w:p w14:paraId="6C5872D5"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-3.0 (-3.9, -2.0)</w:t>
            </w:r>
          </w:p>
        </w:tc>
        <w:tc>
          <w:tcPr>
            <w:tcW w:w="1417" w:type="dxa"/>
            <w:shd w:val="clear" w:color="auto" w:fill="F2F2F2" w:themeFill="background1" w:themeFillShade="F2"/>
          </w:tcPr>
          <w:p w14:paraId="183A4181"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&lt;0.001</w:t>
            </w:r>
          </w:p>
        </w:tc>
        <w:tc>
          <w:tcPr>
            <w:tcW w:w="1238" w:type="dxa"/>
            <w:shd w:val="clear" w:color="auto" w:fill="F2F2F2" w:themeFill="background1" w:themeFillShade="F2"/>
          </w:tcPr>
          <w:p w14:paraId="0DEFA98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654DE664" w14:textId="77777777" w:rsidTr="006051A7">
        <w:trPr>
          <w:trHeight w:val="485"/>
        </w:trPr>
        <w:tc>
          <w:tcPr>
            <w:tcW w:w="3823" w:type="dxa"/>
          </w:tcPr>
          <w:p w14:paraId="625EC30F" w14:textId="77777777" w:rsidR="00606F7F" w:rsidRPr="005B3AAA" w:rsidRDefault="00606F7F" w:rsidP="006051A7">
            <w:pPr>
              <w:rPr>
                <w:rFonts w:ascii="Times New Roman" w:hAnsi="Times New Roman" w:cs="Times New Roman"/>
                <w:b/>
                <w:bCs/>
                <w:sz w:val="24"/>
                <w:szCs w:val="24"/>
              </w:rPr>
            </w:pPr>
            <w:r w:rsidRPr="005B3AAA">
              <w:rPr>
                <w:rFonts w:ascii="Times New Roman" w:hAnsi="Times New Roman" w:cs="Times New Roman"/>
                <w:b/>
                <w:bCs/>
                <w:sz w:val="24"/>
                <w:szCs w:val="24"/>
              </w:rPr>
              <w:t>Fibre</w:t>
            </w:r>
            <w:r>
              <w:rPr>
                <w:rFonts w:ascii="Times New Roman" w:hAnsi="Times New Roman" w:cs="Times New Roman"/>
                <w:b/>
                <w:bCs/>
                <w:sz w:val="24"/>
                <w:szCs w:val="24"/>
              </w:rPr>
              <w:t xml:space="preserve"> intake</w:t>
            </w:r>
            <w:r w:rsidRPr="005B3AAA">
              <w:rPr>
                <w:rFonts w:ascii="Times New Roman" w:hAnsi="Times New Roman" w:cs="Times New Roman"/>
                <w:b/>
                <w:bCs/>
                <w:sz w:val="24"/>
                <w:szCs w:val="24"/>
              </w:rPr>
              <w:t xml:space="preserve"> (MD, arbitrary units)</w:t>
            </w:r>
          </w:p>
        </w:tc>
        <w:tc>
          <w:tcPr>
            <w:tcW w:w="2835" w:type="dxa"/>
          </w:tcPr>
          <w:p w14:paraId="686DF9A7" w14:textId="77777777" w:rsidR="00606F7F" w:rsidRDefault="00606F7F" w:rsidP="006051A7">
            <w:pPr>
              <w:jc w:val="right"/>
              <w:rPr>
                <w:rFonts w:ascii="Times New Roman" w:hAnsi="Times New Roman" w:cs="Times New Roman"/>
                <w:sz w:val="24"/>
                <w:szCs w:val="24"/>
              </w:rPr>
            </w:pPr>
          </w:p>
        </w:tc>
        <w:tc>
          <w:tcPr>
            <w:tcW w:w="1417" w:type="dxa"/>
          </w:tcPr>
          <w:p w14:paraId="5E0F6863" w14:textId="77777777" w:rsidR="00606F7F" w:rsidRDefault="00606F7F" w:rsidP="006051A7">
            <w:pPr>
              <w:jc w:val="right"/>
              <w:rPr>
                <w:rFonts w:ascii="Times New Roman" w:hAnsi="Times New Roman" w:cs="Times New Roman"/>
                <w:sz w:val="24"/>
                <w:szCs w:val="24"/>
              </w:rPr>
            </w:pPr>
          </w:p>
        </w:tc>
        <w:tc>
          <w:tcPr>
            <w:tcW w:w="1238" w:type="dxa"/>
          </w:tcPr>
          <w:p w14:paraId="10248D50" w14:textId="77777777" w:rsidR="00606F7F" w:rsidRDefault="00606F7F" w:rsidP="006051A7">
            <w:pPr>
              <w:jc w:val="right"/>
              <w:rPr>
                <w:rFonts w:ascii="Times New Roman" w:hAnsi="Times New Roman" w:cs="Times New Roman"/>
                <w:sz w:val="24"/>
                <w:szCs w:val="24"/>
              </w:rPr>
            </w:pPr>
          </w:p>
        </w:tc>
      </w:tr>
      <w:tr w:rsidR="00606F7F" w:rsidRPr="007418FA" w14:paraId="3149F195" w14:textId="77777777" w:rsidTr="006051A7">
        <w:trPr>
          <w:trHeight w:val="485"/>
        </w:trPr>
        <w:tc>
          <w:tcPr>
            <w:tcW w:w="3823" w:type="dxa"/>
          </w:tcPr>
          <w:p w14:paraId="788C6A3C" w14:textId="77777777" w:rsidR="00606F7F" w:rsidRPr="00902EB7" w:rsidRDefault="00606F7F" w:rsidP="006051A7">
            <w:pPr>
              <w:rPr>
                <w:rFonts w:ascii="Times New Roman" w:hAnsi="Times New Roman" w:cs="Times New Roman"/>
                <w:b/>
                <w:bCs/>
                <w:sz w:val="24"/>
                <w:szCs w:val="24"/>
              </w:rPr>
            </w:pPr>
            <w:r w:rsidRPr="00902EB7">
              <w:rPr>
                <w:rFonts w:ascii="Times New Roman" w:hAnsi="Times New Roman" w:cs="Times New Roman"/>
                <w:b/>
                <w:bCs/>
                <w:sz w:val="24"/>
                <w:szCs w:val="24"/>
              </w:rPr>
              <w:t>All studies included</w:t>
            </w:r>
          </w:p>
        </w:tc>
        <w:tc>
          <w:tcPr>
            <w:tcW w:w="2835" w:type="dxa"/>
          </w:tcPr>
          <w:p w14:paraId="3DD46CD1"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4.3 (-3.0, 11.5)</w:t>
            </w:r>
          </w:p>
        </w:tc>
        <w:tc>
          <w:tcPr>
            <w:tcW w:w="1417" w:type="dxa"/>
          </w:tcPr>
          <w:p w14:paraId="195F72DB"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0.25</w:t>
            </w:r>
          </w:p>
        </w:tc>
        <w:tc>
          <w:tcPr>
            <w:tcW w:w="1238" w:type="dxa"/>
          </w:tcPr>
          <w:p w14:paraId="7DC608BB"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92%</w:t>
            </w:r>
          </w:p>
        </w:tc>
      </w:tr>
      <w:tr w:rsidR="00606F7F" w:rsidRPr="007418FA" w14:paraId="1179FCA0" w14:textId="77777777" w:rsidTr="006051A7">
        <w:trPr>
          <w:trHeight w:val="485"/>
        </w:trPr>
        <w:tc>
          <w:tcPr>
            <w:tcW w:w="3823" w:type="dxa"/>
          </w:tcPr>
          <w:p w14:paraId="7CC5C082"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uqAXzc8","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tcPr>
          <w:p w14:paraId="49774432"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6.6 (-3.7, 17.0)</w:t>
            </w:r>
          </w:p>
        </w:tc>
        <w:tc>
          <w:tcPr>
            <w:tcW w:w="1417" w:type="dxa"/>
          </w:tcPr>
          <w:p w14:paraId="7F800D80"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0.21</w:t>
            </w:r>
          </w:p>
        </w:tc>
        <w:tc>
          <w:tcPr>
            <w:tcW w:w="1238" w:type="dxa"/>
          </w:tcPr>
          <w:p w14:paraId="6E92D172"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93%</w:t>
            </w:r>
          </w:p>
        </w:tc>
      </w:tr>
      <w:tr w:rsidR="00606F7F" w:rsidRPr="007418FA" w14:paraId="714C5821" w14:textId="77777777" w:rsidTr="006051A7">
        <w:trPr>
          <w:trHeight w:val="485"/>
        </w:trPr>
        <w:tc>
          <w:tcPr>
            <w:tcW w:w="3823" w:type="dxa"/>
          </w:tcPr>
          <w:p w14:paraId="0FDD437F"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J6NxmlXT","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tcPr>
          <w:p w14:paraId="3673098C"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5.8 (-5.9, 17.6)</w:t>
            </w:r>
          </w:p>
        </w:tc>
        <w:tc>
          <w:tcPr>
            <w:tcW w:w="1417" w:type="dxa"/>
          </w:tcPr>
          <w:p w14:paraId="7642125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0.33</w:t>
            </w:r>
          </w:p>
        </w:tc>
        <w:tc>
          <w:tcPr>
            <w:tcW w:w="1238" w:type="dxa"/>
          </w:tcPr>
          <w:p w14:paraId="5FC7065F"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96%</w:t>
            </w:r>
          </w:p>
        </w:tc>
      </w:tr>
      <w:tr w:rsidR="00606F7F" w:rsidRPr="007418FA" w14:paraId="4262F408" w14:textId="77777777" w:rsidTr="006051A7">
        <w:trPr>
          <w:trHeight w:val="485"/>
        </w:trPr>
        <w:tc>
          <w:tcPr>
            <w:tcW w:w="3823" w:type="dxa"/>
          </w:tcPr>
          <w:p w14:paraId="18DDE03A"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w:t>
            </w:r>
            <w:r>
              <w:rPr>
                <w:rFonts w:ascii="Times New Roman" w:hAnsi="Times New Roman" w:cs="Times New Roman"/>
                <w:sz w:val="24"/>
                <w:szCs w:val="24"/>
              </w:rPr>
              <w:t xml:space="preserve"> Caswell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5bwNVkk","properties":{"formattedCitation":"[31]","plainCitation":"[31]","noteIndex":0},"citationItems":[{"id":160,"uris":["http://zotero.org/users/6288582/items/E5ZPFNKB"],"uri":["http://zotero.org/users/6288582/items/E5ZPFNKB"],"itemData":{"id":160,"type":"article-journal","abstract":"Colorectal cancer screening forms part of Scotland's cancer reduction strategy. Screened participants, who had undergone colonoscopy and had adenoma(s) removed, were invited to participate in the bowel health to better health (BHBH) programme. BHBH tested the hypothesis that a minimal contact lifestyle intervention could prove effective in promoting changes in diet and activity. Baseline and follow-up questionnaires on lifestyle and psycho-social measures were undertaken in adults randomised to BHBH or a comparison group (CG). The 3-month intervention comprised personalised lifestyle advice, goal-setting and social support to promote increases in physical activity, fibre, fruit and vegetables. Response rate to BHBH was 51 %. BHBH participants (n 32) increased their intake of fibre (DINE FFQ scores 30 (sd 11)-41 (sd 13)) significantly (P &lt; 0.001) more than the CG (n 30; 31 (sd 8)-30 (sd 11). No significant differences between the groups were detected for changes in fruits, vegetables and moderate activity. At baseline, only one participant from each study arm, met the target recommendations for fibre, fruit and vegetable intakes and physical activity. At follow up a significant number of BHBH participants, 15 (47 %) compared to 4 (13 %) of the CG were achieving all three lifestyle recommendations (chi2 (1, n 62) = 8.196, P = 0.006). If sustained, the positive behaviour change achieved through this intervention has the potential to impact on the progression of chronic disease risk including CVD.","container-title":"The British Journal of Nutrition","DOI":"10.1017/S0007114509990808","ISSN":"1475-2662","issue":"11","journalAbbreviation":"Br. J. Nutr.","language":"eng","note":"PMID: 19640325","page":"1541-1546","source":"PubMed","title":"Bowel health to better health: a minimal contact lifestyle intervention for people at increased risk of colorectal cancer","title-short":"Bowel health to better health","volume":"102","author":[{"family":"Caswell","given":"Stephen"},{"family":"Anderson","given":"Annie S."},{"family":"Steele","given":"Robert J. C."}],"issued":{"date-parts":[["2009",12]]}}}],"schema":"https://github.com/citation-style-language/schema/raw/master/csl-citation.json"}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[31]</w:t>
            </w:r>
            <w:r>
              <w:rPr>
                <w:rFonts w:ascii="Times New Roman" w:hAnsi="Times New Roman" w:cs="Times New Roman"/>
                <w:sz w:val="24"/>
                <w:szCs w:val="24"/>
              </w:rPr>
              <w:fldChar w:fldCharType="end"/>
            </w:r>
          </w:p>
        </w:tc>
        <w:tc>
          <w:tcPr>
            <w:tcW w:w="2835" w:type="dxa"/>
          </w:tcPr>
          <w:p w14:paraId="12EFDCD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0.32 (-1.2, 1.8)</w:t>
            </w:r>
          </w:p>
        </w:tc>
        <w:tc>
          <w:tcPr>
            <w:tcW w:w="1417" w:type="dxa"/>
          </w:tcPr>
          <w:p w14:paraId="16F756A2"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0.68</w:t>
            </w:r>
          </w:p>
        </w:tc>
        <w:tc>
          <w:tcPr>
            <w:tcW w:w="1238" w:type="dxa"/>
          </w:tcPr>
          <w:p w14:paraId="29C33F5F"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42EA56F8" w14:textId="77777777" w:rsidTr="006051A7">
        <w:trPr>
          <w:trHeight w:val="485"/>
        </w:trPr>
        <w:tc>
          <w:tcPr>
            <w:tcW w:w="3823" w:type="dxa"/>
            <w:shd w:val="clear" w:color="auto" w:fill="F2F2F2" w:themeFill="background1" w:themeFillShade="F2"/>
          </w:tcPr>
          <w:p w14:paraId="6938AC8C" w14:textId="77777777" w:rsidR="00606F7F" w:rsidRPr="00C37A0E" w:rsidRDefault="00606F7F" w:rsidP="006051A7">
            <w:pPr>
              <w:rPr>
                <w:rFonts w:ascii="Times New Roman" w:hAnsi="Times New Roman" w:cs="Times New Roman"/>
                <w:b/>
                <w:bCs/>
                <w:sz w:val="24"/>
                <w:szCs w:val="24"/>
              </w:rPr>
            </w:pPr>
            <w:r w:rsidRPr="00C37A0E">
              <w:rPr>
                <w:rFonts w:ascii="Times New Roman" w:hAnsi="Times New Roman" w:cs="Times New Roman"/>
                <w:b/>
                <w:bCs/>
                <w:sz w:val="24"/>
                <w:szCs w:val="24"/>
              </w:rPr>
              <w:t>Physical activity (SMD)</w:t>
            </w:r>
          </w:p>
        </w:tc>
        <w:tc>
          <w:tcPr>
            <w:tcW w:w="2835" w:type="dxa"/>
            <w:shd w:val="clear" w:color="auto" w:fill="F2F2F2" w:themeFill="background1" w:themeFillShade="F2"/>
          </w:tcPr>
          <w:p w14:paraId="3E40684D" w14:textId="77777777" w:rsidR="00606F7F" w:rsidRDefault="00606F7F" w:rsidP="006051A7">
            <w:pPr>
              <w:jc w:val="right"/>
              <w:rPr>
                <w:rFonts w:ascii="Times New Roman" w:hAnsi="Times New Roman" w:cs="Times New Roman"/>
                <w:sz w:val="24"/>
                <w:szCs w:val="24"/>
              </w:rPr>
            </w:pPr>
          </w:p>
        </w:tc>
        <w:tc>
          <w:tcPr>
            <w:tcW w:w="1417" w:type="dxa"/>
            <w:shd w:val="clear" w:color="auto" w:fill="F2F2F2" w:themeFill="background1" w:themeFillShade="F2"/>
          </w:tcPr>
          <w:p w14:paraId="47EE2BF6" w14:textId="77777777" w:rsidR="00606F7F" w:rsidRDefault="00606F7F" w:rsidP="006051A7">
            <w:pPr>
              <w:jc w:val="right"/>
              <w:rPr>
                <w:rFonts w:ascii="Times New Roman" w:hAnsi="Times New Roman" w:cs="Times New Roman"/>
                <w:sz w:val="24"/>
                <w:szCs w:val="24"/>
              </w:rPr>
            </w:pPr>
          </w:p>
        </w:tc>
        <w:tc>
          <w:tcPr>
            <w:tcW w:w="1238" w:type="dxa"/>
            <w:shd w:val="clear" w:color="auto" w:fill="F2F2F2" w:themeFill="background1" w:themeFillShade="F2"/>
          </w:tcPr>
          <w:p w14:paraId="17195BFA" w14:textId="77777777" w:rsidR="00606F7F" w:rsidRDefault="00606F7F" w:rsidP="006051A7">
            <w:pPr>
              <w:jc w:val="right"/>
              <w:rPr>
                <w:rFonts w:ascii="Times New Roman" w:hAnsi="Times New Roman" w:cs="Times New Roman"/>
                <w:sz w:val="24"/>
                <w:szCs w:val="24"/>
              </w:rPr>
            </w:pPr>
          </w:p>
        </w:tc>
      </w:tr>
      <w:tr w:rsidR="00606F7F" w:rsidRPr="007418FA" w14:paraId="0E1E4F51" w14:textId="77777777" w:rsidTr="006051A7">
        <w:trPr>
          <w:trHeight w:val="485"/>
        </w:trPr>
        <w:tc>
          <w:tcPr>
            <w:tcW w:w="3823" w:type="dxa"/>
            <w:shd w:val="clear" w:color="auto" w:fill="F2F2F2" w:themeFill="background1" w:themeFillShade="F2"/>
          </w:tcPr>
          <w:p w14:paraId="33173712" w14:textId="77777777" w:rsidR="00606F7F" w:rsidRPr="00902EB7" w:rsidRDefault="00606F7F" w:rsidP="006051A7">
            <w:pPr>
              <w:rPr>
                <w:rFonts w:ascii="Times New Roman" w:hAnsi="Times New Roman" w:cs="Times New Roman"/>
                <w:b/>
                <w:bCs/>
                <w:sz w:val="24"/>
                <w:szCs w:val="24"/>
              </w:rPr>
            </w:pPr>
            <w:r w:rsidRPr="00902EB7">
              <w:rPr>
                <w:rFonts w:ascii="Times New Roman" w:hAnsi="Times New Roman" w:cs="Times New Roman"/>
                <w:b/>
                <w:bCs/>
                <w:sz w:val="24"/>
                <w:szCs w:val="24"/>
              </w:rPr>
              <w:t>All studies included</w:t>
            </w:r>
          </w:p>
        </w:tc>
        <w:tc>
          <w:tcPr>
            <w:tcW w:w="2835" w:type="dxa"/>
            <w:shd w:val="clear" w:color="auto" w:fill="F2F2F2" w:themeFill="background1" w:themeFillShade="F2"/>
          </w:tcPr>
          <w:p w14:paraId="1CA87240"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0.31 (0.13, 0.50)</w:t>
            </w:r>
          </w:p>
        </w:tc>
        <w:tc>
          <w:tcPr>
            <w:tcW w:w="1417" w:type="dxa"/>
            <w:shd w:val="clear" w:color="auto" w:fill="F2F2F2" w:themeFill="background1" w:themeFillShade="F2"/>
          </w:tcPr>
          <w:p w14:paraId="0533CA62"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0.001</w:t>
            </w:r>
          </w:p>
        </w:tc>
        <w:tc>
          <w:tcPr>
            <w:tcW w:w="1238" w:type="dxa"/>
            <w:shd w:val="clear" w:color="auto" w:fill="F2F2F2" w:themeFill="background1" w:themeFillShade="F2"/>
          </w:tcPr>
          <w:p w14:paraId="2EE7CFDE"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w:t>
            </w:r>
          </w:p>
        </w:tc>
      </w:tr>
      <w:tr w:rsidR="00606F7F" w:rsidRPr="007418FA" w14:paraId="1FA59D98" w14:textId="77777777" w:rsidTr="006051A7">
        <w:trPr>
          <w:trHeight w:val="485"/>
        </w:trPr>
        <w:tc>
          <w:tcPr>
            <w:tcW w:w="3823" w:type="dxa"/>
            <w:shd w:val="clear" w:color="auto" w:fill="F2F2F2" w:themeFill="background1" w:themeFillShade="F2"/>
          </w:tcPr>
          <w:p w14:paraId="3BD59DD5"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8NRvO4l","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shd w:val="clear" w:color="auto" w:fill="F2F2F2" w:themeFill="background1" w:themeFillShade="F2"/>
          </w:tcPr>
          <w:p w14:paraId="0D14D231"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0.42 (0.10, 0.73)</w:t>
            </w:r>
          </w:p>
        </w:tc>
        <w:tc>
          <w:tcPr>
            <w:tcW w:w="1417" w:type="dxa"/>
            <w:shd w:val="clear" w:color="auto" w:fill="F2F2F2" w:themeFill="background1" w:themeFillShade="F2"/>
          </w:tcPr>
          <w:p w14:paraId="72D06529"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0.009</w:t>
            </w:r>
          </w:p>
        </w:tc>
        <w:tc>
          <w:tcPr>
            <w:tcW w:w="1238" w:type="dxa"/>
            <w:shd w:val="clear" w:color="auto" w:fill="F2F2F2" w:themeFill="background1" w:themeFillShade="F2"/>
          </w:tcPr>
          <w:p w14:paraId="3FC5BB0C"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6%</w:t>
            </w:r>
          </w:p>
        </w:tc>
      </w:tr>
      <w:tr w:rsidR="00606F7F" w:rsidRPr="007418FA" w14:paraId="4B9FCEBE" w14:textId="77777777" w:rsidTr="006051A7">
        <w:trPr>
          <w:trHeight w:val="485"/>
        </w:trPr>
        <w:tc>
          <w:tcPr>
            <w:tcW w:w="3823" w:type="dxa"/>
            <w:shd w:val="clear" w:color="auto" w:fill="F2F2F2" w:themeFill="background1" w:themeFillShade="F2"/>
          </w:tcPr>
          <w:p w14:paraId="2F9B88B7"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Lewis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RWslnoM","properties":{"formattedCitation":"[32]","plainCitation":"[32]","noteIndex":0},"citationItems":[{"id":163,"uris":["http://zotero.org/users/6288582/items/YKY77ELW"],"uri":["http://zotero.org/users/6288582/items/YKY77ELW"],"itemData":{"id":163,"type":"article-journal","abstract":"This nonblinded randomized controlled trial investigated the efficacy of a physical activity (PA) intervention underpinned by self-determination theory. Participants (N = 31, mean age 69 years [SD = 4.9]) diagnosed with bowel polyps were randomized to an active lifestyle program (ALP; n = 17) or standard care (n = 14). ALP received supervised exercise and counseling for 6 months. Both groups were followed up at 12 months. Outcomes were change in PA and behavioral regulation. Data were analyzed with intention to treat. At 6 months, differences were observed for behavioral regulation in favor of ALP (p &lt; .05). PA differences were significant for leisure, walking, and vigorous in favor of ALP (p &lt; .05). The self-determination theory can be an effective strategy for promoting PA behavior change in this population, but a larger trial is needed to further explore the utility of the self-determination theory in this context.","container-title":"Journal of Aging and Physical Activity","DOI":"10.1123/japa.2018-0279","ISSN":"1543-267X","journalAbbreviation":"J Aging Phys Act","language":"eng","note":"PMID: 31188705","page":"1-11","source":"PubMed","title":"The Role of Self-Determination in Changing Physical Activity Behavior in People Diagnosed With Bowel Polyps: A Pilot Randomized Controlled Trial","title-short":"The Role of Self-Determination in Changing Physical Activity Behavior in People Diagnosed With Bowel Polyps","author":[{"family":"Lewis","given":"Liane S."},{"family":"Shaw","given":"Barnabas"},{"family":"Banerjee","given":"Srijit"},{"family":"Dieguez","given":"Pryscilla"},{"family":"Hernon","given":"James"},{"family":"Belshaw","given":"Nigel"},{"family":"Saxton","given":"John M."}],"issued":{"date-parts":[["2019",10,17]]}}}],"schema":"https://github.com/citation-style-language/schema/raw/master/csl-citation.json"}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[32]</w:t>
            </w:r>
            <w:r>
              <w:rPr>
                <w:rFonts w:ascii="Times New Roman" w:hAnsi="Times New Roman" w:cs="Times New Roman"/>
                <w:sz w:val="24"/>
                <w:szCs w:val="24"/>
              </w:rPr>
              <w:fldChar w:fldCharType="end"/>
            </w:r>
          </w:p>
        </w:tc>
        <w:tc>
          <w:tcPr>
            <w:tcW w:w="2835" w:type="dxa"/>
            <w:shd w:val="clear" w:color="auto" w:fill="F2F2F2" w:themeFill="background1" w:themeFillShade="F2"/>
          </w:tcPr>
          <w:p w14:paraId="7CD8ACA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0.33 (0.13, 0.53)</w:t>
            </w:r>
          </w:p>
        </w:tc>
        <w:tc>
          <w:tcPr>
            <w:tcW w:w="1417" w:type="dxa"/>
            <w:shd w:val="clear" w:color="auto" w:fill="F2F2F2" w:themeFill="background1" w:themeFillShade="F2"/>
          </w:tcPr>
          <w:p w14:paraId="1F65144F"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0.001</w:t>
            </w:r>
          </w:p>
        </w:tc>
        <w:tc>
          <w:tcPr>
            <w:tcW w:w="1238" w:type="dxa"/>
            <w:shd w:val="clear" w:color="auto" w:fill="F2F2F2" w:themeFill="background1" w:themeFillShade="F2"/>
          </w:tcPr>
          <w:p w14:paraId="03C8DBA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5%</w:t>
            </w:r>
          </w:p>
        </w:tc>
      </w:tr>
      <w:tr w:rsidR="00606F7F" w:rsidRPr="007418FA" w14:paraId="35EBD671" w14:textId="77777777" w:rsidTr="006051A7">
        <w:trPr>
          <w:trHeight w:val="485"/>
        </w:trPr>
        <w:tc>
          <w:tcPr>
            <w:tcW w:w="3823" w:type="dxa"/>
            <w:shd w:val="clear" w:color="auto" w:fill="F2F2F2" w:themeFill="background1" w:themeFillShade="F2"/>
          </w:tcPr>
          <w:p w14:paraId="4CCB1B86"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lastRenderedPageBreak/>
              <w:t>Omitting Lewis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RjnVF67","properties":{"formattedCitation":"[32]","plainCitation":"[32]","noteIndex":0},"citationItems":[{"id":163,"uris":["http://zotero.org/users/6288582/items/YKY77ELW"],"uri":["http://zotero.org/users/6288582/items/YKY77ELW"],"itemData":{"id":163,"type":"article-journal","abstract":"This nonblinded randomized controlled trial investigated the efficacy of a physical activity (PA) intervention underpinned by self-determination theory. Participants (N = 31, mean age 69 years [SD = 4.9]) diagnosed with bowel polyps were randomized to an active lifestyle program (ALP; n = 17) or standard care (n = 14). ALP received supervised exercise and counseling for 6 months. Both groups were followed up at 12 months. Outcomes were change in PA and behavioral regulation. Data were analyzed with intention to treat. At 6 months, differences were observed for behavioral regulation in favor of ALP (p &lt; .05). PA differences were significant for leisure, walking, and vigorous in favor of ALP (p &lt; .05). The self-determination theory can be an effective strategy for promoting PA behavior change in this population, but a larger trial is needed to further explore the utility of the self-determination theory in this context.","container-title":"Journal of Aging and Physical Activity","DOI":"10.1123/japa.2018-0279","ISSN":"1543-267X","journalAbbreviation":"J Aging Phys Act","language":"eng","note":"PMID: 31188705","page":"1-11","source":"PubMed","title":"The Role of Self-Determination in Changing Physical Activity Behavior in People Diagnosed With Bowel Polyps: A Pilot Randomized Controlled Trial","title-short":"The Role of Self-Determination in Changing Physical Activity Behavior in People Diagnosed With Bowel Polyps","author":[{"family":"Lewis","given":"Liane S."},{"family":"Shaw","given":"Barnabas"},{"family":"Banerjee","given":"Srijit"},{"family":"Dieguez","given":"Pryscilla"},{"family":"Hernon","given":"James"},{"family":"Belshaw","given":"Nigel"},{"family":"Saxton","given":"John M."}],"issued":{"date-parts":[["2019",10,17]]}}}],"schema":"https://github.com/citation-style-language/schema/raw/master/csl-citation.json"}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[32]</w:t>
            </w:r>
            <w:r>
              <w:rPr>
                <w:rFonts w:ascii="Times New Roman" w:hAnsi="Times New Roman" w:cs="Times New Roman"/>
                <w:sz w:val="24"/>
                <w:szCs w:val="24"/>
              </w:rPr>
              <w:fldChar w:fldCharType="end"/>
            </w:r>
          </w:p>
        </w:tc>
        <w:tc>
          <w:tcPr>
            <w:tcW w:w="2835" w:type="dxa"/>
            <w:shd w:val="clear" w:color="auto" w:fill="F2F2F2" w:themeFill="background1" w:themeFillShade="F2"/>
          </w:tcPr>
          <w:p w14:paraId="26EBCEF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0.33 (0.13, 0.54)</w:t>
            </w:r>
          </w:p>
        </w:tc>
        <w:tc>
          <w:tcPr>
            <w:tcW w:w="1417" w:type="dxa"/>
            <w:shd w:val="clear" w:color="auto" w:fill="F2F2F2" w:themeFill="background1" w:themeFillShade="F2"/>
          </w:tcPr>
          <w:p w14:paraId="3F702ADB"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0.001</w:t>
            </w:r>
          </w:p>
        </w:tc>
        <w:tc>
          <w:tcPr>
            <w:tcW w:w="1238" w:type="dxa"/>
            <w:shd w:val="clear" w:color="auto" w:fill="F2F2F2" w:themeFill="background1" w:themeFillShade="F2"/>
          </w:tcPr>
          <w:p w14:paraId="4D28EBD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5%</w:t>
            </w:r>
          </w:p>
        </w:tc>
      </w:tr>
      <w:tr w:rsidR="00606F7F" w:rsidRPr="007418FA" w14:paraId="7B0513C7" w14:textId="77777777" w:rsidTr="006051A7">
        <w:trPr>
          <w:trHeight w:val="485"/>
        </w:trPr>
        <w:tc>
          <w:tcPr>
            <w:tcW w:w="3823" w:type="dxa"/>
            <w:shd w:val="clear" w:color="auto" w:fill="F2F2F2" w:themeFill="background1" w:themeFillShade="F2"/>
          </w:tcPr>
          <w:p w14:paraId="338E9042"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37ONnjd","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shd w:val="clear" w:color="auto" w:fill="F2F2F2" w:themeFill="background1" w:themeFillShade="F2"/>
          </w:tcPr>
          <w:p w14:paraId="7F40FA55"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0.26 (0.06, 0.46)</w:t>
            </w:r>
          </w:p>
        </w:tc>
        <w:tc>
          <w:tcPr>
            <w:tcW w:w="1417" w:type="dxa"/>
            <w:shd w:val="clear" w:color="auto" w:fill="F2F2F2" w:themeFill="background1" w:themeFillShade="F2"/>
          </w:tcPr>
          <w:p w14:paraId="7AD07E38"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0.010</w:t>
            </w:r>
          </w:p>
        </w:tc>
        <w:tc>
          <w:tcPr>
            <w:tcW w:w="1238" w:type="dxa"/>
            <w:shd w:val="clear" w:color="auto" w:fill="F2F2F2" w:themeFill="background1" w:themeFillShade="F2"/>
          </w:tcPr>
          <w:p w14:paraId="2B87278D"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7D14CD0C" w14:textId="77777777" w:rsidTr="006051A7">
        <w:trPr>
          <w:trHeight w:val="485"/>
        </w:trPr>
        <w:tc>
          <w:tcPr>
            <w:tcW w:w="3823" w:type="dxa"/>
            <w:shd w:val="clear" w:color="auto" w:fill="F2F2F2" w:themeFill="background1" w:themeFillShade="F2"/>
          </w:tcPr>
          <w:p w14:paraId="0CD4A50B" w14:textId="77777777" w:rsidR="00606F7F"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w:t>
            </w:r>
            <w:r>
              <w:rPr>
                <w:rFonts w:ascii="Times New Roman" w:hAnsi="Times New Roman" w:cs="Times New Roman"/>
                <w:sz w:val="24"/>
                <w:szCs w:val="24"/>
              </w:rPr>
              <w:t xml:space="preserve"> Caswell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CXDliAM","properties":{"formattedCitation":"[31]","plainCitation":"[31]","noteIndex":0},"citationItems":[{"id":160,"uris":["http://zotero.org/users/6288582/items/E5ZPFNKB"],"uri":["http://zotero.org/users/6288582/items/E5ZPFNKB"],"itemData":{"id":160,"type":"article-journal","abstract":"Colorectal cancer screening forms part of Scotland's cancer reduction strategy. Screened participants, who had undergone colonoscopy and had adenoma(s) removed, were invited to participate in the bowel health to better health (BHBH) programme. BHBH tested the hypothesis that a minimal contact lifestyle intervention could prove effective in promoting changes in diet and activity. Baseline and follow-up questionnaires on lifestyle and psycho-social measures were undertaken in adults randomised to BHBH or a comparison group (CG). The 3-month intervention comprised personalised lifestyle advice, goal-setting and social support to promote increases in physical activity, fibre, fruit and vegetables. Response rate to BHBH was 51 %. BHBH participants (n 32) increased their intake of fibre (DINE FFQ scores 30 (sd 11)-41 (sd 13)) significantly (P &lt; 0.001) more than the CG (n 30; 31 (sd 8)-30 (sd 11). No significant differences between the groups were detected for changes in fruits, vegetables and moderate activity. At baseline, only one participant from each study arm, met the target recommendations for fibre, fruit and vegetable intakes and physical activity. At follow up a significant number of BHBH participants, 15 (47 %) compared to 4 (13 %) of the CG were achieving all three lifestyle recommendations (chi2 (1, n 62) = 8.196, P = 0.006). If sustained, the positive behaviour change achieved through this intervention has the potential to impact on the progression of chronic disease risk including CVD.","container-title":"The British Journal of Nutrition","DOI":"10.1017/S0007114509990808","ISSN":"1475-2662","issue":"11","journalAbbreviation":"Br. J. Nutr.","language":"eng","note":"PMID: 19640325","page":"1541-1546","source":"PubMed","title":"Bowel health to better health: a minimal contact lifestyle intervention for people at increased risk of colorectal cancer","title-short":"Bowel health to better health","volume":"102","author":[{"family":"Caswell","given":"Stephen"},{"family":"Anderson","given":"Annie S."},{"family":"Steele","given":"Robert J. C."}],"issued":{"date-parts":[["2009",12]]}}}],"schema":"https://github.com/citation-style-language/schema/raw/master/csl-citation.json"}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[31]</w:t>
            </w:r>
            <w:r>
              <w:rPr>
                <w:rFonts w:ascii="Times New Roman" w:hAnsi="Times New Roman" w:cs="Times New Roman"/>
                <w:sz w:val="24"/>
                <w:szCs w:val="24"/>
              </w:rPr>
              <w:fldChar w:fldCharType="end"/>
            </w:r>
          </w:p>
        </w:tc>
        <w:tc>
          <w:tcPr>
            <w:tcW w:w="2835" w:type="dxa"/>
            <w:shd w:val="clear" w:color="auto" w:fill="F2F2F2" w:themeFill="background1" w:themeFillShade="F2"/>
          </w:tcPr>
          <w:p w14:paraId="54CC524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0.30 (0.08, 0.53)</w:t>
            </w:r>
          </w:p>
        </w:tc>
        <w:tc>
          <w:tcPr>
            <w:tcW w:w="1417" w:type="dxa"/>
            <w:shd w:val="clear" w:color="auto" w:fill="F2F2F2" w:themeFill="background1" w:themeFillShade="F2"/>
          </w:tcPr>
          <w:p w14:paraId="3D7CC82E"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0.009</w:t>
            </w:r>
          </w:p>
        </w:tc>
        <w:tc>
          <w:tcPr>
            <w:tcW w:w="1238" w:type="dxa"/>
            <w:shd w:val="clear" w:color="auto" w:fill="F2F2F2" w:themeFill="background1" w:themeFillShade="F2"/>
          </w:tcPr>
          <w:p w14:paraId="77185F81"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9%</w:t>
            </w:r>
          </w:p>
        </w:tc>
      </w:tr>
      <w:tr w:rsidR="00606F7F" w:rsidRPr="007418FA" w14:paraId="15765DB4" w14:textId="77777777" w:rsidTr="006051A7">
        <w:trPr>
          <w:trHeight w:val="485"/>
        </w:trPr>
        <w:tc>
          <w:tcPr>
            <w:tcW w:w="3823" w:type="dxa"/>
          </w:tcPr>
          <w:p w14:paraId="220B48DC" w14:textId="77777777" w:rsidR="00606F7F" w:rsidRPr="000A7D46" w:rsidRDefault="00606F7F" w:rsidP="006051A7">
            <w:pPr>
              <w:rPr>
                <w:rFonts w:ascii="Times New Roman" w:hAnsi="Times New Roman" w:cs="Times New Roman"/>
                <w:b/>
                <w:bCs/>
                <w:sz w:val="24"/>
                <w:szCs w:val="24"/>
              </w:rPr>
            </w:pPr>
            <w:r w:rsidRPr="000A7D46">
              <w:rPr>
                <w:rFonts w:ascii="Times New Roman" w:hAnsi="Times New Roman" w:cs="Times New Roman"/>
                <w:b/>
                <w:bCs/>
                <w:sz w:val="24"/>
                <w:szCs w:val="24"/>
              </w:rPr>
              <w:t>Fruit/vegetable intake (SMD)</w:t>
            </w:r>
          </w:p>
        </w:tc>
        <w:tc>
          <w:tcPr>
            <w:tcW w:w="2835" w:type="dxa"/>
          </w:tcPr>
          <w:p w14:paraId="25F6F15F" w14:textId="77777777" w:rsidR="00606F7F" w:rsidRDefault="00606F7F" w:rsidP="006051A7">
            <w:pPr>
              <w:jc w:val="right"/>
              <w:rPr>
                <w:rFonts w:ascii="Times New Roman" w:hAnsi="Times New Roman" w:cs="Times New Roman"/>
                <w:sz w:val="24"/>
                <w:szCs w:val="24"/>
              </w:rPr>
            </w:pPr>
          </w:p>
        </w:tc>
        <w:tc>
          <w:tcPr>
            <w:tcW w:w="1417" w:type="dxa"/>
          </w:tcPr>
          <w:p w14:paraId="0D968E00" w14:textId="77777777" w:rsidR="00606F7F" w:rsidRDefault="00606F7F" w:rsidP="006051A7">
            <w:pPr>
              <w:jc w:val="right"/>
              <w:rPr>
                <w:rFonts w:ascii="Times New Roman" w:hAnsi="Times New Roman" w:cs="Times New Roman"/>
                <w:sz w:val="24"/>
                <w:szCs w:val="24"/>
              </w:rPr>
            </w:pPr>
          </w:p>
        </w:tc>
        <w:tc>
          <w:tcPr>
            <w:tcW w:w="1238" w:type="dxa"/>
          </w:tcPr>
          <w:p w14:paraId="63D24A39" w14:textId="77777777" w:rsidR="00606F7F" w:rsidRDefault="00606F7F" w:rsidP="006051A7">
            <w:pPr>
              <w:jc w:val="right"/>
              <w:rPr>
                <w:rFonts w:ascii="Times New Roman" w:hAnsi="Times New Roman" w:cs="Times New Roman"/>
                <w:sz w:val="24"/>
                <w:szCs w:val="24"/>
              </w:rPr>
            </w:pPr>
          </w:p>
        </w:tc>
      </w:tr>
      <w:tr w:rsidR="00606F7F" w:rsidRPr="007418FA" w14:paraId="56D08A5B" w14:textId="77777777" w:rsidTr="006051A7">
        <w:trPr>
          <w:trHeight w:val="485"/>
        </w:trPr>
        <w:tc>
          <w:tcPr>
            <w:tcW w:w="3823" w:type="dxa"/>
          </w:tcPr>
          <w:p w14:paraId="78F57291" w14:textId="77777777" w:rsidR="00606F7F" w:rsidRPr="00902EB7" w:rsidRDefault="00606F7F" w:rsidP="006051A7">
            <w:pPr>
              <w:rPr>
                <w:rFonts w:ascii="Times New Roman" w:hAnsi="Times New Roman" w:cs="Times New Roman"/>
                <w:b/>
                <w:bCs/>
                <w:sz w:val="24"/>
                <w:szCs w:val="24"/>
              </w:rPr>
            </w:pPr>
            <w:r w:rsidRPr="00902EB7">
              <w:rPr>
                <w:rFonts w:ascii="Times New Roman" w:hAnsi="Times New Roman" w:cs="Times New Roman"/>
                <w:b/>
                <w:bCs/>
                <w:sz w:val="24"/>
                <w:szCs w:val="24"/>
              </w:rPr>
              <w:t>All studies included</w:t>
            </w:r>
          </w:p>
        </w:tc>
        <w:tc>
          <w:tcPr>
            <w:tcW w:w="2835" w:type="dxa"/>
          </w:tcPr>
          <w:p w14:paraId="7B391D02"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0.33 (0.01, 0.64)</w:t>
            </w:r>
          </w:p>
        </w:tc>
        <w:tc>
          <w:tcPr>
            <w:tcW w:w="1417" w:type="dxa"/>
          </w:tcPr>
          <w:p w14:paraId="591ACB23"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0.041</w:t>
            </w:r>
          </w:p>
        </w:tc>
        <w:tc>
          <w:tcPr>
            <w:tcW w:w="1238" w:type="dxa"/>
          </w:tcPr>
          <w:p w14:paraId="73EFEFD4" w14:textId="77777777" w:rsidR="00606F7F" w:rsidRPr="00902EB7" w:rsidRDefault="00606F7F" w:rsidP="006051A7">
            <w:pPr>
              <w:jc w:val="right"/>
              <w:rPr>
                <w:rFonts w:ascii="Times New Roman" w:hAnsi="Times New Roman" w:cs="Times New Roman"/>
                <w:b/>
                <w:bCs/>
                <w:sz w:val="24"/>
                <w:szCs w:val="24"/>
              </w:rPr>
            </w:pPr>
            <w:r w:rsidRPr="00902EB7">
              <w:rPr>
                <w:rFonts w:ascii="Times New Roman" w:hAnsi="Times New Roman" w:cs="Times New Roman"/>
                <w:b/>
                <w:bCs/>
                <w:sz w:val="24"/>
                <w:szCs w:val="24"/>
              </w:rPr>
              <w:t>51%</w:t>
            </w:r>
          </w:p>
        </w:tc>
      </w:tr>
      <w:tr w:rsidR="00606F7F" w:rsidRPr="007418FA" w14:paraId="55B035C4" w14:textId="77777777" w:rsidTr="006051A7">
        <w:trPr>
          <w:trHeight w:val="485"/>
        </w:trPr>
        <w:tc>
          <w:tcPr>
            <w:tcW w:w="3823" w:type="dxa"/>
          </w:tcPr>
          <w:p w14:paraId="1958A618"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Nz7dF3e","properties":{"formattedCitation":"[29]","plainCitation":"[29]","noteIndex":0},"citationItems":[{"id":151,"uris":["http://zotero.org/users/6288582/items/EA65ZGK7"],"uri":["http://zotero.org/users/6288582/items/EA65ZGK7"],"itemData":{"id":151,"type":"article-journal","abstract":"OBJECTIVE: To evaluate the impact of a diet and physical activity intervention (BeWEL) on weight change in people with a body mass index &gt;25 weight (kg)/height (m)(2) at increased risk of colorectal cancer and other obesity related comorbidities.\nDESIGN: Multicentre, parallel group, randomised controlled trial.\nSETTING: Four Scottish National Health Service health boards.\nPARTICIPANTS: 329 overweight or obese adults (aged 50 to 74 years) who had undergone colonoscopy after a positive faecal occult blood test result, as part of the national bowel screening programme, and had a diagnosis of adenoma confirmed by histopathology. 163 were randomised to intervention and 166 to control.\nINTERVENTION: Participants were randomised to a control group (weight loss booklet only) or 12 month intervention group (three face to face visits with a lifestyle counsellor plus monthly 15 minute telephone calls). A goal of 7% reduction in body weight was set and participants received a personalised energy prescription (2508 kJ (600 kcal) below that required for weight maintenance) and bodyweight scales. Motivational interviewing techniques explored self assessed confidence, ambivalence, and personal values concerning weight. Behavioural strategies included goal setting, identifying intentions of implementation, self monitoring of body weight, and counsellor feedback about reported diet, physical activity, and weight change.\nMAIN OUTCOME MEASURES: The primary outcome was weight change over 12 months. Secondary outcomes included changes in waist circumference, blood pressure, fasting cardiovascular biomarkers, and glucose metabolism variables, physical activity, diet, and alcohol consumption.\nRESULTS: At 12 months, data on the primary outcome were available for 148 (91%) participants in the intervention group and 157 (95%) in the control group. Mean weight loss was 3.50 kg (SD 4.91) (95% confidence interval 2.70 to 4.30) in the intervention group compared with 0.78 kg (SD 3.77) (0.19 to 1.38) in the control group. The group difference was 2.69 kg (95% confidence interval 1.70 to 3.67). Differences between groups were significant for waist circumference, body mass index, blood pressure, blood glucose level, diet, and physical activity. No reported adverse events were considered to be related to trial participation.\nCONCLUSIONS: Significant weight loss can be achieved by a diet and physical activity intervention initiated within a national colorectal cancer screening programme, offering considerable potential for risk reduction of disease in older adults.\nTRIAL REGISTRATION: Current Controlled Trials ISRCTN53033856.","container-title":"BMJ (Clinical research ed.)","DOI":"10.1136/bmj.g1823","ISSN":"1756-1833","journalAbbreviation":"BMJ","language":"eng","note":"PMID: 24609919\nPMCID: PMC3945930","page":"g1823","source":"PubMed","title":"The impact of a bodyweight and physical activity intervention (BeWEL) initiated through a national colorectal cancer screening programme: randomised controlled trial","title-short":"The impact of a bodyweight and physical activity intervention (BeWEL) initiated through a national colorectal cancer screening programme","volume":"348","author":[{"family":"Anderson","given":"Annie S."},{"family":"Craigie","given":"Angela M."},{"family":"Caswell","given":"Stephen"},{"family":"Treweek","given":"Shaun"},{"family":"Stead","given":"Martine"},{"family":"Macleod","given":"Maureen"},{"family":"Daly","given":"Fergus"},{"family":"Belch","given":"Jill"},{"family":"Rodger","given":"Jackie"},{"family":"Kirk","given":"Alison"},{"family":"Ludbrook","given":"Anne"},{"family":"Rauchhaus","given":"Petra"},{"family":"Norwood","given":"Patricia"},{"family":"Thompson","given":"Joyce"},{"family":"Wardle","given":"Jane"},{"family":"Steele","given":"Robert J. C."}],"issued":{"date-parts":[["2014",3,7]]}}}],"schema":"https://github.com/citation-style-language/schema/raw/master/csl-citation.json"}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[29]</w:t>
            </w:r>
            <w:r>
              <w:rPr>
                <w:rFonts w:ascii="Times New Roman" w:hAnsi="Times New Roman" w:cs="Times New Roman"/>
                <w:sz w:val="24"/>
                <w:szCs w:val="24"/>
              </w:rPr>
              <w:fldChar w:fldCharType="end"/>
            </w:r>
          </w:p>
        </w:tc>
        <w:tc>
          <w:tcPr>
            <w:tcW w:w="2835" w:type="dxa"/>
          </w:tcPr>
          <w:p w14:paraId="78E8A2CF"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0.14 (-0.15, 0.42)</w:t>
            </w:r>
          </w:p>
        </w:tc>
        <w:tc>
          <w:tcPr>
            <w:tcW w:w="1417" w:type="dxa"/>
          </w:tcPr>
          <w:p w14:paraId="0FBAD2F7"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0.34</w:t>
            </w:r>
          </w:p>
        </w:tc>
        <w:tc>
          <w:tcPr>
            <w:tcW w:w="1238" w:type="dxa"/>
          </w:tcPr>
          <w:p w14:paraId="0D3C19A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w:t>
            </w:r>
          </w:p>
        </w:tc>
      </w:tr>
      <w:tr w:rsidR="00606F7F" w:rsidRPr="007418FA" w14:paraId="509FE8C6" w14:textId="77777777" w:rsidTr="006051A7">
        <w:trPr>
          <w:trHeight w:val="485"/>
        </w:trPr>
        <w:tc>
          <w:tcPr>
            <w:tcW w:w="3823" w:type="dxa"/>
          </w:tcPr>
          <w:p w14:paraId="640B78D7"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g3gE4CP","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tcPr>
          <w:p w14:paraId="2727CBBD"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0.36 (0.05, 0.67)</w:t>
            </w:r>
          </w:p>
        </w:tc>
        <w:tc>
          <w:tcPr>
            <w:tcW w:w="1417" w:type="dxa"/>
          </w:tcPr>
          <w:p w14:paraId="3CBFE04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0.025</w:t>
            </w:r>
          </w:p>
        </w:tc>
        <w:tc>
          <w:tcPr>
            <w:tcW w:w="1238" w:type="dxa"/>
          </w:tcPr>
          <w:p w14:paraId="280B3293"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47%</w:t>
            </w:r>
          </w:p>
        </w:tc>
      </w:tr>
      <w:tr w:rsidR="00606F7F" w:rsidRPr="007418FA" w14:paraId="542BAC70" w14:textId="77777777" w:rsidTr="006051A7">
        <w:trPr>
          <w:trHeight w:val="485"/>
        </w:trPr>
        <w:tc>
          <w:tcPr>
            <w:tcW w:w="3823" w:type="dxa"/>
          </w:tcPr>
          <w:p w14:paraId="21B1D6B0"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 Anderson et 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8RMkmL3f","properties":{"formattedCitation":"[30]","plainCitation":"[30]","noteIndex":0},"citationItems":[{"id":157,"uris":["http://zotero.org/users/6288582/items/C66THFVD"],"uri":["http://zotero.org/users/6288582/items/C66THFVD"],"itemData":{"id":157,"type":"article-journal","abstract":"BACKGROUND: Breast cancer is the most commonly diagnosed cancer and the second cause of cancer deaths amongst women in the UK. The incidence of the disease is increasing and is highest in women from least deprived areas. It is estimated that around 42% of the disease in post-menopausal women could be prevented by increased physical activity and reductions in alcohol intake and body fatness. Breast cancer control endeavours focus on national screening programmes but these do not include communications or interventions for risk reduction. This study aimed to assess the feasibility of delivery, indicative effects and acceptability of a lifestyle intervention programme initiated within the NHS Scottish Breast Screening Programme (NHSSBSP).\nMETHODS: A 1:1 randomised controlled trial (RCT) of the 3 month ActWell programme (focussing on body weight, physical activity and alcohol) versus usual care conducted in two NHSSBSP sites between June 2013 and January 2014. Feasibility assessments included recruitment, retention, and fidelity to protocol. Indicative outcomes were measured at baseline and 3 month follow-up (body weight, waist circumference, eating and alcohol habits and physical activity). At study end, a questionnaire assessed participant satisfaction and qualitative interviews elicited women's, coaches, and radiographers' experiences. Statistical analysis used Chi squared tests for comparisons in proportions and paired t tests for comparisons of means. Linear regression analyses were performed, adjusted for baseline values, with group allocation as a fixed effect.\nRESULTS: A pre-set recruitment target of 80 women was achieved within 12 weeks and 65 (81%) participants (29 intervention, 36 control) completed 3 month assessments. Mean age was 58 ± 5.6 years, mean BMI was 29.2 ± 7.0 kg/m(2) and many (44%) reported a family history of breast cancer. The primary analysis (baseline body weight adjusted) showed a significant between group difference favouring the intervention group of 2.04 kg (95% CI -3.24 kg to -0.85 kg). Significant, favourable between group differences were also detected for BMI, waist circumference, physical activity and sitting time. Women rated the programme highly and 70% said they would recommend it to others.\nCONCLUSIONS: Recruitment, retention, indicative results and participant acceptability support the development of a definitive RCT to measure long term effects.\nTRIAL REGISTRATION: The trial was registered with Current Controlled Trials (ISRCTN56223933).","container-title":"The International Journal of Behavioral Nutrition and Physical Activity","DOI":"10.1186/s12966-014-0156-2","ISSN":"1479-5868","journalAbbreviation":"Int J Behav Nutr Phys Act","language":"eng","note":"PMID: 25516158\nPMCID: PMC4304617","page":"156","source":"PubMed","title":"Breast cancer risk reduction--is it feasible to initiate a randomised controlled trial of a lifestyle intervention programme (ActWell) within a national breast screening programme?","volume":"11","author":[{"family":"Anderson","given":"Annie S."},{"family":"Macleod","given":"Maureen"},{"family":"Mutrie","given":"Nanette"},{"family":"Sugden","given":"Jacqueline"},{"family":"Dobson","given":"Hilary"},{"family":"Treweek","given":"Shaun"},{"family":"O'Carroll","given":"Ronan E."},{"family":"Thompson","given":"Alistair"},{"family":"Kirk","given":"Alison"},{"family":"Brennan","given":"Graham"},{"family":"Wyke","given":"Sally"}],"issued":{"date-parts":[["2014",12,17]]}}}],"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[30]</w:t>
            </w:r>
            <w:r>
              <w:rPr>
                <w:rFonts w:ascii="Times New Roman" w:hAnsi="Times New Roman" w:cs="Times New Roman"/>
                <w:sz w:val="24"/>
                <w:szCs w:val="24"/>
              </w:rPr>
              <w:fldChar w:fldCharType="end"/>
            </w:r>
          </w:p>
        </w:tc>
        <w:tc>
          <w:tcPr>
            <w:tcW w:w="2835" w:type="dxa"/>
          </w:tcPr>
          <w:p w14:paraId="3E85E0D9"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0.36 (0.06, 0.67)</w:t>
            </w:r>
          </w:p>
        </w:tc>
        <w:tc>
          <w:tcPr>
            <w:tcW w:w="1417" w:type="dxa"/>
          </w:tcPr>
          <w:p w14:paraId="310FC68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0.020</w:t>
            </w:r>
          </w:p>
        </w:tc>
        <w:tc>
          <w:tcPr>
            <w:tcW w:w="1238" w:type="dxa"/>
          </w:tcPr>
          <w:p w14:paraId="45407094"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45%</w:t>
            </w:r>
          </w:p>
        </w:tc>
      </w:tr>
      <w:tr w:rsidR="00606F7F" w:rsidRPr="007418FA" w14:paraId="677FD270" w14:textId="77777777" w:rsidTr="006051A7">
        <w:trPr>
          <w:trHeight w:val="485"/>
        </w:trPr>
        <w:tc>
          <w:tcPr>
            <w:tcW w:w="3823" w:type="dxa"/>
            <w:tcBorders>
              <w:bottom w:val="single" w:sz="4" w:space="0" w:color="auto"/>
            </w:tcBorders>
          </w:tcPr>
          <w:p w14:paraId="2A833A40" w14:textId="77777777" w:rsidR="00606F7F" w:rsidRPr="007418FA" w:rsidRDefault="00606F7F" w:rsidP="006051A7">
            <w:pPr>
              <w:rPr>
                <w:rFonts w:ascii="Times New Roman" w:hAnsi="Times New Roman" w:cs="Times New Roman"/>
                <w:sz w:val="24"/>
                <w:szCs w:val="24"/>
              </w:rPr>
            </w:pPr>
            <w:r w:rsidRPr="007418FA">
              <w:rPr>
                <w:rFonts w:ascii="Times New Roman" w:hAnsi="Times New Roman" w:cs="Times New Roman"/>
                <w:sz w:val="24"/>
                <w:szCs w:val="24"/>
              </w:rPr>
              <w:t>Omitting</w:t>
            </w:r>
            <w:r>
              <w:rPr>
                <w:rFonts w:ascii="Times New Roman" w:hAnsi="Times New Roman" w:cs="Times New Roman"/>
                <w:sz w:val="24"/>
                <w:szCs w:val="24"/>
              </w:rPr>
              <w:t xml:space="preserve"> Caswell et 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IY5BApC","properties":{"formattedCitation":"[31]","plainCitation":"[31]","noteIndex":0},"citationItems":[{"id":160,"uris":["http://zotero.org/users/6288582/items/E5ZPFNKB"],"uri":["http://zotero.org/users/6288582/items/E5ZPFNKB"],"itemData":{"id":160,"type":"article-journal","abstract":"Colorectal cancer screening forms part of Scotland's cancer reduction strategy. Screened participants, who had undergone colonoscopy and had adenoma(s) removed, were invited to participate in the bowel health to better health (BHBH) programme. BHBH tested the hypothesis that a minimal contact lifestyle intervention could prove effective in promoting changes in diet and activity. Baseline and follow-up questionnaires on lifestyle and psycho-social measures were undertaken in adults randomised to BHBH or a comparison group (CG). The 3-month intervention comprised personalised lifestyle advice, goal-setting and social support to promote increases in physical activity, fibre, fruit and vegetables. Response rate to BHBH was 51 %. BHBH participants (n 32) increased their intake of fibre (DINE FFQ scores 30 (sd 11)-41 (sd 13)) significantly (P &lt; 0.001) more than the CG (n 30; 31 (sd 8)-30 (sd 11). No significant differences between the groups were detected for changes in fruits, vegetables and moderate activity. At baseline, only one participant from each study arm, met the target recommendations for fibre, fruit and vegetable intakes and physical activity. At follow up a significant number of BHBH participants, 15 (47 %) compared to 4 (13 %) of the CG were achieving all three lifestyle recommendations (chi2 (1, n 62) = 8.196, P = 0.006). If sustained, the positive behaviour change achieved through this intervention has the potential to impact on the progression of chronic disease risk including CVD.","container-title":"The British Journal of Nutrition","DOI":"10.1017/S0007114509990808","ISSN":"1475-2662","issue":"11","journalAbbreviation":"Br. J. Nutr.","language":"eng","note":"PMID: 19640325","page":"1541-1546","source":"PubMed","title":"Bowel health to better health: a minimal contact lifestyle intervention for people at increased risk of colorectal cancer","title-short":"Bowel health to better health","volume":"102","author":[{"family":"Caswell","given":"Stephen"},{"family":"Anderson","given":"Annie S."},{"family":"Steele","given":"Robert J. C."}],"issued":{"date-parts":[["2009",12]]}}}],"schema":"https://github.com/citation-style-language/schema/raw/master/csl-citation.json"} </w:instrText>
            </w:r>
            <w:r>
              <w:rPr>
                <w:rFonts w:ascii="Times New Roman" w:hAnsi="Times New Roman" w:cs="Times New Roman"/>
                <w:sz w:val="24"/>
                <w:szCs w:val="24"/>
              </w:rPr>
              <w:fldChar w:fldCharType="separate"/>
            </w:r>
            <w:r w:rsidRPr="000B1BE2">
              <w:rPr>
                <w:rFonts w:ascii="Times New Roman" w:hAnsi="Times New Roman" w:cs="Times New Roman"/>
                <w:sz w:val="24"/>
              </w:rPr>
              <w:t>[31]</w:t>
            </w:r>
            <w:r>
              <w:rPr>
                <w:rFonts w:ascii="Times New Roman" w:hAnsi="Times New Roman" w:cs="Times New Roman"/>
                <w:sz w:val="24"/>
                <w:szCs w:val="24"/>
              </w:rPr>
              <w:fldChar w:fldCharType="end"/>
            </w:r>
          </w:p>
        </w:tc>
        <w:tc>
          <w:tcPr>
            <w:tcW w:w="2835" w:type="dxa"/>
            <w:tcBorders>
              <w:bottom w:val="single" w:sz="4" w:space="0" w:color="auto"/>
            </w:tcBorders>
          </w:tcPr>
          <w:p w14:paraId="075E82DE"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0.35 (-0.10, 0.80)</w:t>
            </w:r>
          </w:p>
        </w:tc>
        <w:tc>
          <w:tcPr>
            <w:tcW w:w="1417" w:type="dxa"/>
            <w:tcBorders>
              <w:bottom w:val="single" w:sz="4" w:space="0" w:color="auto"/>
            </w:tcBorders>
          </w:tcPr>
          <w:p w14:paraId="4FCF3B6A"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0.13</w:t>
            </w:r>
          </w:p>
        </w:tc>
        <w:tc>
          <w:tcPr>
            <w:tcW w:w="1238" w:type="dxa"/>
            <w:tcBorders>
              <w:bottom w:val="single" w:sz="4" w:space="0" w:color="auto"/>
            </w:tcBorders>
          </w:tcPr>
          <w:p w14:paraId="5C273742" w14:textId="77777777" w:rsidR="00606F7F" w:rsidRDefault="00606F7F" w:rsidP="006051A7">
            <w:pPr>
              <w:jc w:val="right"/>
              <w:rPr>
                <w:rFonts w:ascii="Times New Roman" w:hAnsi="Times New Roman" w:cs="Times New Roman"/>
                <w:sz w:val="24"/>
                <w:szCs w:val="24"/>
              </w:rPr>
            </w:pPr>
            <w:r>
              <w:rPr>
                <w:rFonts w:ascii="Times New Roman" w:hAnsi="Times New Roman" w:cs="Times New Roman"/>
                <w:sz w:val="24"/>
                <w:szCs w:val="24"/>
              </w:rPr>
              <w:t>67%</w:t>
            </w:r>
          </w:p>
        </w:tc>
      </w:tr>
      <w:tr w:rsidR="00606F7F" w:rsidRPr="007418FA" w14:paraId="2F8F6C94" w14:textId="77777777" w:rsidTr="006051A7">
        <w:trPr>
          <w:trHeight w:val="485"/>
        </w:trPr>
        <w:tc>
          <w:tcPr>
            <w:tcW w:w="9313" w:type="dxa"/>
            <w:gridSpan w:val="4"/>
            <w:tcBorders>
              <w:top w:val="single" w:sz="4" w:space="0" w:color="auto"/>
            </w:tcBorders>
          </w:tcPr>
          <w:p w14:paraId="2DB90F5F" w14:textId="77777777" w:rsidR="00606F7F" w:rsidRDefault="00606F7F" w:rsidP="006051A7">
            <w:pPr>
              <w:rPr>
                <w:rFonts w:ascii="Times New Roman" w:hAnsi="Times New Roman" w:cs="Times New Roman"/>
                <w:sz w:val="24"/>
                <w:szCs w:val="24"/>
              </w:rPr>
            </w:pPr>
            <w:r w:rsidRPr="001B2258">
              <w:rPr>
                <w:rFonts w:ascii="Times New Roman" w:hAnsi="Times New Roman" w:cs="Times New Roman"/>
                <w:iCs/>
                <w:sz w:val="24"/>
                <w:szCs w:val="24"/>
              </w:rPr>
              <w:t>95% CI</w:t>
            </w:r>
            <w:r>
              <w:rPr>
                <w:rFonts w:ascii="Times New Roman" w:hAnsi="Times New Roman" w:cs="Times New Roman"/>
                <w:iCs/>
                <w:sz w:val="24"/>
                <w:szCs w:val="24"/>
              </w:rPr>
              <w:t xml:space="preserve"> =</w:t>
            </w:r>
            <w:r w:rsidRPr="001B2258">
              <w:rPr>
                <w:rFonts w:ascii="Times New Roman" w:hAnsi="Times New Roman" w:cs="Times New Roman"/>
                <w:sz w:val="24"/>
                <w:szCs w:val="24"/>
              </w:rPr>
              <w:t xml:space="preserve"> 95% confidence interval;</w:t>
            </w:r>
            <w:r>
              <w:rPr>
                <w:rFonts w:ascii="Times New Roman" w:hAnsi="Times New Roman" w:cs="Times New Roman"/>
                <w:sz w:val="24"/>
                <w:szCs w:val="24"/>
              </w:rPr>
              <w:t xml:space="preserve"> MD = mean difference; SMD = standardised mean difference</w:t>
            </w:r>
          </w:p>
        </w:tc>
      </w:tr>
    </w:tbl>
    <w:p w14:paraId="73D52761" w14:textId="77777777" w:rsidR="00C03207" w:rsidRDefault="00C03207"/>
    <w:sectPr w:rsidR="00C032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7E9"/>
    <w:rsid w:val="0024470C"/>
    <w:rsid w:val="00274430"/>
    <w:rsid w:val="004C35C2"/>
    <w:rsid w:val="00606F7F"/>
    <w:rsid w:val="008E0CB4"/>
    <w:rsid w:val="00902EB7"/>
    <w:rsid w:val="009526A3"/>
    <w:rsid w:val="00A014B5"/>
    <w:rsid w:val="00C03207"/>
    <w:rsid w:val="00C713D5"/>
    <w:rsid w:val="00E57FAE"/>
    <w:rsid w:val="00EB17E9"/>
    <w:rsid w:val="00FB3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7C89F"/>
  <w15:chartTrackingRefBased/>
  <w15:docId w15:val="{1C92F865-A365-4849-8F36-8F030AAD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7E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11520</Words>
  <Characters>65665</Characters>
  <Application>Microsoft Office Word</Application>
  <DocSecurity>0</DocSecurity>
  <Lines>547</Lines>
  <Paragraphs>154</Paragraphs>
  <ScaleCrop>false</ScaleCrop>
  <Company/>
  <LinksUpToDate>false</LinksUpToDate>
  <CharactersWithSpaces>77031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Orange</dc:creator>
  <cp:keywords/>
  <dc:description/>
  <cp:lastModifiedBy>Ashok Kumar P.</cp:lastModifiedBy>
  <cp:revision>3</cp:revision>
  <dcterms:created xsi:type="dcterms:W3CDTF">2020-11-02T09:01:00Z</dcterms:created>
  <dcterms:modified xsi:type="dcterms:W3CDTF">2020-11-04T15:08:00Z</dcterms:modified>
</cp:coreProperties>
</file>