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0608" w:rsidRDefault="00C80921">
      <w:r>
        <w:t>Supplemental Figures:</w:t>
      </w:r>
    </w:p>
    <w:p w:rsidR="00C80921" w:rsidRDefault="00C80921">
      <w:r>
        <w:t xml:space="preserve">Supplemental Figure 1: Global trends in the annual percentage change (APC) of incidence rates (IR) and death rates (DR) of adolescent and young adult (AYA) multiple myeloma among males and females from 1990 to 2021 per 100,000 patient-years: Sup Fig: 1A: Female IR, 1B: Male IR, 1C: Female DR, 1D: Male DR. </w:t>
      </w:r>
    </w:p>
    <w:p w:rsidR="00C80921" w:rsidRDefault="00C80921" w:rsidP="00C80921">
      <w:r>
        <w:t>Sup Fig 1A:</w:t>
      </w:r>
    </w:p>
    <w:p w:rsidR="00C80921" w:rsidRDefault="00C80921">
      <w:r>
        <w:rPr>
          <w:noProof/>
        </w:rPr>
        <w:drawing>
          <wp:inline distT="0" distB="0" distL="0" distR="0">
            <wp:extent cx="5943600" cy="3157220"/>
            <wp:effectExtent l="0" t="0" r="0" b="5080"/>
            <wp:docPr id="6797071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07196" name="Picture 679707196"/>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157220"/>
                    </a:xfrm>
                    <a:prstGeom prst="rect">
                      <a:avLst/>
                    </a:prstGeom>
                  </pic:spPr>
                </pic:pic>
              </a:graphicData>
            </a:graphic>
          </wp:inline>
        </w:drawing>
      </w:r>
    </w:p>
    <w:p w:rsidR="00C80921" w:rsidRDefault="00C80921"/>
    <w:p w:rsidR="00C80921" w:rsidRDefault="00C80921"/>
    <w:p w:rsidR="00C80921" w:rsidRDefault="00C80921"/>
    <w:p w:rsidR="00C80921" w:rsidRDefault="00C80921"/>
    <w:p w:rsidR="00C80921" w:rsidRDefault="00C80921"/>
    <w:p w:rsidR="00C80921" w:rsidRDefault="00C80921"/>
    <w:p w:rsidR="00C80921" w:rsidRDefault="00C80921"/>
    <w:p w:rsidR="00C80921" w:rsidRDefault="00C80921"/>
    <w:p w:rsidR="00C80921" w:rsidRDefault="00C80921"/>
    <w:p w:rsidR="00C80921" w:rsidRDefault="00C80921"/>
    <w:p w:rsidR="00C80921" w:rsidRDefault="00C80921">
      <w:r>
        <w:lastRenderedPageBreak/>
        <w:t>Sup Fig 1B:</w:t>
      </w:r>
    </w:p>
    <w:p w:rsidR="00C80921" w:rsidRDefault="00C80921">
      <w:r>
        <w:rPr>
          <w:noProof/>
        </w:rPr>
        <w:drawing>
          <wp:inline distT="0" distB="0" distL="0" distR="0">
            <wp:extent cx="5943600" cy="3157220"/>
            <wp:effectExtent l="0" t="0" r="0" b="5080"/>
            <wp:docPr id="1303214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214266" name="Picture 130321426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157220"/>
                    </a:xfrm>
                    <a:prstGeom prst="rect">
                      <a:avLst/>
                    </a:prstGeom>
                  </pic:spPr>
                </pic:pic>
              </a:graphicData>
            </a:graphic>
          </wp:inline>
        </w:drawing>
      </w:r>
    </w:p>
    <w:p w:rsidR="00C80921" w:rsidRDefault="00C80921"/>
    <w:p w:rsidR="00C80921" w:rsidRDefault="00C80921" w:rsidP="00C80921">
      <w:r>
        <w:t>Sup Fig 1C:</w:t>
      </w:r>
    </w:p>
    <w:p w:rsidR="00C80921" w:rsidRDefault="00C80921">
      <w:r>
        <w:rPr>
          <w:noProof/>
        </w:rPr>
        <w:drawing>
          <wp:inline distT="0" distB="0" distL="0" distR="0" wp14:anchorId="7C4DAF95" wp14:editId="4B55D1AD">
            <wp:extent cx="5943600" cy="3157220"/>
            <wp:effectExtent l="0" t="0" r="0" b="5080"/>
            <wp:docPr id="20793046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04635" name="Picture 207930463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157220"/>
                    </a:xfrm>
                    <a:prstGeom prst="rect">
                      <a:avLst/>
                    </a:prstGeom>
                  </pic:spPr>
                </pic:pic>
              </a:graphicData>
            </a:graphic>
          </wp:inline>
        </w:drawing>
      </w:r>
    </w:p>
    <w:p w:rsidR="00C80921" w:rsidRDefault="00C80921"/>
    <w:p w:rsidR="00C80921" w:rsidRDefault="00C80921" w:rsidP="00C80921">
      <w:r>
        <w:t>Sup Fig 1D:</w:t>
      </w:r>
    </w:p>
    <w:p w:rsidR="00C80921" w:rsidRDefault="00C80921">
      <w:r>
        <w:rPr>
          <w:noProof/>
        </w:rPr>
        <w:lastRenderedPageBreak/>
        <w:drawing>
          <wp:inline distT="0" distB="0" distL="0" distR="0">
            <wp:extent cx="5943600" cy="3157220"/>
            <wp:effectExtent l="0" t="0" r="0" b="5080"/>
            <wp:docPr id="16656359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635914" name="Picture 16656359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157220"/>
                    </a:xfrm>
                    <a:prstGeom prst="rect">
                      <a:avLst/>
                    </a:prstGeom>
                  </pic:spPr>
                </pic:pic>
              </a:graphicData>
            </a:graphic>
          </wp:inline>
        </w:drawing>
      </w:r>
    </w:p>
    <w:p w:rsidR="00C80921" w:rsidRDefault="00C80921"/>
    <w:p w:rsidR="00C80921" w:rsidRDefault="00C80921"/>
    <w:p w:rsidR="00C80921" w:rsidRDefault="00C80921"/>
    <w:p w:rsidR="00F158EB" w:rsidRDefault="00F158EB"/>
    <w:p w:rsidR="00F158EB" w:rsidRDefault="00F158EB"/>
    <w:p w:rsidR="00F158EB" w:rsidRDefault="00F158EB"/>
    <w:p w:rsidR="00F158EB" w:rsidRDefault="00F158EB"/>
    <w:p w:rsidR="00F158EB" w:rsidRDefault="00F158EB"/>
    <w:p w:rsidR="00F158EB" w:rsidRDefault="00F158EB"/>
    <w:p w:rsidR="00F158EB" w:rsidRDefault="00F158EB"/>
    <w:p w:rsidR="00F158EB" w:rsidRDefault="00F158EB"/>
    <w:p w:rsidR="00F158EB" w:rsidRDefault="00F158EB"/>
    <w:p w:rsidR="00F158EB" w:rsidRDefault="00F158EB"/>
    <w:p w:rsidR="00F158EB" w:rsidRDefault="00F158EB"/>
    <w:p w:rsidR="00823E97" w:rsidRDefault="00823E97"/>
    <w:p w:rsidR="00823E97" w:rsidRDefault="00823E97"/>
    <w:p w:rsidR="00823E97" w:rsidRDefault="00823E97">
      <w:r>
        <w:t xml:space="preserve">Supplemental Figure 2: in 2021, the incidence and death rates of adolescent and young adult (AYA) multiple myeloma </w:t>
      </w:r>
      <w:r w:rsidRPr="005C062C">
        <w:t>in Global, Socio-demographic Index (SDI) regions, and 21 Global Burden of Disease (GBD) regions per 100,000 population</w:t>
      </w:r>
      <w:r>
        <w:t xml:space="preserve"> among males, females and both sexes together.</w:t>
      </w:r>
    </w:p>
    <w:p w:rsidR="00823E97" w:rsidRDefault="00823E97">
      <w:r>
        <w:rPr>
          <w:noProof/>
        </w:rPr>
        <w:drawing>
          <wp:inline distT="0" distB="0" distL="0" distR="0">
            <wp:extent cx="5943600" cy="6788785"/>
            <wp:effectExtent l="0" t="0" r="0" b="5715"/>
            <wp:docPr id="9660316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31625" name="Picture 966031625"/>
                    <pic:cNvPicPr/>
                  </pic:nvPicPr>
                  <pic:blipFill>
                    <a:blip r:embed="rId8">
                      <a:extLst>
                        <a:ext uri="{28A0092B-C50C-407E-A947-70E740481C1C}">
                          <a14:useLocalDpi xmlns:a14="http://schemas.microsoft.com/office/drawing/2010/main" val="0"/>
                        </a:ext>
                      </a:extLst>
                    </a:blip>
                    <a:stretch>
                      <a:fillRect/>
                    </a:stretch>
                  </pic:blipFill>
                  <pic:spPr>
                    <a:xfrm>
                      <a:off x="0" y="0"/>
                      <a:ext cx="5943600" cy="6788785"/>
                    </a:xfrm>
                    <a:prstGeom prst="rect">
                      <a:avLst/>
                    </a:prstGeom>
                  </pic:spPr>
                </pic:pic>
              </a:graphicData>
            </a:graphic>
          </wp:inline>
        </w:drawing>
      </w:r>
    </w:p>
    <w:p w:rsidR="00823E97" w:rsidRDefault="00823E97"/>
    <w:p w:rsidR="00F158EB" w:rsidRDefault="00C80921">
      <w:r>
        <w:t xml:space="preserve">Supplemental Figure </w:t>
      </w:r>
      <w:r w:rsidR="00823E97">
        <w:t>3</w:t>
      </w:r>
      <w:r>
        <w:t>: In 2021, the percent of deaths of adolescent and young adult (AYA) multiple myeloma attributed to high Body-mass-index (BMI)</w:t>
      </w:r>
      <w:r w:rsidRPr="00C80921">
        <w:t xml:space="preserve"> </w:t>
      </w:r>
      <w:r>
        <w:t>among males, females and both sexes together.</w:t>
      </w:r>
    </w:p>
    <w:p w:rsidR="00C80921" w:rsidRDefault="00F158EB">
      <w:r>
        <w:rPr>
          <w:noProof/>
        </w:rPr>
        <w:drawing>
          <wp:inline distT="0" distB="0" distL="0" distR="0">
            <wp:extent cx="5943600" cy="7145020"/>
            <wp:effectExtent l="0" t="0" r="0" b="5080"/>
            <wp:docPr id="2417563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56367" name="Picture 241756367"/>
                    <pic:cNvPicPr/>
                  </pic:nvPicPr>
                  <pic:blipFill>
                    <a:blip r:embed="rId9">
                      <a:extLst>
                        <a:ext uri="{28A0092B-C50C-407E-A947-70E740481C1C}">
                          <a14:useLocalDpi xmlns:a14="http://schemas.microsoft.com/office/drawing/2010/main" val="0"/>
                        </a:ext>
                      </a:extLst>
                    </a:blip>
                    <a:stretch>
                      <a:fillRect/>
                    </a:stretch>
                  </pic:blipFill>
                  <pic:spPr>
                    <a:xfrm>
                      <a:off x="0" y="0"/>
                      <a:ext cx="5943600" cy="7145020"/>
                    </a:xfrm>
                    <a:prstGeom prst="rect">
                      <a:avLst/>
                    </a:prstGeom>
                  </pic:spPr>
                </pic:pic>
              </a:graphicData>
            </a:graphic>
          </wp:inline>
        </w:drawing>
      </w:r>
    </w:p>
    <w:p w:rsidR="00C80921" w:rsidRDefault="00C80921"/>
    <w:p w:rsidR="00C80921" w:rsidRDefault="00C80921"/>
    <w:p w:rsidR="00C80921" w:rsidRDefault="00C80921">
      <w:r>
        <w:t xml:space="preserve">Supplemental Figure </w:t>
      </w:r>
      <w:r w:rsidR="00823E97">
        <w:t>4</w:t>
      </w:r>
      <w:r>
        <w:t>:</w:t>
      </w:r>
      <w:r w:rsidRPr="00C80921">
        <w:t xml:space="preserve"> </w:t>
      </w:r>
      <w:r>
        <w:t>From 1990 to 2021, the annual percentage changes (APC) of deaths of adolescent and young adult (AYA) multiple myeloma attributed to high Body-mass-index (BMI)</w:t>
      </w:r>
      <w:r w:rsidRPr="00C80921">
        <w:t xml:space="preserve"> </w:t>
      </w:r>
      <w:r>
        <w:t>among males, females and both sexes together.</w:t>
      </w:r>
    </w:p>
    <w:p w:rsidR="00C80921" w:rsidRDefault="00F158EB">
      <w:r>
        <w:rPr>
          <w:noProof/>
        </w:rPr>
        <w:drawing>
          <wp:inline distT="0" distB="0" distL="0" distR="0">
            <wp:extent cx="5943600" cy="5577205"/>
            <wp:effectExtent l="0" t="0" r="0" b="0"/>
            <wp:docPr id="18351740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74078" name="Picture 18351740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577205"/>
                    </a:xfrm>
                    <a:prstGeom prst="rect">
                      <a:avLst/>
                    </a:prstGeom>
                  </pic:spPr>
                </pic:pic>
              </a:graphicData>
            </a:graphic>
          </wp:inline>
        </w:drawing>
      </w:r>
    </w:p>
    <w:p w:rsidR="00B40BA2" w:rsidRDefault="00B40BA2"/>
    <w:p w:rsidR="00B40BA2" w:rsidRDefault="00B40BA2"/>
    <w:p w:rsidR="00B40BA2" w:rsidRDefault="00B40BA2"/>
    <w:p w:rsidR="00B40BA2" w:rsidRDefault="00B40BA2"/>
    <w:p w:rsidR="00B40BA2" w:rsidRDefault="00B40BA2"/>
    <w:p w:rsidR="00B40BA2" w:rsidRDefault="00B40BA2">
      <w:r>
        <w:t>Supplemental Table 1:</w:t>
      </w:r>
      <w:r w:rsidR="00172125" w:rsidRPr="00172125">
        <w:t xml:space="preserve"> </w:t>
      </w:r>
      <w:r w:rsidR="00172125" w:rsidRPr="005C062C">
        <w:t>The Incidence Rate (IR), Death Rate (DR)</w:t>
      </w:r>
      <w:r w:rsidR="00172125">
        <w:t xml:space="preserve"> in 1990 and 2021 and </w:t>
      </w:r>
      <w:r w:rsidR="00172125" w:rsidRPr="005C062C">
        <w:t>Annual percentage changes (APC) of incidence rate (IR) and death rate (DR)</w:t>
      </w:r>
      <w:r w:rsidR="00172125" w:rsidRPr="005912C7">
        <w:t xml:space="preserve"> </w:t>
      </w:r>
      <w:r w:rsidR="00172125" w:rsidRPr="005C062C">
        <w:t>from 1990 to 2021</w:t>
      </w:r>
      <w:r w:rsidR="00172125">
        <w:t xml:space="preserve"> of adolescent and young adult (AYA) multiple myeloma </w:t>
      </w:r>
      <w:r w:rsidR="00172125" w:rsidRPr="005C062C">
        <w:t>in Global, Socio-demographic Index (SDI) regions, and 21 Global Burden of Disease (GBD) regions per 100,000 population</w:t>
      </w:r>
      <w:r w:rsidR="00172125">
        <w:t xml:space="preserve"> among males and females.</w:t>
      </w:r>
    </w:p>
    <w:p w:rsidR="00B40BA2" w:rsidRDefault="00B40BA2"/>
    <w:tbl>
      <w:tblPr>
        <w:tblW w:w="11070" w:type="dxa"/>
        <w:tblInd w:w="-818" w:type="dxa"/>
        <w:tblCellMar>
          <w:left w:w="0" w:type="dxa"/>
          <w:right w:w="0" w:type="dxa"/>
        </w:tblCellMar>
        <w:tblLook w:val="04A0" w:firstRow="1" w:lastRow="0" w:firstColumn="1" w:lastColumn="0" w:noHBand="0" w:noVBand="1"/>
      </w:tblPr>
      <w:tblGrid>
        <w:gridCol w:w="857"/>
        <w:gridCol w:w="853"/>
        <w:gridCol w:w="900"/>
        <w:gridCol w:w="810"/>
        <w:gridCol w:w="720"/>
        <w:gridCol w:w="751"/>
        <w:gridCol w:w="805"/>
        <w:gridCol w:w="897"/>
        <w:gridCol w:w="897"/>
        <w:gridCol w:w="896"/>
        <w:gridCol w:w="895"/>
        <w:gridCol w:w="895"/>
        <w:gridCol w:w="894"/>
      </w:tblGrid>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Region</w:t>
            </w:r>
            <w:r>
              <w:rPr>
                <w:rFonts w:ascii="Helvetica Neue" w:eastAsia="Times New Roman" w:hAnsi="Helvetica Neue" w:cs="Times New Roman"/>
                <w:b/>
                <w:bCs/>
                <w:color w:val="000000"/>
                <w:kern w:val="0"/>
                <w:sz w:val="15"/>
                <w:szCs w:val="15"/>
                <w14:ligatures w14:val="none"/>
              </w:rPr>
              <w:t>s</w:t>
            </w:r>
          </w:p>
        </w:tc>
        <w:tc>
          <w:tcPr>
            <w:tcW w:w="85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Female 1990 IR</w:t>
            </w:r>
          </w:p>
        </w:tc>
        <w:tc>
          <w:tcPr>
            <w:tcW w:w="90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Female 2021 IR</w:t>
            </w:r>
          </w:p>
        </w:tc>
        <w:tc>
          <w:tcPr>
            <w:tcW w:w="810" w:type="dxa"/>
            <w:tcBorders>
              <w:top w:val="single" w:sz="6" w:space="0" w:color="000000"/>
              <w:left w:val="single" w:sz="6" w:space="0" w:color="000000"/>
              <w:bottom w:val="single" w:sz="6" w:space="0" w:color="000000"/>
              <w:right w:val="single" w:sz="6" w:space="0" w:color="000000"/>
            </w:tcBorders>
            <w:shd w:val="clear" w:color="auto" w:fill="B0B3B2"/>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Female APC IR 1990-2021</w:t>
            </w:r>
          </w:p>
        </w:tc>
        <w:tc>
          <w:tcPr>
            <w:tcW w:w="72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Male 1990 IR</w:t>
            </w:r>
          </w:p>
        </w:tc>
        <w:tc>
          <w:tcPr>
            <w:tcW w:w="75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Male 2021 IR</w:t>
            </w:r>
          </w:p>
        </w:tc>
        <w:tc>
          <w:tcPr>
            <w:tcW w:w="805" w:type="dxa"/>
            <w:tcBorders>
              <w:top w:val="single" w:sz="6" w:space="0" w:color="000000"/>
              <w:left w:val="single" w:sz="6" w:space="0" w:color="000000"/>
              <w:bottom w:val="single" w:sz="6" w:space="0" w:color="000000"/>
              <w:right w:val="single" w:sz="6" w:space="0" w:color="000000"/>
            </w:tcBorders>
            <w:shd w:val="clear" w:color="auto" w:fill="B0B3B2"/>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Male APC IR 1990-2021</w:t>
            </w:r>
          </w:p>
        </w:tc>
        <w:tc>
          <w:tcPr>
            <w:tcW w:w="89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Female 1990 DR</w:t>
            </w:r>
          </w:p>
        </w:tc>
        <w:tc>
          <w:tcPr>
            <w:tcW w:w="89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Female 2021 DR</w:t>
            </w:r>
          </w:p>
        </w:tc>
        <w:tc>
          <w:tcPr>
            <w:tcW w:w="896" w:type="dxa"/>
            <w:tcBorders>
              <w:top w:val="single" w:sz="6" w:space="0" w:color="000000"/>
              <w:left w:val="single" w:sz="6" w:space="0" w:color="000000"/>
              <w:bottom w:val="single" w:sz="6" w:space="0" w:color="000000"/>
              <w:right w:val="single" w:sz="6" w:space="0" w:color="000000"/>
            </w:tcBorders>
            <w:shd w:val="clear" w:color="auto" w:fill="B0B3B2"/>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Female APC DR 1990-2021</w:t>
            </w:r>
          </w:p>
        </w:tc>
        <w:tc>
          <w:tcPr>
            <w:tcW w:w="89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Male 1990 DR</w:t>
            </w:r>
          </w:p>
        </w:tc>
        <w:tc>
          <w:tcPr>
            <w:tcW w:w="89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Male 2021 DR</w:t>
            </w:r>
          </w:p>
        </w:tc>
        <w:tc>
          <w:tcPr>
            <w:tcW w:w="894" w:type="dxa"/>
            <w:tcBorders>
              <w:top w:val="single" w:sz="6" w:space="0" w:color="000000"/>
              <w:left w:val="single" w:sz="6" w:space="0" w:color="000000"/>
              <w:bottom w:val="single" w:sz="6" w:space="0" w:color="000000"/>
              <w:right w:val="single" w:sz="6" w:space="0" w:color="000000"/>
            </w:tcBorders>
            <w:shd w:val="clear" w:color="auto" w:fill="B0B3B2"/>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b/>
                <w:bCs/>
                <w:color w:val="000000"/>
                <w:kern w:val="0"/>
                <w:sz w:val="15"/>
                <w:szCs w:val="15"/>
                <w14:ligatures w14:val="none"/>
              </w:rPr>
              <w:t>Male APC DR 1990-2021</w:t>
            </w:r>
          </w:p>
        </w:tc>
      </w:tr>
      <w:tr w:rsidR="00172125" w:rsidRPr="00A80E5C" w:rsidTr="009F68FB">
        <w:trPr>
          <w:trHeight w:val="180"/>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Andean Latin America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(0.05, 0.09)</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(0.02, 0.06)</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0.86 (-0.03, 2.08)</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0.10 (0.07, 0.15)</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(0.04, 0.11)</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0.59 (0.04, 1.29)</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(0.04, 0.07)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0.05)</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0.45 (-0.22, 1.24)</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(0.05, 0.10)</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0.06)</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0.31 (-0.13, 0.85)</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Australasia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0.16 (0.12, 0.19)</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0.09 (0.07, 0.12)</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0.23 (-0.34, 1.31)</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0.21 (0.15, 0.30)</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0.12 (0.07, 0.21)</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0.34 (-0.09, 1.03)</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(0.06, 0.08)</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0.05)</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-0.20 (-0.38, 0.04)</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(0.05, 0.08)</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0.04)</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-0.13 (-0.31, 0.11)</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Caribbean</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0.08 (0.06, 0.09)</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0.10 (0.08, 0.13)</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0.14 (-0.21, 0.58)</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0.09 (0.07, 0.11)</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0.11 (0.08, 0.15)</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0.14 (-0.13, 0.44)</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(0.05, 0.06)</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(0.05, 0.07)</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(-0.22, 0.32)</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(0.05, 0.07)</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(0.04, 0.08)</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(-0.16, 0.30)</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Central Asia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(0.05, 0.08)</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(0.04, 0.06)</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0.89 (0.55, 1.36)</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0.10 (0.08, 0.11)</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0.09 (0.08, 0.11)</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0.57 (0.23, 1.03)</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(0.04, 0.06)</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(0.04, 0.05)</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0.75 (0.45, 1.12)</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0.08 (0.07, 0.09)</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(0.06, 0.08)</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0.47 (0.15, 0.90)</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Central Europe</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0.08 (0.08, 0.09)</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(0.05, 0.06)</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0.46 (0.17, 0.83)</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0.11 (0.09, 0.12)</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(0.06, 0.09)</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0.27 (0.09, 0.50)</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(0.06, 0.07)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0.04)</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0.15 (-0.02, 0.32)</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(0.06, 0.07)</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(0.04, 0.05)</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0.09 (-0.04, 0.21)</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Central Latin America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(0.07, 0.08)</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(0.05, 0.06)</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0.68 (0.40, 1.02)</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0.12 (0.10, 0.13)</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0.09 (0.08, 0.11)</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0.64 (0.43, 0.90)</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(0.05, 0.06)</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(0.04, 0.04)</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0.37 (0.16, 0.58)</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0.08 (0.07, 0.09)</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(0.05, 0.06)</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0.39 (0.23, 0.56)</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Central Sub-Saharan Africa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0.03)</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(0.00, 0.02)</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0.31 (-0.28, 1.59)</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0.03)</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(0.00, 0.02)</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0.12 (-0.33, 0.65)</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(0.01, 0.02)</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(0.00, 0.01)</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0.23 (-0.32, 1.46)</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(0.01, 0.03)</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(0.00, 0.02)</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(-0.37, 0.57)</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East Asia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0.06)</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(0.02, 0.06)</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3.63 (-0.09, 8.55)</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0.20 (0.10, 0.29)</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0.11 (0.04, 0.17)</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5.47 (1.45, 10.30)</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0.05)</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0.05)</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2.31 (-0.36, 5.75)</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0.12 (0.06, 0.17)</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(0.02, 0.10)</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3.66 (0.76, 7.06)</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Eastern Europe</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0.09 (0.08, 0.10)</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(0.06, 0.07)</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0.85 (0.50, 1.29)</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0.14 (0.13, 0.16)</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0.12 (0.10, 0.14)</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0.52 (0.29, 0.81)</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(0.06, 0.07)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(0.04, 0.05)</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0.54 (0.28, 0.85)</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0.08 (0.08, 0.09)</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(0.06, 0.08)</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0.27 (0.09, 0.50)</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Eastern Sub-Saharan Africa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(0.02, 0.06)</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(0.01, 0.05)</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0.68 (-0.21, 2.56)</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(0.03, 0.10)</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(0.03, 0.08)</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0.61 (0.14, 1.55)</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(0.01, 0.05)</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(0.01, 0.04)</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0.57 (-0.26, 2.38)</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(0.03, 0.08)</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(0.02, 0.07)</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0.52 (0.07, 1.39)</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Global</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(0.04, 0.07)</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0.05)</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0.79 (0.03, 1.35)</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0.10 (0.07, 0.12)</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(0.05, 0.09)</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0.88 (0.44, 1.28)</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0.05)</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0.04)</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0.58 (-0.14, 1.08)</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(0.04, 0.07)</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0.05)</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0.62 (0.22, 0.95)</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High SDI</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0.11 (0.10, 0.11)</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(0.07, 0.08)</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0.28 (0.08, 0.48)</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0.14 (0.13, 0.16)</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0.10 (0.08, 0.11)</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0.34 (0.17, 0.51)</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(0.07, 0.07)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(0.04, 0.05)</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(-0.12, 0.16)</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(0.06, 0.08)</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(0.04, 0.05)</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(-0.09, 0.16)</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High-income Asia Pacific</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(0.05, 0.07)</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0.05)</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0.38 (-0.11, 1.18)</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(0.05, 0.09)</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(0.04, 0.08)</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0.12 (-0.20, 0.57)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0.04)</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(0.02, 0.03)</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-0.11 (-0.29, 0.07)</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(0.03, 0.04)</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(0.02, 0.02)</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-0.17 (-0.32, 0.09)</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lastRenderedPageBreak/>
              <w:t>High-income North America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0.11 (0.11, 0.12)</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0.08 (0.07, 0.09)</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(-0.20, 0.12)</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0.10 (0.09, 0.11)</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0.08 (0.07, 0.09)</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-0.10 (-0.19, 0.00)</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0.08 (0.08, 0.09)</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(0.05, 0.06)</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-0.18 (-0.23, -0.13)</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(0.06, 0.07)</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(0.04, 0.05)</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-0.24 (-0.28, -0.19)</w:t>
            </w:r>
          </w:p>
        </w:tc>
      </w:tr>
      <w:tr w:rsidR="00172125" w:rsidRPr="00A80E5C" w:rsidTr="009F68FB">
        <w:trPr>
          <w:trHeight w:val="180"/>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High-middle SDI</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(0.06, 0.08)</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(0.04, 0.07)</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1.31 (0.09, 2.29)</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0.18 (0.11, 0.23)</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0.12 (0.07, 0.16)</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1.61 (0.71, 2.46)</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(0.04, 0.06)</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(0.03, 0.05)</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0.78 (-0.17, 1.52)</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0.10 (0.06, 0.12)</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(0.03, 0.08)</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1.01 (0.33, 1.61)</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Low SDI</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(0.01, 0.04)</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0.04)</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0.59 (-0.12, 2.29)</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(0.02, 0.06)</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0.05)</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0.38 (-0.02, 1.26)</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0.04)</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0.03)</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0.49 (-0.17, 2.08)</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0.05)</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0.04)</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0.30 (-0.07, 1.14)</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Low-middle SDI</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0.05)</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0.04)</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1.12 (0.08, 2.50)</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(0.04, 0.08)</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(0.03, 0.07)</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0.88 (0.39, 1.92)</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(0.01, 0.04)</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0.03)</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0.93 (-0.03, 2.19)</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0.06)</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0.05)</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0.72 (0.27, 1.67)</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Middle SDI</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0.05)</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0.05)</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1.51 (0.10, 2.38)</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0.11 (0.07, 0.14)</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(0.05, 0.10)</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1.89 (0.87, 2.77)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0.04)</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(0.02, 0.04)</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1.06 (-0.12, 1.82)</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(0.05, 0.09)</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(0.03, 0.06)</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1.37 (0.53, 2.10)</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North Africa and Middle East</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(0.03, 0.07)</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(0.02, 0.09)</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0.85 (-0.15, 2.34)</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0.09 (0.06, 0.12)</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0.08 (0.05, 0.11)</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0.71 (0.23, 1.40)</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(0.02, 0.06)</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0.07)</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0.44 (-0.30, 1.52)</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(0.04, 0.07)</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(0.03, 0.07)</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0.35 (-0.00, 0.88)</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Oceania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0.04)</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0.06)</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0.60 (0.02, 1.74)</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0.04)</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(0.02, 0.08)</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(-0.34, 0.32)</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0.03)</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0.05)</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0.56 (-0.02, 1.71)</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0.03)</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(0.02, 0.07)</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-0.08 (-0.33, 0.32)</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South Asia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(0.02, 0.06)</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(0.01, 0.04)</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1.07 (-0.02, 3.05)</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(0.05, 0.10)</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(0.03, 0.08)</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0.78 (0.21, 2.20)</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0.05)</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0.03)</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0.85 (-0.12, 2.64)</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(0.04, 0.08)</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(0.02, 0.06)</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0.60 (0.08, 1.86)</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Southeast Asia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0.03)</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(0.01, 0.02)</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0.90 (0.02, 1.89)</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0.06)</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0.03 (0.02, 0.04)</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0.90 (0.36, 1.71)</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(0.01, 0.02)</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(0.01, 0.02)</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0.68 (-0.10, 1.56)</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(0.02, 0.04)</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0.03)</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0.69 (0.22, 1.43)</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Southern Latin America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0.10 (0.08, 0.11)</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(0.05, 0.08)</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(-0.25, 0.46)</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0.13 (0.11, 0.16)</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(0.05, 0.09)</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0.36 (0.07, 0.80)</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(0.06, 0.08)</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(0.04, 0.06)</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-0.17 (-0.35, 0.07)</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(0.07, 0.09)</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0.05)</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(-0.12, 0.32)</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Southern Sub-Saharan Africa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0.11 (0.07, 0.15)</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0.09 (0.05, 0.12)</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0.53 (-0.16, 1.98)</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0.18 (0.11, 0.25)</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0.14 (0.08, 0.23)</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0.56 (0.10, 1.21)</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0.09 (0.06, 0.12)</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(0.04, 0.10)</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0.45 (-0.19, 1.77)</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0.13 (0.08, 0.19)</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0.10 (0.06, 0.17)</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0.47 (0.06, 1.07)</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Tropical Latin America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(0.06, 0.07)</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(0.05, 0.06)</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1.02 (0.74, 1.34)</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0.13 (0.12, 0.14)</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0.11 (0.10, 0.12)</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0.93 (0.72, 1.15)</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(0.05, 0.06)</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(0.04, 0.04)</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0.69 (0.51, 0.85)</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0.09 (0.08, 0.09)</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(0.06, 0.07)</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0.68 (0.52, 0.83)</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Western Europe</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0.14 (0.13, 0.16)</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0.10 (0.09, 0.12)</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0.11 (-0.14, 0.42)</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0.19 (0.16, 0.22)</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0.11 (0.09, 0.14)</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0.31 (0.12, 0.54)</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0.07 (0.07, 0.08)</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0.05 (0.04, 0.05)</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-0.22 (-0.29, -0.16)</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0.06 (0.06, 0.07)</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0.04 (0.03, 0.04)</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-0.13 (-0.20, -0.05)</w:t>
            </w:r>
          </w:p>
        </w:tc>
      </w:tr>
      <w:tr w:rsidR="00172125" w:rsidRPr="00A80E5C" w:rsidTr="009F68FB">
        <w:trPr>
          <w:trHeight w:val="165"/>
        </w:trPr>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Western Sub-Saharan Africa</w:t>
            </w:r>
          </w:p>
        </w:tc>
        <w:tc>
          <w:tcPr>
            <w:tcW w:w="8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(0.01, 0.02)</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(0.00, 0.01)</w:t>
            </w:r>
          </w:p>
        </w:tc>
        <w:tc>
          <w:tcPr>
            <w:tcW w:w="810"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1.07 (0.00, 2.62)</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(0.01, 0.02)</w:t>
            </w:r>
          </w:p>
        </w:tc>
        <w:tc>
          <w:tcPr>
            <w:tcW w:w="7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0.02 (0.00, 0.03)</w:t>
            </w:r>
          </w:p>
        </w:tc>
        <w:tc>
          <w:tcPr>
            <w:tcW w:w="805"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0.59 (0.04, 1.49)</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(0.00, 0.01)</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(0.00, 0.01)</w:t>
            </w:r>
          </w:p>
        </w:tc>
        <w:tc>
          <w:tcPr>
            <w:tcW w:w="896"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0.93 (-0.05, 2.31)</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(0.01, 0.02)</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0.01 (0.00, 0.02)</w:t>
            </w:r>
          </w:p>
        </w:tc>
        <w:tc>
          <w:tcPr>
            <w:tcW w:w="894" w:type="dxa"/>
            <w:tcBorders>
              <w:top w:val="single" w:sz="6" w:space="0" w:color="000000"/>
              <w:left w:val="single" w:sz="6" w:space="0" w:color="000000"/>
              <w:bottom w:val="single" w:sz="6" w:space="0" w:color="000000"/>
              <w:right w:val="single" w:sz="6" w:space="0" w:color="000000"/>
            </w:tcBorders>
          </w:tcPr>
          <w:p w:rsidR="00172125" w:rsidRPr="00A80E5C" w:rsidRDefault="00172125" w:rsidP="009F68FB">
            <w:pPr>
              <w:spacing w:after="0" w:line="240" w:lineRule="auto"/>
              <w:rPr>
                <w:rFonts w:ascii="Times New Roman" w:eastAsia="Times New Roman" w:hAnsi="Times New Roman" w:cs="Times New Roman"/>
                <w:kern w:val="0"/>
                <w14:ligatures w14:val="none"/>
              </w:rPr>
            </w:pPr>
            <w:r w:rsidRPr="00A80E5C">
              <w:rPr>
                <w:rFonts w:ascii="Helvetica Neue" w:eastAsia="Times New Roman" w:hAnsi="Helvetica Neue" w:cs="Times New Roman"/>
                <w:color w:val="000000"/>
                <w:kern w:val="0"/>
                <w:sz w:val="15"/>
                <w:szCs w:val="15"/>
                <w14:ligatures w14:val="none"/>
              </w:rPr>
              <w:t>0.49 (-0.02, 1.27)</w:t>
            </w:r>
          </w:p>
        </w:tc>
      </w:tr>
    </w:tbl>
    <w:p w:rsidR="00B40BA2" w:rsidRDefault="00B40BA2"/>
    <w:sectPr w:rsidR="00B40B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921"/>
    <w:rsid w:val="00087F1B"/>
    <w:rsid w:val="00104361"/>
    <w:rsid w:val="00172125"/>
    <w:rsid w:val="00320EFF"/>
    <w:rsid w:val="0035511E"/>
    <w:rsid w:val="00360608"/>
    <w:rsid w:val="003B682E"/>
    <w:rsid w:val="005A5C38"/>
    <w:rsid w:val="006A68B9"/>
    <w:rsid w:val="007107D8"/>
    <w:rsid w:val="00823E97"/>
    <w:rsid w:val="00885246"/>
    <w:rsid w:val="00904911"/>
    <w:rsid w:val="00B26FBE"/>
    <w:rsid w:val="00B40BA2"/>
    <w:rsid w:val="00C52E83"/>
    <w:rsid w:val="00C80921"/>
    <w:rsid w:val="00D168C6"/>
    <w:rsid w:val="00F15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A38A23"/>
  <w15:chartTrackingRefBased/>
  <w15:docId w15:val="{76E1EE4A-9A5B-A649-812F-0BFF6F95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9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09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09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09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09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09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9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9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9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9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09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09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09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09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09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9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9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921"/>
    <w:rPr>
      <w:rFonts w:eastAsiaTheme="majorEastAsia" w:cstheme="majorBidi"/>
      <w:color w:val="272727" w:themeColor="text1" w:themeTint="D8"/>
    </w:rPr>
  </w:style>
  <w:style w:type="paragraph" w:styleId="Title">
    <w:name w:val="Title"/>
    <w:basedOn w:val="Normal"/>
    <w:next w:val="Normal"/>
    <w:link w:val="TitleChar"/>
    <w:uiPriority w:val="10"/>
    <w:qFormat/>
    <w:rsid w:val="00C809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9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9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09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0921"/>
    <w:pPr>
      <w:spacing w:before="160"/>
      <w:jc w:val="center"/>
    </w:pPr>
    <w:rPr>
      <w:i/>
      <w:iCs/>
      <w:color w:val="404040" w:themeColor="text1" w:themeTint="BF"/>
    </w:rPr>
  </w:style>
  <w:style w:type="character" w:customStyle="1" w:styleId="QuoteChar">
    <w:name w:val="Quote Char"/>
    <w:basedOn w:val="DefaultParagraphFont"/>
    <w:link w:val="Quote"/>
    <w:uiPriority w:val="29"/>
    <w:rsid w:val="00C80921"/>
    <w:rPr>
      <w:i/>
      <w:iCs/>
      <w:color w:val="404040" w:themeColor="text1" w:themeTint="BF"/>
    </w:rPr>
  </w:style>
  <w:style w:type="paragraph" w:styleId="ListParagraph">
    <w:name w:val="List Paragraph"/>
    <w:basedOn w:val="Normal"/>
    <w:uiPriority w:val="34"/>
    <w:qFormat/>
    <w:rsid w:val="00C80921"/>
    <w:pPr>
      <w:ind w:left="720"/>
      <w:contextualSpacing/>
    </w:pPr>
  </w:style>
  <w:style w:type="character" w:styleId="IntenseEmphasis">
    <w:name w:val="Intense Emphasis"/>
    <w:basedOn w:val="DefaultParagraphFont"/>
    <w:uiPriority w:val="21"/>
    <w:qFormat/>
    <w:rsid w:val="00C80921"/>
    <w:rPr>
      <w:i/>
      <w:iCs/>
      <w:color w:val="2F5496" w:themeColor="accent1" w:themeShade="BF"/>
    </w:rPr>
  </w:style>
  <w:style w:type="paragraph" w:styleId="IntenseQuote">
    <w:name w:val="Intense Quote"/>
    <w:basedOn w:val="Normal"/>
    <w:next w:val="Normal"/>
    <w:link w:val="IntenseQuoteChar"/>
    <w:uiPriority w:val="30"/>
    <w:qFormat/>
    <w:rsid w:val="00C809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0921"/>
    <w:rPr>
      <w:i/>
      <w:iCs/>
      <w:color w:val="2F5496" w:themeColor="accent1" w:themeShade="BF"/>
    </w:rPr>
  </w:style>
  <w:style w:type="character" w:styleId="IntenseReference">
    <w:name w:val="Intense Reference"/>
    <w:basedOn w:val="DefaultParagraphFont"/>
    <w:uiPriority w:val="32"/>
    <w:qFormat/>
    <w:rsid w:val="00C80921"/>
    <w:rPr>
      <w:b/>
      <w:bCs/>
      <w:smallCaps/>
      <w:color w:val="2F5496" w:themeColor="accent1" w:themeShade="BF"/>
      <w:spacing w:val="5"/>
    </w:rPr>
  </w:style>
  <w:style w:type="paragraph" w:styleId="NormalWeb">
    <w:name w:val="Normal (Web)"/>
    <w:basedOn w:val="Normal"/>
    <w:uiPriority w:val="99"/>
    <w:semiHidden/>
    <w:unhideWhenUsed/>
    <w:rsid w:val="00B40BA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71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1212</Words>
  <Characters>6910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Rupayan Kundu</dc:creator>
  <cp:keywords/>
  <dc:description/>
  <cp:lastModifiedBy>Rupayan Kundu</cp:lastModifiedBy>
  <cp:revision>2</cp:revision>
  <dcterms:created xsi:type="dcterms:W3CDTF">2025-03-31T20:24:00Z</dcterms:created>
  <dcterms:modified xsi:type="dcterms:W3CDTF">2025-03-31T20:24:00Z</dcterms:modified>
</cp:coreProperties>
</file>