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A4EBE" w14:textId="77777777" w:rsidR="00D7364C" w:rsidRDefault="00D7364C"/>
    <w:tbl>
      <w:tblPr>
        <w:tblStyle w:val="TableGrid"/>
        <w:tblW w:w="0" w:type="auto"/>
        <w:jc w:val="center"/>
        <w:shd w:val="clear" w:color="auto" w:fill="000000" w:themeFill="text1"/>
        <w:tblLook w:val="04A0" w:firstRow="1" w:lastRow="0" w:firstColumn="1" w:lastColumn="0" w:noHBand="0" w:noVBand="1"/>
      </w:tblPr>
      <w:tblGrid>
        <w:gridCol w:w="4508"/>
        <w:gridCol w:w="4508"/>
      </w:tblGrid>
      <w:tr w:rsidR="00D7364C" w14:paraId="5E0E5C90" w14:textId="77777777" w:rsidTr="00D7364C">
        <w:trPr>
          <w:jc w:val="center"/>
        </w:trPr>
        <w:tc>
          <w:tcPr>
            <w:tcW w:w="4508" w:type="dxa"/>
            <w:shd w:val="clear" w:color="auto" w:fill="000000" w:themeFill="text1"/>
          </w:tcPr>
          <w:p w14:paraId="1F36B75E" w14:textId="2C111476" w:rsidR="00D7364C" w:rsidRDefault="00D7364C" w:rsidP="00D7364C">
            <w:pPr>
              <w:jc w:val="center"/>
            </w:pPr>
            <w:r>
              <w:rPr>
                <w:noProof/>
              </w:rPr>
              <w:drawing>
                <wp:inline distT="0" distB="0" distL="0" distR="0" wp14:anchorId="264AB960" wp14:editId="1BB66ECB">
                  <wp:extent cx="2505075" cy="2505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5075" cy="2505075"/>
                          </a:xfrm>
                          <a:prstGeom prst="rect">
                            <a:avLst/>
                          </a:prstGeom>
                          <a:noFill/>
                          <a:ln>
                            <a:noFill/>
                          </a:ln>
                        </pic:spPr>
                      </pic:pic>
                    </a:graphicData>
                  </a:graphic>
                </wp:inline>
              </w:drawing>
            </w:r>
          </w:p>
        </w:tc>
        <w:tc>
          <w:tcPr>
            <w:tcW w:w="4508" w:type="dxa"/>
            <w:shd w:val="clear" w:color="auto" w:fill="000000" w:themeFill="text1"/>
          </w:tcPr>
          <w:p w14:paraId="11254680" w14:textId="44F28D18" w:rsidR="00D7364C" w:rsidRDefault="00D7364C" w:rsidP="00D7364C">
            <w:pPr>
              <w:jc w:val="center"/>
            </w:pPr>
            <w:r>
              <w:rPr>
                <w:noProof/>
              </w:rPr>
              <w:drawing>
                <wp:inline distT="0" distB="0" distL="0" distR="0" wp14:anchorId="281BA26B" wp14:editId="4732AE66">
                  <wp:extent cx="2486025" cy="2486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tc>
      </w:tr>
    </w:tbl>
    <w:p w14:paraId="11C5315A" w14:textId="77777777" w:rsidR="00D7364C" w:rsidRDefault="00D7364C"/>
    <w:p w14:paraId="37957EAF" w14:textId="3A936E12" w:rsidR="00E3505B" w:rsidRDefault="00E3505B"/>
    <w:p w14:paraId="24BC54AB" w14:textId="023419F0" w:rsidR="00F140D3" w:rsidRDefault="00D7364C" w:rsidP="00D7364C">
      <w:pPr>
        <w:jc w:val="center"/>
      </w:pPr>
      <w:r w:rsidRPr="00D7364C">
        <w:rPr>
          <w:b/>
          <w:bCs/>
        </w:rPr>
        <w:t xml:space="preserve">Appendix Figure - Example of segmentation failure. </w:t>
      </w:r>
      <w:r>
        <w:t xml:space="preserve">The human-labelled slice is shown on the left, with only the aorta (red) segmented as a region of interest. The neural network (right) has correctly identified the aorta but has made two further errors. First, it believes the </w:t>
      </w:r>
      <w:r w:rsidR="00630133">
        <w:t>roof of the</w:t>
      </w:r>
      <w:r>
        <w:t xml:space="preserve"> stomach is the inferior LV wall (shaded in yellow). It has also segmented an area of abdominal visceral fat as pleural effusion (green). The latter is particularly surprising, as it has not mistaken the corresponding fat on the patient’s right side as effusion.</w:t>
      </w:r>
    </w:p>
    <w:p w14:paraId="652E2559" w14:textId="365BAD03" w:rsidR="00F140D3" w:rsidRDefault="00F140D3"/>
    <w:p w14:paraId="76091238" w14:textId="77777777" w:rsidR="00F140D3" w:rsidRDefault="00F140D3"/>
    <w:sectPr w:rsidR="00F140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91"/>
    <w:rsid w:val="00284691"/>
    <w:rsid w:val="00630133"/>
    <w:rsid w:val="00D7364C"/>
    <w:rsid w:val="00E3505B"/>
    <w:rsid w:val="00F14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459DB"/>
  <w15:chartTrackingRefBased/>
  <w15:docId w15:val="{9EBE1F8C-5146-4A9B-92C1-A6A747F4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Howard</dc:creator>
  <cp:keywords/>
  <dc:description/>
  <cp:lastModifiedBy>Howard, James</cp:lastModifiedBy>
  <cp:revision>5</cp:revision>
  <dcterms:created xsi:type="dcterms:W3CDTF">2020-09-23T15:09:00Z</dcterms:created>
  <dcterms:modified xsi:type="dcterms:W3CDTF">2020-09-27T11:43:00Z</dcterms:modified>
</cp:coreProperties>
</file>