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78E71" w14:textId="14BD7F5A" w:rsidR="00A76BA6" w:rsidRPr="00A76BA6" w:rsidRDefault="00A76BA6" w:rsidP="00A76BA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76B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Supplementary Material</w:t>
      </w:r>
    </w:p>
    <w:p w14:paraId="2B6C51AA" w14:textId="77777777" w:rsidR="00A76BA6" w:rsidRPr="00A76BA6" w:rsidRDefault="00A76BA6" w:rsidP="00A76B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76B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Table S1: Pearson's Correlation Coefficients and P-values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2"/>
        <w:gridCol w:w="1214"/>
        <w:gridCol w:w="834"/>
        <w:gridCol w:w="2228"/>
      </w:tblGrid>
      <w:tr w:rsidR="00A76BA6" w:rsidRPr="00A76BA6" w14:paraId="26F92989" w14:textId="77777777" w:rsidTr="00A76B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85A28C" w14:textId="77777777" w:rsidR="00A76BA6" w:rsidRPr="00A76BA6" w:rsidRDefault="00A76BA6" w:rsidP="00A7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Method Comparison</w:t>
            </w:r>
          </w:p>
        </w:tc>
        <w:tc>
          <w:tcPr>
            <w:tcW w:w="0" w:type="auto"/>
            <w:vAlign w:val="center"/>
            <w:hideMark/>
          </w:tcPr>
          <w:p w14:paraId="22B9D31E" w14:textId="77777777" w:rsidR="00A76BA6" w:rsidRPr="00A76BA6" w:rsidRDefault="00A76BA6" w:rsidP="00A7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Pearson's r</w:t>
            </w:r>
          </w:p>
        </w:tc>
        <w:tc>
          <w:tcPr>
            <w:tcW w:w="0" w:type="auto"/>
            <w:vAlign w:val="center"/>
            <w:hideMark/>
          </w:tcPr>
          <w:p w14:paraId="4DE4DBEC" w14:textId="77777777" w:rsidR="00A76BA6" w:rsidRPr="00A76BA6" w:rsidRDefault="00A76BA6" w:rsidP="00A7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P-value</w:t>
            </w:r>
          </w:p>
        </w:tc>
        <w:tc>
          <w:tcPr>
            <w:tcW w:w="0" w:type="auto"/>
            <w:vAlign w:val="center"/>
            <w:hideMark/>
          </w:tcPr>
          <w:p w14:paraId="5FD5C526" w14:textId="77777777" w:rsidR="00A76BA6" w:rsidRPr="00A76BA6" w:rsidRDefault="00A76BA6" w:rsidP="00A7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Correlation Strength</w:t>
            </w:r>
          </w:p>
        </w:tc>
      </w:tr>
      <w:tr w:rsidR="00A76BA6" w:rsidRPr="00A76BA6" w14:paraId="64DF99AA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B215F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de-CH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:lang w:val="de-CH"/>
                <w14:ligatures w14:val="none"/>
              </w:rPr>
              <w:t>2D-PCstandard vs. 2D-PCMVAAo</w:t>
            </w:r>
          </w:p>
        </w:tc>
        <w:tc>
          <w:tcPr>
            <w:tcW w:w="0" w:type="auto"/>
            <w:vAlign w:val="center"/>
            <w:hideMark/>
          </w:tcPr>
          <w:p w14:paraId="08FC009F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0.413</w:t>
            </w:r>
          </w:p>
        </w:tc>
        <w:tc>
          <w:tcPr>
            <w:tcW w:w="0" w:type="auto"/>
            <w:vAlign w:val="center"/>
            <w:hideMark/>
          </w:tcPr>
          <w:p w14:paraId="46B095B3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0.040</w:t>
            </w:r>
          </w:p>
        </w:tc>
        <w:tc>
          <w:tcPr>
            <w:tcW w:w="0" w:type="auto"/>
            <w:vAlign w:val="center"/>
            <w:hideMark/>
          </w:tcPr>
          <w:p w14:paraId="7F6BC7DE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</w:t>
            </w:r>
          </w:p>
        </w:tc>
      </w:tr>
      <w:tr w:rsidR="00A76BA6" w:rsidRPr="00A76BA6" w14:paraId="1A787692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6FEEC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2D-PCstandard vs. 2D-PCMVdirect</w:t>
            </w:r>
          </w:p>
        </w:tc>
        <w:tc>
          <w:tcPr>
            <w:tcW w:w="0" w:type="auto"/>
            <w:vAlign w:val="center"/>
            <w:hideMark/>
          </w:tcPr>
          <w:p w14:paraId="1A3EA0B8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0.798</w:t>
            </w:r>
          </w:p>
        </w:tc>
        <w:tc>
          <w:tcPr>
            <w:tcW w:w="0" w:type="auto"/>
            <w:vAlign w:val="center"/>
            <w:hideMark/>
          </w:tcPr>
          <w:p w14:paraId="6FA8656B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2A47AB04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</w:t>
            </w:r>
          </w:p>
        </w:tc>
      </w:tr>
      <w:tr w:rsidR="00A76BA6" w:rsidRPr="00A76BA6" w14:paraId="4097C50E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988C5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2D-PCstandard vs. Volumetric</w:t>
            </w:r>
          </w:p>
        </w:tc>
        <w:tc>
          <w:tcPr>
            <w:tcW w:w="0" w:type="auto"/>
            <w:vAlign w:val="center"/>
            <w:hideMark/>
          </w:tcPr>
          <w:p w14:paraId="5DB0BD37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0.126</w:t>
            </w:r>
          </w:p>
        </w:tc>
        <w:tc>
          <w:tcPr>
            <w:tcW w:w="0" w:type="auto"/>
            <w:vAlign w:val="center"/>
            <w:hideMark/>
          </w:tcPr>
          <w:p w14:paraId="6057C40A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0.540</w:t>
            </w:r>
          </w:p>
        </w:tc>
        <w:tc>
          <w:tcPr>
            <w:tcW w:w="0" w:type="auto"/>
            <w:vAlign w:val="center"/>
            <w:hideMark/>
          </w:tcPr>
          <w:p w14:paraId="2208A467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7C45D853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F886C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2D-PCstandard vs. 4D-flowstandard</w:t>
            </w:r>
          </w:p>
        </w:tc>
        <w:tc>
          <w:tcPr>
            <w:tcW w:w="0" w:type="auto"/>
            <w:vAlign w:val="center"/>
            <w:hideMark/>
          </w:tcPr>
          <w:p w14:paraId="66D16502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0.836</w:t>
            </w:r>
          </w:p>
        </w:tc>
        <w:tc>
          <w:tcPr>
            <w:tcW w:w="0" w:type="auto"/>
            <w:vAlign w:val="center"/>
            <w:hideMark/>
          </w:tcPr>
          <w:p w14:paraId="0A1CEC66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12A5C366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</w:t>
            </w:r>
          </w:p>
        </w:tc>
      </w:tr>
      <w:tr w:rsidR="00A76BA6" w:rsidRPr="00A76BA6" w14:paraId="19597AEE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8D1CE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2D-PCstandard vs. 4D-flowMVAAo</w:t>
            </w:r>
          </w:p>
        </w:tc>
        <w:tc>
          <w:tcPr>
            <w:tcW w:w="0" w:type="auto"/>
            <w:vAlign w:val="center"/>
            <w:hideMark/>
          </w:tcPr>
          <w:p w14:paraId="01E583A9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0.075</w:t>
            </w:r>
          </w:p>
        </w:tc>
        <w:tc>
          <w:tcPr>
            <w:tcW w:w="0" w:type="auto"/>
            <w:vAlign w:val="center"/>
            <w:hideMark/>
          </w:tcPr>
          <w:p w14:paraId="5CF8AA3B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0.790</w:t>
            </w:r>
          </w:p>
        </w:tc>
        <w:tc>
          <w:tcPr>
            <w:tcW w:w="0" w:type="auto"/>
            <w:vAlign w:val="center"/>
            <w:hideMark/>
          </w:tcPr>
          <w:p w14:paraId="4AA79059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0D49A24B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DB2B6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2D-PCstandard vs. 4D-flowMVdirect</w:t>
            </w:r>
          </w:p>
        </w:tc>
        <w:tc>
          <w:tcPr>
            <w:tcW w:w="0" w:type="auto"/>
            <w:vAlign w:val="center"/>
            <w:hideMark/>
          </w:tcPr>
          <w:p w14:paraId="264DB714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0.661</w:t>
            </w:r>
          </w:p>
        </w:tc>
        <w:tc>
          <w:tcPr>
            <w:tcW w:w="0" w:type="auto"/>
            <w:vAlign w:val="center"/>
            <w:hideMark/>
          </w:tcPr>
          <w:p w14:paraId="0E752E45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0.007</w:t>
            </w:r>
          </w:p>
        </w:tc>
        <w:tc>
          <w:tcPr>
            <w:tcW w:w="0" w:type="auto"/>
            <w:vAlign w:val="center"/>
            <w:hideMark/>
          </w:tcPr>
          <w:p w14:paraId="407CC2CA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</w:t>
            </w:r>
          </w:p>
        </w:tc>
      </w:tr>
      <w:tr w:rsidR="00A76BA6" w:rsidRPr="00A76BA6" w14:paraId="0D184A75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3C1BB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2D-PCMVAAo vs. 2D-PCMVdirect</w:t>
            </w:r>
          </w:p>
        </w:tc>
        <w:tc>
          <w:tcPr>
            <w:tcW w:w="0" w:type="auto"/>
            <w:vAlign w:val="center"/>
            <w:hideMark/>
          </w:tcPr>
          <w:p w14:paraId="288BFC66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0.360</w:t>
            </w:r>
          </w:p>
        </w:tc>
        <w:tc>
          <w:tcPr>
            <w:tcW w:w="0" w:type="auto"/>
            <w:vAlign w:val="center"/>
            <w:hideMark/>
          </w:tcPr>
          <w:p w14:paraId="1D5EAA40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0.077</w:t>
            </w:r>
          </w:p>
        </w:tc>
        <w:tc>
          <w:tcPr>
            <w:tcW w:w="0" w:type="auto"/>
            <w:vAlign w:val="center"/>
            <w:hideMark/>
          </w:tcPr>
          <w:p w14:paraId="53B620E1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5AA7B9D9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D2180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2D-PCMVAAo vs. Volumetric</w:t>
            </w:r>
          </w:p>
        </w:tc>
        <w:tc>
          <w:tcPr>
            <w:tcW w:w="0" w:type="auto"/>
            <w:vAlign w:val="center"/>
            <w:hideMark/>
          </w:tcPr>
          <w:p w14:paraId="5F2B11C7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-0.129</w:t>
            </w:r>
          </w:p>
        </w:tc>
        <w:tc>
          <w:tcPr>
            <w:tcW w:w="0" w:type="auto"/>
            <w:vAlign w:val="center"/>
            <w:hideMark/>
          </w:tcPr>
          <w:p w14:paraId="1255D6E3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0.539</w:t>
            </w:r>
          </w:p>
        </w:tc>
        <w:tc>
          <w:tcPr>
            <w:tcW w:w="0" w:type="auto"/>
            <w:vAlign w:val="center"/>
            <w:hideMark/>
          </w:tcPr>
          <w:p w14:paraId="022182E8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04AA65C1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1A32E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2D-PCMVAAo vs. 4D-flowstandard</w:t>
            </w:r>
          </w:p>
        </w:tc>
        <w:tc>
          <w:tcPr>
            <w:tcW w:w="0" w:type="auto"/>
            <w:vAlign w:val="center"/>
            <w:hideMark/>
          </w:tcPr>
          <w:p w14:paraId="412E1B64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0.671</w:t>
            </w:r>
          </w:p>
        </w:tc>
        <w:tc>
          <w:tcPr>
            <w:tcW w:w="0" w:type="auto"/>
            <w:vAlign w:val="center"/>
            <w:hideMark/>
          </w:tcPr>
          <w:p w14:paraId="20DD9296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0.006</w:t>
            </w:r>
          </w:p>
        </w:tc>
        <w:tc>
          <w:tcPr>
            <w:tcW w:w="0" w:type="auto"/>
            <w:vAlign w:val="center"/>
            <w:hideMark/>
          </w:tcPr>
          <w:p w14:paraId="6F4D545D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</w:t>
            </w:r>
          </w:p>
        </w:tc>
      </w:tr>
      <w:tr w:rsidR="00A76BA6" w:rsidRPr="00A76BA6" w14:paraId="3A0B313E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E5B3B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2D-PCMVAAo vs. 4D-flowMVAAo</w:t>
            </w:r>
          </w:p>
        </w:tc>
        <w:tc>
          <w:tcPr>
            <w:tcW w:w="0" w:type="auto"/>
            <w:vAlign w:val="center"/>
            <w:hideMark/>
          </w:tcPr>
          <w:p w14:paraId="79CEB029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0.310</w:t>
            </w:r>
          </w:p>
        </w:tc>
        <w:tc>
          <w:tcPr>
            <w:tcW w:w="0" w:type="auto"/>
            <w:vAlign w:val="center"/>
            <w:hideMark/>
          </w:tcPr>
          <w:p w14:paraId="09490AE9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0.261</w:t>
            </w:r>
          </w:p>
        </w:tc>
        <w:tc>
          <w:tcPr>
            <w:tcW w:w="0" w:type="auto"/>
            <w:vAlign w:val="center"/>
            <w:hideMark/>
          </w:tcPr>
          <w:p w14:paraId="5234436B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52B28211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CFB67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2D-PCMVAAo vs. 4D-flowMVdirect</w:t>
            </w:r>
          </w:p>
        </w:tc>
        <w:tc>
          <w:tcPr>
            <w:tcW w:w="0" w:type="auto"/>
            <w:vAlign w:val="center"/>
            <w:hideMark/>
          </w:tcPr>
          <w:p w14:paraId="21F57D21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0.699</w:t>
            </w:r>
          </w:p>
        </w:tc>
        <w:tc>
          <w:tcPr>
            <w:tcW w:w="0" w:type="auto"/>
            <w:vAlign w:val="center"/>
            <w:hideMark/>
          </w:tcPr>
          <w:p w14:paraId="61CE253E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0.004</w:t>
            </w:r>
          </w:p>
        </w:tc>
        <w:tc>
          <w:tcPr>
            <w:tcW w:w="0" w:type="auto"/>
            <w:vAlign w:val="center"/>
            <w:hideMark/>
          </w:tcPr>
          <w:p w14:paraId="3C779596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</w:t>
            </w:r>
          </w:p>
        </w:tc>
      </w:tr>
      <w:tr w:rsidR="00A76BA6" w:rsidRPr="00A76BA6" w14:paraId="636B6ECA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4B991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2D-PCMVdirect vs. Volumetric</w:t>
            </w:r>
          </w:p>
        </w:tc>
        <w:tc>
          <w:tcPr>
            <w:tcW w:w="0" w:type="auto"/>
            <w:vAlign w:val="center"/>
            <w:hideMark/>
          </w:tcPr>
          <w:p w14:paraId="72BFBF06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0.351</w:t>
            </w:r>
          </w:p>
        </w:tc>
        <w:tc>
          <w:tcPr>
            <w:tcW w:w="0" w:type="auto"/>
            <w:vAlign w:val="center"/>
            <w:hideMark/>
          </w:tcPr>
          <w:p w14:paraId="411030BB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0.085</w:t>
            </w:r>
          </w:p>
        </w:tc>
        <w:tc>
          <w:tcPr>
            <w:tcW w:w="0" w:type="auto"/>
            <w:vAlign w:val="center"/>
            <w:hideMark/>
          </w:tcPr>
          <w:p w14:paraId="252A50D3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22C634BF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627CE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2D-PCMVdirect vs. 4D-flowstandard</w:t>
            </w:r>
          </w:p>
        </w:tc>
        <w:tc>
          <w:tcPr>
            <w:tcW w:w="0" w:type="auto"/>
            <w:vAlign w:val="center"/>
            <w:hideMark/>
          </w:tcPr>
          <w:p w14:paraId="54B1DD4E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0.751</w:t>
            </w:r>
          </w:p>
        </w:tc>
        <w:tc>
          <w:tcPr>
            <w:tcW w:w="0" w:type="auto"/>
            <w:vAlign w:val="center"/>
            <w:hideMark/>
          </w:tcPr>
          <w:p w14:paraId="4683E083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4C48E000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</w:t>
            </w:r>
          </w:p>
        </w:tc>
      </w:tr>
      <w:tr w:rsidR="00A76BA6" w:rsidRPr="00A76BA6" w14:paraId="4D519F69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24793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2D-PCMVdirect vs. 4D-flowMVAAo</w:t>
            </w:r>
          </w:p>
        </w:tc>
        <w:tc>
          <w:tcPr>
            <w:tcW w:w="0" w:type="auto"/>
            <w:vAlign w:val="center"/>
            <w:hideMark/>
          </w:tcPr>
          <w:p w14:paraId="0BE0911F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0.230</w:t>
            </w:r>
          </w:p>
        </w:tc>
        <w:tc>
          <w:tcPr>
            <w:tcW w:w="0" w:type="auto"/>
            <w:vAlign w:val="center"/>
            <w:hideMark/>
          </w:tcPr>
          <w:p w14:paraId="412C0703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0.409</w:t>
            </w:r>
          </w:p>
        </w:tc>
        <w:tc>
          <w:tcPr>
            <w:tcW w:w="0" w:type="auto"/>
            <w:vAlign w:val="center"/>
            <w:hideMark/>
          </w:tcPr>
          <w:p w14:paraId="5115D322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67DC749A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D53BD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2D-PCMVdirect vs. 4D-flowMVdirect</w:t>
            </w:r>
          </w:p>
        </w:tc>
        <w:tc>
          <w:tcPr>
            <w:tcW w:w="0" w:type="auto"/>
            <w:vAlign w:val="center"/>
            <w:hideMark/>
          </w:tcPr>
          <w:p w14:paraId="4A625645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0.639</w:t>
            </w:r>
          </w:p>
        </w:tc>
        <w:tc>
          <w:tcPr>
            <w:tcW w:w="0" w:type="auto"/>
            <w:vAlign w:val="center"/>
            <w:hideMark/>
          </w:tcPr>
          <w:p w14:paraId="39948263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0.010</w:t>
            </w:r>
          </w:p>
        </w:tc>
        <w:tc>
          <w:tcPr>
            <w:tcW w:w="0" w:type="auto"/>
            <w:vAlign w:val="center"/>
            <w:hideMark/>
          </w:tcPr>
          <w:p w14:paraId="115AEA55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</w:t>
            </w:r>
          </w:p>
        </w:tc>
      </w:tr>
      <w:tr w:rsidR="00A76BA6" w:rsidRPr="00A76BA6" w14:paraId="39427E85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721ADB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Volumetric vs. 4D-flowstandard</w:t>
            </w:r>
          </w:p>
        </w:tc>
        <w:tc>
          <w:tcPr>
            <w:tcW w:w="0" w:type="auto"/>
            <w:vAlign w:val="center"/>
            <w:hideMark/>
          </w:tcPr>
          <w:p w14:paraId="277CEE0B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0.314</w:t>
            </w:r>
          </w:p>
        </w:tc>
        <w:tc>
          <w:tcPr>
            <w:tcW w:w="0" w:type="auto"/>
            <w:vAlign w:val="center"/>
            <w:hideMark/>
          </w:tcPr>
          <w:p w14:paraId="7EC4F575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0.255</w:t>
            </w:r>
          </w:p>
        </w:tc>
        <w:tc>
          <w:tcPr>
            <w:tcW w:w="0" w:type="auto"/>
            <w:vAlign w:val="center"/>
            <w:hideMark/>
          </w:tcPr>
          <w:p w14:paraId="6509850F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0A0D4441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FC87A3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Volumetric vs. 4D-flowMVAAo</w:t>
            </w:r>
          </w:p>
        </w:tc>
        <w:tc>
          <w:tcPr>
            <w:tcW w:w="0" w:type="auto"/>
            <w:vAlign w:val="center"/>
            <w:hideMark/>
          </w:tcPr>
          <w:p w14:paraId="60EC5174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0.364</w:t>
            </w:r>
          </w:p>
        </w:tc>
        <w:tc>
          <w:tcPr>
            <w:tcW w:w="0" w:type="auto"/>
            <w:vAlign w:val="center"/>
            <w:hideMark/>
          </w:tcPr>
          <w:p w14:paraId="64FDB5CA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0.183</w:t>
            </w:r>
          </w:p>
        </w:tc>
        <w:tc>
          <w:tcPr>
            <w:tcW w:w="0" w:type="auto"/>
            <w:vAlign w:val="center"/>
            <w:hideMark/>
          </w:tcPr>
          <w:p w14:paraId="743400BD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3DDD00D9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0332D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Volumetric vs. 4D-flowMVdirect</w:t>
            </w:r>
          </w:p>
        </w:tc>
        <w:tc>
          <w:tcPr>
            <w:tcW w:w="0" w:type="auto"/>
            <w:vAlign w:val="center"/>
            <w:hideMark/>
          </w:tcPr>
          <w:p w14:paraId="34B81CB7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0.255</w:t>
            </w:r>
          </w:p>
        </w:tc>
        <w:tc>
          <w:tcPr>
            <w:tcW w:w="0" w:type="auto"/>
            <w:vAlign w:val="center"/>
            <w:hideMark/>
          </w:tcPr>
          <w:p w14:paraId="16326A61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0.360</w:t>
            </w:r>
          </w:p>
        </w:tc>
        <w:tc>
          <w:tcPr>
            <w:tcW w:w="0" w:type="auto"/>
            <w:vAlign w:val="center"/>
            <w:hideMark/>
          </w:tcPr>
          <w:p w14:paraId="2727D32C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73DD4248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651B5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4D-flowstandard vs. 4D-flowMVAAo</w:t>
            </w:r>
          </w:p>
        </w:tc>
        <w:tc>
          <w:tcPr>
            <w:tcW w:w="0" w:type="auto"/>
            <w:vAlign w:val="center"/>
            <w:hideMark/>
          </w:tcPr>
          <w:p w14:paraId="70297487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0.320</w:t>
            </w:r>
          </w:p>
        </w:tc>
        <w:tc>
          <w:tcPr>
            <w:tcW w:w="0" w:type="auto"/>
            <w:vAlign w:val="center"/>
            <w:hideMark/>
          </w:tcPr>
          <w:p w14:paraId="01684ED7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0.246</w:t>
            </w:r>
          </w:p>
        </w:tc>
        <w:tc>
          <w:tcPr>
            <w:tcW w:w="0" w:type="auto"/>
            <w:vAlign w:val="center"/>
            <w:hideMark/>
          </w:tcPr>
          <w:p w14:paraId="19A541E2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  <w:tr w:rsidR="00A76BA6" w:rsidRPr="00A76BA6" w14:paraId="64C67B74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4BEEE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4D-flowstandard vs. 4D-flowMVdirect</w:t>
            </w:r>
          </w:p>
        </w:tc>
        <w:tc>
          <w:tcPr>
            <w:tcW w:w="0" w:type="auto"/>
            <w:vAlign w:val="center"/>
            <w:hideMark/>
          </w:tcPr>
          <w:p w14:paraId="0A5D6870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0.523</w:t>
            </w:r>
          </w:p>
        </w:tc>
        <w:tc>
          <w:tcPr>
            <w:tcW w:w="0" w:type="auto"/>
            <w:vAlign w:val="center"/>
            <w:hideMark/>
          </w:tcPr>
          <w:p w14:paraId="3C7C381A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0.046</w:t>
            </w:r>
          </w:p>
        </w:tc>
        <w:tc>
          <w:tcPr>
            <w:tcW w:w="0" w:type="auto"/>
            <w:vAlign w:val="center"/>
            <w:hideMark/>
          </w:tcPr>
          <w:p w14:paraId="048105C1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</w:t>
            </w:r>
          </w:p>
        </w:tc>
      </w:tr>
      <w:tr w:rsidR="00A76BA6" w:rsidRPr="00A76BA6" w14:paraId="434EFA3B" w14:textId="77777777" w:rsidTr="00A76B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AEFC7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4D-flowMVAAo vs. 4D-flowMVdirect</w:t>
            </w:r>
          </w:p>
        </w:tc>
        <w:tc>
          <w:tcPr>
            <w:tcW w:w="0" w:type="auto"/>
            <w:vAlign w:val="center"/>
            <w:hideMark/>
          </w:tcPr>
          <w:p w14:paraId="604D6894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0.212</w:t>
            </w:r>
          </w:p>
        </w:tc>
        <w:tc>
          <w:tcPr>
            <w:tcW w:w="0" w:type="auto"/>
            <w:vAlign w:val="center"/>
            <w:hideMark/>
          </w:tcPr>
          <w:p w14:paraId="14B1D3F4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0.449</w:t>
            </w:r>
          </w:p>
        </w:tc>
        <w:tc>
          <w:tcPr>
            <w:tcW w:w="0" w:type="auto"/>
            <w:vAlign w:val="center"/>
            <w:hideMark/>
          </w:tcPr>
          <w:p w14:paraId="051CF77C" w14:textId="77777777" w:rsidR="00A76BA6" w:rsidRPr="00A76BA6" w:rsidRDefault="00A76BA6" w:rsidP="00A76B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76B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</w:tr>
    </w:tbl>
    <w:p w14:paraId="47E28D63" w14:textId="77777777" w:rsidR="00A76BA6" w:rsidRDefault="00A76BA6" w:rsidP="00A7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A76BA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Correlation strength classification: r ≥ 0.9: excellent; r = 0.7-0.89: strong; r = 0.4-0.69: moderate; r &lt; 0.4: weak</w:t>
      </w:r>
    </w:p>
    <w:p w14:paraId="0FECA1E2" w14:textId="040B0597" w:rsidR="009962F2" w:rsidRDefault="009962F2">
      <w:pPr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br w:type="page"/>
      </w:r>
    </w:p>
    <w:p w14:paraId="3FB0A033" w14:textId="3489793B" w:rsidR="009962F2" w:rsidRPr="009962F2" w:rsidRDefault="009962F2" w:rsidP="009962F2">
      <w:pPr>
        <w:pStyle w:val="berschrift2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0" w:name="_Ref187064027"/>
      <w:r w:rsidRPr="009962F2">
        <w:rPr>
          <w:rFonts w:ascii="Times New Roman" w:hAnsi="Times New Roman" w:cs="Times New Roman"/>
          <w:color w:val="000000" w:themeColor="text1"/>
        </w:rPr>
        <w:lastRenderedPageBreak/>
        <w:t xml:space="preserve">Figure </w:t>
      </w:r>
      <w:bookmarkEnd w:id="0"/>
      <w:r w:rsidRPr="009962F2">
        <w:rPr>
          <w:rFonts w:ascii="Times New Roman" w:hAnsi="Times New Roman" w:cs="Times New Roman"/>
          <w:color w:val="000000" w:themeColor="text1"/>
        </w:rPr>
        <w:t>S</w:t>
      </w:r>
      <w:r w:rsidR="000D583C">
        <w:rPr>
          <w:rFonts w:ascii="Times New Roman" w:hAnsi="Times New Roman" w:cs="Times New Roman"/>
          <w:color w:val="000000" w:themeColor="text1"/>
        </w:rPr>
        <w:t>0</w:t>
      </w:r>
      <w:r w:rsidRPr="009962F2">
        <w:rPr>
          <w:rFonts w:ascii="Times New Roman" w:hAnsi="Times New Roman" w:cs="Times New Roman"/>
          <w:color w:val="000000" w:themeColor="text1"/>
        </w:rPr>
        <w:t xml:space="preserve">. </w:t>
      </w:r>
      <w:r w:rsidRPr="009962F2">
        <w:rPr>
          <w:rFonts w:ascii="Times New Roman" w:eastAsia="Times New Roman" w:hAnsi="Times New Roman" w:cs="Times New Roman"/>
          <w:color w:val="000000" w:themeColor="text1"/>
        </w:rPr>
        <w:t xml:space="preserve">Heatmap of correlation coefficients and p-values for MVR volume measurements across various CMR flow quantification methods. </w:t>
      </w:r>
    </w:p>
    <w:p w14:paraId="75FE8C28" w14:textId="77777777" w:rsidR="009962F2" w:rsidRPr="009962F2" w:rsidRDefault="009962F2" w:rsidP="009962F2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962F2">
        <w:rPr>
          <w:rFonts w:ascii="Times New Roman" w:eastAsia="Times New Roman" w:hAnsi="Times New Roman" w:cs="Times New Roman"/>
          <w:color w:val="000000" w:themeColor="text1"/>
        </w:rPr>
        <w:t xml:space="preserve">The correlation matrix includes data exclusively from the 15 patients who underwent both 2D-PC and 4D-flow acquisition. Pearson correlation coefficients (r) are displayed between pairs of methods, with a color scale ranging from </w:t>
      </w:r>
      <w:proofErr w:type="gramStart"/>
      <w:r w:rsidRPr="009962F2">
        <w:rPr>
          <w:rFonts w:ascii="Times New Roman" w:eastAsia="Times New Roman" w:hAnsi="Times New Roman" w:cs="Times New Roman"/>
          <w:color w:val="000000" w:themeColor="text1"/>
        </w:rPr>
        <w:t>-1</w:t>
      </w:r>
      <w:proofErr w:type="gramEnd"/>
      <w:r w:rsidRPr="009962F2">
        <w:rPr>
          <w:rFonts w:ascii="Times New Roman" w:eastAsia="Times New Roman" w:hAnsi="Times New Roman" w:cs="Times New Roman"/>
          <w:color w:val="000000" w:themeColor="text1"/>
        </w:rPr>
        <w:t xml:space="preserve"> (negative correlation, blue) to 1 (positive correlation, red). P-values </w:t>
      </w:r>
      <w:proofErr w:type="gramStart"/>
      <w:r w:rsidRPr="009962F2">
        <w:rPr>
          <w:rFonts w:ascii="Times New Roman" w:eastAsia="Times New Roman" w:hAnsi="Times New Roman" w:cs="Times New Roman"/>
          <w:color w:val="000000" w:themeColor="text1"/>
        </w:rPr>
        <w:t>are annotated</w:t>
      </w:r>
      <w:proofErr w:type="gramEnd"/>
      <w:r w:rsidRPr="009962F2">
        <w:rPr>
          <w:rFonts w:ascii="Times New Roman" w:eastAsia="Times New Roman" w:hAnsi="Times New Roman" w:cs="Times New Roman"/>
          <w:color w:val="000000" w:themeColor="text1"/>
        </w:rPr>
        <w:t xml:space="preserve"> on the heatmap. (</w:t>
      </w:r>
      <w:r w:rsidRPr="009962F2">
        <w:rPr>
          <w:rFonts w:ascii="Times New Roman" w:eastAsia="Times New Roman" w:hAnsi="Times New Roman" w:cs="Times New Roman"/>
          <w:color w:val="000000" w:themeColor="text1"/>
          <w:lang w:eastAsia="en-GB"/>
        </w:rPr>
        <w:t>Correlation classifications: r ≥ 0.9, excellent correlation; r = 0.7–0.89, strong correlation; r = 0.4–0.69, moderate correlation; r = 0.1–0.39, weak correlation).</w:t>
      </w:r>
    </w:p>
    <w:p w14:paraId="35E224F5" w14:textId="554566AA" w:rsidR="009962F2" w:rsidRPr="009962F2" w:rsidRDefault="009962F2" w:rsidP="009962F2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B91D70">
        <w:rPr>
          <w:rFonts w:ascii="Times New Roman" w:hAnsi="Times New Roman" w:cs="Times New Roman"/>
          <w:b/>
          <w:bCs/>
          <w:noProof/>
          <w:color w:val="000000" w:themeColor="text1"/>
          <w:lang w:val="de-CH" w:eastAsia="de-CH"/>
        </w:rPr>
        <w:drawing>
          <wp:inline distT="0" distB="0" distL="0" distR="0" wp14:anchorId="46F5C752" wp14:editId="5DEC8208">
            <wp:extent cx="5731510" cy="5248910"/>
            <wp:effectExtent l="0" t="0" r="0" b="0"/>
            <wp:docPr id="1477093160" name="Picture 2" descr="A graph of a number of different metho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3160" name="Picture 2" descr="A graph of a number of different methods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4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5DB2C" w14:textId="74F002B6" w:rsidR="00A76BA6" w:rsidRDefault="00A76BA6">
      <w:pPr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br w:type="page"/>
      </w:r>
    </w:p>
    <w:p w14:paraId="6ED1578D" w14:textId="77777777" w:rsidR="00A76BA6" w:rsidRPr="00A76BA6" w:rsidRDefault="00A76BA6" w:rsidP="00A76B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76B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Scatter Plots for Pearson's Correlation</w:t>
      </w:r>
    </w:p>
    <w:p w14:paraId="70189C94" w14:textId="77777777" w:rsidR="00A76BA6" w:rsidRPr="00A76BA6" w:rsidRDefault="00A76BA6" w:rsidP="00A7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6BA6">
        <w:rPr>
          <w:rFonts w:ascii="Times New Roman" w:eastAsia="Times New Roman" w:hAnsi="Times New Roman" w:cs="Times New Roman"/>
          <w:kern w:val="0"/>
          <w14:ligatures w14:val="none"/>
        </w:rPr>
        <w:t>The following scatter plots show the relationships between different MVR quantification methods. These correlation plots correspond to the Bland-Altman plots presented in Figure 5 of the main manuscript.</w:t>
      </w:r>
    </w:p>
    <w:p w14:paraId="7B3BCA3B" w14:textId="3D700DF9" w:rsidR="00A76BA6" w:rsidRDefault="00A76BA6" w:rsidP="00A7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6BA6">
        <w:rPr>
          <w:rFonts w:ascii="Times New Roman" w:eastAsia="Times New Roman" w:hAnsi="Times New Roman" w:cs="Times New Roman"/>
          <w:kern w:val="0"/>
          <w14:ligatures w14:val="none"/>
        </w:rPr>
        <w:t>Figure S</w:t>
      </w:r>
      <w:r w:rsidR="009962F2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Pr="00A76BA6">
        <w:rPr>
          <w:rFonts w:ascii="Times New Roman" w:eastAsia="Times New Roman" w:hAnsi="Times New Roman" w:cs="Times New Roman"/>
          <w:kern w:val="0"/>
          <w14:ligatures w14:val="none"/>
        </w:rPr>
        <w:t>: Scatter plots showing correlations between different methods for quantifying mitral valve regurgitation. Each plot shows the linear relationship between two methods with the correlation coefficient (r) and p-value indicated.</w:t>
      </w:r>
    </w:p>
    <w:p w14:paraId="36A4E426" w14:textId="483DE639" w:rsidR="00A76BA6" w:rsidRDefault="00A76BA6" w:rsidP="00FB4C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6BA6">
        <w:rPr>
          <w:rFonts w:ascii="Times New Roman" w:eastAsia="Times New Roman" w:hAnsi="Times New Roman" w:cs="Times New Roman"/>
          <w:noProof/>
          <w:kern w:val="0"/>
          <w:lang w:val="de-CH" w:eastAsia="de-CH"/>
          <w14:ligatures w14:val="none"/>
        </w:rPr>
        <w:drawing>
          <wp:inline distT="0" distB="0" distL="0" distR="0" wp14:anchorId="14D629E9" wp14:editId="532E12F3">
            <wp:extent cx="6400800" cy="5492939"/>
            <wp:effectExtent l="0" t="0" r="0" b="6350"/>
            <wp:docPr id="19709207" name="Picture 1" descr="A collage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9207" name="Picture 1" descr="A collage of graphs&#10;&#10;AI-generated content may be incorrect."/>
                    <pic:cNvPicPr/>
                  </pic:nvPicPr>
                  <pic:blipFill rotWithShape="1">
                    <a:blip r:embed="rId5"/>
                    <a:srcRect b="55556"/>
                    <a:stretch/>
                  </pic:blipFill>
                  <pic:spPr bwMode="auto">
                    <a:xfrm>
                      <a:off x="0" y="0"/>
                      <a:ext cx="6400800" cy="5492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64443" w14:textId="77777777" w:rsidR="00FB4C9D" w:rsidRDefault="00FB4C9D" w:rsidP="00FB4C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88055D" w14:textId="2DD7A044" w:rsidR="00FB4C9D" w:rsidRDefault="00FB4C9D" w:rsidP="00FB4C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4C9D">
        <w:rPr>
          <w:rFonts w:ascii="Times New Roman" w:eastAsia="Times New Roman" w:hAnsi="Times New Roman" w:cs="Times New Roman"/>
          <w:noProof/>
          <w:kern w:val="0"/>
          <w:lang w:val="de-CH" w:eastAsia="de-CH"/>
          <w14:ligatures w14:val="none"/>
        </w:rPr>
        <w:lastRenderedPageBreak/>
        <w:drawing>
          <wp:inline distT="0" distB="0" distL="0" distR="0" wp14:anchorId="442C0A06" wp14:editId="49332BA3">
            <wp:extent cx="6400800" cy="6980610"/>
            <wp:effectExtent l="0" t="0" r="0" b="0"/>
            <wp:docPr id="1340982749" name="Picture 1" descr="A collage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82749" name="Picture 1" descr="A collage of graphs&#10;&#10;AI-generated content may be incorrect."/>
                    <pic:cNvPicPr/>
                  </pic:nvPicPr>
                  <pic:blipFill rotWithShape="1">
                    <a:blip r:embed="rId5"/>
                    <a:srcRect t="44136" b="-617"/>
                    <a:stretch/>
                  </pic:blipFill>
                  <pic:spPr bwMode="auto">
                    <a:xfrm>
                      <a:off x="0" y="0"/>
                      <a:ext cx="6400800" cy="6980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AF5A0" w14:textId="77777777" w:rsidR="00FB4C9D" w:rsidRDefault="00FB4C9D" w:rsidP="00FB4C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559924" w14:textId="77777777" w:rsidR="00FB4C9D" w:rsidRPr="00A76BA6" w:rsidRDefault="00FB4C9D" w:rsidP="00FB4C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BE4CF8" w14:textId="05CFCAF9" w:rsidR="00FB4C9D" w:rsidRDefault="00FB4C9D">
      <w:pP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bookmarkStart w:id="1" w:name="_GoBack"/>
      <w:bookmarkEnd w:id="1"/>
    </w:p>
    <w:sectPr w:rsidR="00FB4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A6"/>
    <w:rsid w:val="000D583C"/>
    <w:rsid w:val="000E06F3"/>
    <w:rsid w:val="001F0FEC"/>
    <w:rsid w:val="00292DD8"/>
    <w:rsid w:val="00342B9B"/>
    <w:rsid w:val="00864037"/>
    <w:rsid w:val="008F1037"/>
    <w:rsid w:val="009962F2"/>
    <w:rsid w:val="00A76BA6"/>
    <w:rsid w:val="00B251EF"/>
    <w:rsid w:val="00F07F43"/>
    <w:rsid w:val="00FB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70D7E8"/>
  <w15:chartTrackingRefBased/>
  <w15:docId w15:val="{8A69F3F4-8DA8-0043-B04E-D1BB85CBC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76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6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6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76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76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76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76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76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76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76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6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6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76BA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6BA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76BA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76BA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6BA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6B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76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6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6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6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76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76BA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76BA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76BA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76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76BA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76BA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A76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ervorhebung">
    <w:name w:val="Emphasis"/>
    <w:basedOn w:val="Absatz-Standardschriftart"/>
    <w:uiPriority w:val="20"/>
    <w:qFormat/>
    <w:rsid w:val="00A76B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3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Safarkhanlo, Yasaman (STUDENTS)</dc:creator>
  <cp:keywords/>
  <dc:description/>
  <cp:lastModifiedBy>Gräni, Christoph</cp:lastModifiedBy>
  <cp:revision>5</cp:revision>
  <dcterms:created xsi:type="dcterms:W3CDTF">2025-03-30T08:32:00Z</dcterms:created>
  <dcterms:modified xsi:type="dcterms:W3CDTF">2025-04-08T09:50:00Z</dcterms:modified>
</cp:coreProperties>
</file>