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B111F" w14:textId="3D5507BF" w:rsidR="006A7CC5" w:rsidRPr="00DE5F54" w:rsidRDefault="00943816" w:rsidP="00DE5F54">
      <w:pPr>
        <w:autoSpaceDE w:val="0"/>
        <w:autoSpaceDN w:val="0"/>
        <w:adjustRightInd w:val="0"/>
        <w:spacing w:line="360" w:lineRule="auto"/>
        <w:ind w:left="315" w:hangingChars="150" w:hanging="315"/>
        <w:rPr>
          <w:rFonts w:ascii="Times New Roman" w:hAnsi="Times New Roman"/>
          <w:bCs/>
          <w:kern w:val="36"/>
          <w:szCs w:val="21"/>
        </w:rPr>
      </w:pPr>
      <w:r w:rsidRPr="00DE5F54">
        <w:rPr>
          <w:rFonts w:ascii="Times New Roman" w:hAnsi="Times New Roman"/>
          <w:szCs w:val="21"/>
        </w:rPr>
        <w:tab/>
      </w:r>
      <w:r w:rsidRPr="00DE5F54">
        <w:rPr>
          <w:rFonts w:ascii="Times New Roman" w:hAnsi="Times New Roman"/>
          <w:bCs/>
          <w:kern w:val="36"/>
          <w:szCs w:val="21"/>
        </w:rPr>
        <w:t xml:space="preserve">PROTOCOL     </w:t>
      </w:r>
      <w:r w:rsidRPr="00DE5F54">
        <w:rPr>
          <w:rFonts w:ascii="Times New Roman" w:hAnsi="Times New Roman"/>
          <w:szCs w:val="21"/>
        </w:rPr>
        <w:t xml:space="preserve">                                   </w:t>
      </w:r>
      <w:r w:rsidRPr="00DE5F54">
        <w:rPr>
          <w:rFonts w:ascii="Times New Roman" w:hAnsi="Times New Roman"/>
          <w:bCs/>
          <w:kern w:val="36"/>
          <w:szCs w:val="21"/>
        </w:rPr>
        <w:t xml:space="preserve">First drafted in </w:t>
      </w:r>
      <w:r w:rsidR="00525DCF">
        <w:rPr>
          <w:rFonts w:ascii="Times New Roman" w:hAnsi="Times New Roman"/>
          <w:bCs/>
          <w:kern w:val="36"/>
          <w:szCs w:val="21"/>
        </w:rPr>
        <w:t>S</w:t>
      </w:r>
      <w:r w:rsidR="00525DCF">
        <w:rPr>
          <w:rFonts w:ascii="Times New Roman" w:hAnsi="Times New Roman" w:hint="eastAsia"/>
          <w:bCs/>
          <w:kern w:val="36"/>
          <w:szCs w:val="21"/>
        </w:rPr>
        <w:t>eptember</w:t>
      </w:r>
      <w:r w:rsidR="00343880" w:rsidRPr="00343880">
        <w:rPr>
          <w:rFonts w:ascii="Times New Roman" w:hAnsi="Times New Roman"/>
          <w:bCs/>
          <w:kern w:val="36"/>
          <w:szCs w:val="21"/>
        </w:rPr>
        <w:t xml:space="preserve"> 2020</w:t>
      </w:r>
    </w:p>
    <w:p w14:paraId="5F0CBC82" w14:textId="6E1DBD75" w:rsidR="006A7CC5" w:rsidRPr="00DE5F54" w:rsidRDefault="00D1795D" w:rsidP="00DE5F54">
      <w:pPr>
        <w:autoSpaceDE w:val="0"/>
        <w:autoSpaceDN w:val="0"/>
        <w:adjustRightInd w:val="0"/>
        <w:spacing w:line="360" w:lineRule="auto"/>
        <w:rPr>
          <w:rFonts w:ascii="Times New Roman" w:hAnsi="Times New Roman"/>
          <w:bCs/>
          <w:kern w:val="36"/>
          <w:szCs w:val="21"/>
        </w:rPr>
      </w:pP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r>
      <w:r w:rsidRPr="00DE5F54">
        <w:rPr>
          <w:rFonts w:ascii="Times New Roman" w:hAnsi="Times New Roman"/>
          <w:bCs/>
          <w:kern w:val="36"/>
          <w:szCs w:val="21"/>
        </w:rPr>
        <w:tab/>
        <w:t xml:space="preserve">  </w:t>
      </w:r>
      <w:r w:rsidR="00DE5F54">
        <w:rPr>
          <w:rFonts w:ascii="Times New Roman" w:hAnsi="Times New Roman" w:hint="eastAsia"/>
          <w:bCs/>
          <w:kern w:val="36"/>
          <w:szCs w:val="21"/>
        </w:rPr>
        <w:t xml:space="preserve">    </w:t>
      </w:r>
      <w:r w:rsidR="00943816" w:rsidRPr="00DE5F54">
        <w:rPr>
          <w:rFonts w:ascii="Times New Roman" w:hAnsi="Times New Roman"/>
          <w:bCs/>
          <w:kern w:val="36"/>
          <w:szCs w:val="21"/>
        </w:rPr>
        <w:t>Updated in</w:t>
      </w:r>
      <w:r w:rsidRPr="00DE5F54">
        <w:rPr>
          <w:rFonts w:ascii="Times New Roman" w:hAnsi="Times New Roman"/>
          <w:bCs/>
          <w:kern w:val="36"/>
          <w:szCs w:val="21"/>
        </w:rPr>
        <w:t xml:space="preserve"> </w:t>
      </w:r>
      <w:r w:rsidR="00525DCF">
        <w:rPr>
          <w:rFonts w:ascii="Times New Roman" w:hAnsi="Times New Roman"/>
          <w:bCs/>
          <w:kern w:val="36"/>
          <w:szCs w:val="21"/>
        </w:rPr>
        <w:t>S</w:t>
      </w:r>
      <w:r w:rsidR="00525DCF">
        <w:rPr>
          <w:rFonts w:ascii="Times New Roman" w:hAnsi="Times New Roman" w:hint="eastAsia"/>
          <w:bCs/>
          <w:kern w:val="36"/>
          <w:szCs w:val="21"/>
        </w:rPr>
        <w:t>eptember</w:t>
      </w:r>
      <w:r w:rsidR="00343880" w:rsidRPr="00343880">
        <w:rPr>
          <w:rFonts w:ascii="Times New Roman" w:hAnsi="Times New Roman"/>
          <w:sz w:val="24"/>
          <w:szCs w:val="24"/>
        </w:rPr>
        <w:t xml:space="preserve"> 2020</w:t>
      </w:r>
    </w:p>
    <w:p w14:paraId="06A8B6F3" w14:textId="77777777" w:rsidR="006A7CC5" w:rsidRPr="00DE5F54" w:rsidRDefault="006A7CC5" w:rsidP="00DE5F54">
      <w:pPr>
        <w:spacing w:line="360" w:lineRule="auto"/>
        <w:rPr>
          <w:rFonts w:ascii="Times New Roman" w:hAnsi="Times New Roman"/>
          <w:bCs/>
          <w:kern w:val="36"/>
          <w:szCs w:val="21"/>
        </w:rPr>
      </w:pPr>
    </w:p>
    <w:p w14:paraId="117F3516" w14:textId="77777777" w:rsidR="006A7CC5" w:rsidRPr="00DE5F54" w:rsidRDefault="006A7CC5" w:rsidP="00DE5F54">
      <w:pPr>
        <w:spacing w:line="360" w:lineRule="auto"/>
        <w:rPr>
          <w:rFonts w:ascii="Times New Roman" w:hAnsi="Times New Roman"/>
          <w:szCs w:val="21"/>
        </w:rPr>
      </w:pPr>
    </w:p>
    <w:p w14:paraId="5824584B" w14:textId="77777777" w:rsidR="006A7CC5" w:rsidRPr="00DE5F54" w:rsidRDefault="006A7CC5" w:rsidP="00DE5F54">
      <w:pPr>
        <w:spacing w:line="360" w:lineRule="auto"/>
        <w:rPr>
          <w:rFonts w:ascii="Times New Roman" w:hAnsi="Times New Roman"/>
          <w:szCs w:val="21"/>
        </w:rPr>
      </w:pPr>
    </w:p>
    <w:p w14:paraId="055C2425" w14:textId="77777777" w:rsidR="006A7CC5" w:rsidRPr="00DE5F54" w:rsidRDefault="006A7CC5" w:rsidP="00DE5F54">
      <w:pPr>
        <w:spacing w:line="360" w:lineRule="auto"/>
        <w:rPr>
          <w:rFonts w:ascii="Times New Roman" w:hAnsi="Times New Roman"/>
          <w:szCs w:val="21"/>
        </w:rPr>
      </w:pPr>
    </w:p>
    <w:p w14:paraId="3AE34C53" w14:textId="77777777" w:rsidR="006A7CC5" w:rsidRPr="00DE5F54" w:rsidRDefault="006A7CC5" w:rsidP="00DE5F54">
      <w:pPr>
        <w:spacing w:line="360" w:lineRule="auto"/>
        <w:rPr>
          <w:rFonts w:ascii="Times New Roman" w:hAnsi="Times New Roman"/>
          <w:szCs w:val="21"/>
        </w:rPr>
      </w:pPr>
    </w:p>
    <w:p w14:paraId="3CF3DE6D" w14:textId="77777777" w:rsidR="006A7CC5" w:rsidRPr="00DE5F54" w:rsidRDefault="006A7CC5" w:rsidP="00DE5F54">
      <w:pPr>
        <w:spacing w:line="360" w:lineRule="auto"/>
        <w:rPr>
          <w:rFonts w:ascii="Times New Roman" w:hAnsi="Times New Roman"/>
          <w:szCs w:val="21"/>
        </w:rPr>
      </w:pPr>
    </w:p>
    <w:p w14:paraId="72A8C001" w14:textId="77777777" w:rsidR="006A7CC5" w:rsidRPr="00DE5F54" w:rsidRDefault="006A7CC5" w:rsidP="00DE5F54">
      <w:pPr>
        <w:spacing w:line="360" w:lineRule="auto"/>
        <w:rPr>
          <w:rFonts w:ascii="Times New Roman" w:hAnsi="Times New Roman"/>
          <w:szCs w:val="21"/>
        </w:rPr>
      </w:pPr>
    </w:p>
    <w:p w14:paraId="4EDAE059" w14:textId="77777777" w:rsidR="006A7CC5" w:rsidRPr="00DE5F54" w:rsidRDefault="006A7CC5" w:rsidP="00DE5F54">
      <w:pPr>
        <w:spacing w:line="360" w:lineRule="auto"/>
        <w:rPr>
          <w:rFonts w:ascii="Times New Roman" w:hAnsi="Times New Roman"/>
          <w:szCs w:val="21"/>
        </w:rPr>
      </w:pPr>
    </w:p>
    <w:p w14:paraId="3DDD8515" w14:textId="77777777" w:rsidR="006A7CC5" w:rsidRPr="00DE5F54" w:rsidRDefault="006A7CC5" w:rsidP="00DE5F54">
      <w:pPr>
        <w:spacing w:line="360" w:lineRule="auto"/>
        <w:rPr>
          <w:rFonts w:ascii="Times New Roman" w:hAnsi="Times New Roman"/>
          <w:szCs w:val="21"/>
        </w:rPr>
      </w:pPr>
    </w:p>
    <w:p w14:paraId="76474CCB" w14:textId="77777777" w:rsidR="006A7CC5" w:rsidRPr="00DE5F54" w:rsidRDefault="006A7CC5" w:rsidP="00DE5F54">
      <w:pPr>
        <w:spacing w:line="360" w:lineRule="auto"/>
        <w:rPr>
          <w:rFonts w:ascii="Times New Roman" w:hAnsi="Times New Roman"/>
          <w:szCs w:val="21"/>
        </w:rPr>
      </w:pPr>
    </w:p>
    <w:p w14:paraId="285A039B" w14:textId="77777777" w:rsidR="006A7CC5" w:rsidRPr="00DE5F54" w:rsidRDefault="006A7CC5" w:rsidP="00DE5F54">
      <w:pPr>
        <w:spacing w:line="360" w:lineRule="auto"/>
        <w:rPr>
          <w:rFonts w:ascii="Times New Roman" w:hAnsi="Times New Roman"/>
          <w:szCs w:val="21"/>
        </w:rPr>
      </w:pPr>
    </w:p>
    <w:p w14:paraId="20490E87" w14:textId="77777777" w:rsidR="006A7CC5" w:rsidRPr="00DE5F54" w:rsidRDefault="00343880" w:rsidP="00343880">
      <w:pPr>
        <w:spacing w:line="360" w:lineRule="auto"/>
        <w:jc w:val="center"/>
        <w:rPr>
          <w:rFonts w:ascii="Times New Roman" w:hAnsi="Times New Roman"/>
          <w:b/>
          <w:szCs w:val="21"/>
        </w:rPr>
      </w:pPr>
      <w:r w:rsidRPr="00343880">
        <w:rPr>
          <w:rFonts w:ascii="Times New Roman" w:hAnsi="Times New Roman"/>
          <w:b/>
          <w:szCs w:val="21"/>
        </w:rPr>
        <w:t>Effects of A Novel Oral Potassium-lowering Drug-Sodium Zirconium Cyclosilicate for the Treatment of Hyperkalem</w:t>
      </w:r>
      <w:r>
        <w:rPr>
          <w:rFonts w:ascii="Times New Roman" w:hAnsi="Times New Roman"/>
          <w:b/>
          <w:szCs w:val="21"/>
        </w:rPr>
        <w:t xml:space="preserve">ia: a systematic review and </w:t>
      </w:r>
      <w:r w:rsidRPr="00343880">
        <w:rPr>
          <w:rFonts w:ascii="Times New Roman" w:hAnsi="Times New Roman"/>
          <w:b/>
          <w:szCs w:val="21"/>
        </w:rPr>
        <w:t>meta-analysis</w:t>
      </w:r>
    </w:p>
    <w:p w14:paraId="2DBF13E1" w14:textId="77777777" w:rsidR="006A7CC5" w:rsidRPr="00343880" w:rsidRDefault="006A7CC5" w:rsidP="00DE5F54">
      <w:pPr>
        <w:spacing w:line="360" w:lineRule="auto"/>
        <w:rPr>
          <w:rFonts w:ascii="Times New Roman" w:hAnsi="Times New Roman"/>
          <w:b/>
          <w:szCs w:val="21"/>
        </w:rPr>
      </w:pPr>
    </w:p>
    <w:p w14:paraId="166A797B" w14:textId="77777777" w:rsidR="006A7CC5" w:rsidRPr="00DE5F54" w:rsidRDefault="006A7CC5" w:rsidP="00DE5F54">
      <w:pPr>
        <w:spacing w:line="360" w:lineRule="auto"/>
        <w:rPr>
          <w:rFonts w:ascii="Times New Roman" w:hAnsi="Times New Roman"/>
          <w:b/>
          <w:szCs w:val="21"/>
        </w:rPr>
      </w:pPr>
    </w:p>
    <w:p w14:paraId="0DC315E4" w14:textId="77777777" w:rsidR="006A7CC5" w:rsidRPr="00DE5F54" w:rsidRDefault="006A7CC5" w:rsidP="00DE5F54">
      <w:pPr>
        <w:spacing w:line="360" w:lineRule="auto"/>
        <w:rPr>
          <w:rFonts w:ascii="Times New Roman" w:hAnsi="Times New Roman"/>
          <w:b/>
          <w:szCs w:val="21"/>
        </w:rPr>
      </w:pPr>
    </w:p>
    <w:p w14:paraId="102B73C5" w14:textId="77777777" w:rsidR="006A7CC5" w:rsidRPr="00DE5F54" w:rsidRDefault="006A7CC5" w:rsidP="00DE5F54">
      <w:pPr>
        <w:spacing w:line="360" w:lineRule="auto"/>
        <w:rPr>
          <w:rFonts w:ascii="Times New Roman" w:hAnsi="Times New Roman"/>
          <w:b/>
          <w:szCs w:val="21"/>
        </w:rPr>
      </w:pPr>
    </w:p>
    <w:p w14:paraId="6E04F8EC" w14:textId="77777777" w:rsidR="006A7CC5" w:rsidRPr="00DE5F54" w:rsidRDefault="006A7CC5" w:rsidP="00DE5F54">
      <w:pPr>
        <w:spacing w:line="360" w:lineRule="auto"/>
        <w:rPr>
          <w:rFonts w:ascii="Times New Roman" w:hAnsi="Times New Roman"/>
          <w:b/>
          <w:szCs w:val="21"/>
        </w:rPr>
      </w:pPr>
    </w:p>
    <w:p w14:paraId="4FCE63F4" w14:textId="77777777" w:rsidR="006A7CC5" w:rsidRPr="00DE5F54" w:rsidRDefault="006A7CC5" w:rsidP="00DE5F54">
      <w:pPr>
        <w:spacing w:line="360" w:lineRule="auto"/>
        <w:rPr>
          <w:rFonts w:ascii="Times New Roman" w:hAnsi="Times New Roman"/>
          <w:b/>
          <w:szCs w:val="21"/>
        </w:rPr>
      </w:pPr>
    </w:p>
    <w:p w14:paraId="3BDD68F9" w14:textId="77777777" w:rsidR="00343880" w:rsidRDefault="00343880" w:rsidP="00DE5F54">
      <w:pPr>
        <w:spacing w:line="360" w:lineRule="auto"/>
        <w:rPr>
          <w:rFonts w:ascii="Times New Roman" w:eastAsia="CongressSans-Bold" w:hAnsi="Times New Roman"/>
          <w:bCs/>
          <w:szCs w:val="21"/>
        </w:rPr>
      </w:pPr>
      <w:r w:rsidRPr="00343880">
        <w:rPr>
          <w:rFonts w:ascii="Times New Roman" w:eastAsia="CongressSans-Bold" w:hAnsi="Times New Roman"/>
          <w:bCs/>
          <w:szCs w:val="21"/>
        </w:rPr>
        <w:t>Yaru Zhang</w:t>
      </w:r>
      <w:r w:rsidRPr="00343880">
        <w:rPr>
          <w:rFonts w:ascii="Times New Roman" w:eastAsia="CongressSans-Bold" w:hAnsi="Times New Roman"/>
          <w:bCs/>
          <w:szCs w:val="21"/>
          <w:vertAlign w:val="superscript"/>
        </w:rPr>
        <w:t>1</w:t>
      </w:r>
      <w:r w:rsidRPr="00343880">
        <w:rPr>
          <w:rFonts w:ascii="Times New Roman" w:eastAsia="CongressSans-Bold" w:hAnsi="Times New Roman"/>
          <w:bCs/>
          <w:szCs w:val="21"/>
        </w:rPr>
        <w:t xml:space="preserve"> Saiqiu Liu </w:t>
      </w:r>
      <w:r w:rsidRPr="00343880">
        <w:rPr>
          <w:rFonts w:ascii="Times New Roman" w:eastAsia="CongressSans-Bold" w:hAnsi="Times New Roman"/>
          <w:bCs/>
          <w:szCs w:val="21"/>
          <w:vertAlign w:val="superscript"/>
        </w:rPr>
        <w:t>1</w:t>
      </w:r>
      <w:r w:rsidRPr="00343880">
        <w:rPr>
          <w:rFonts w:ascii="Times New Roman" w:eastAsia="CongressSans-Bold" w:hAnsi="Times New Roman"/>
          <w:bCs/>
          <w:szCs w:val="21"/>
        </w:rPr>
        <w:t xml:space="preserve"> Youxia Liu</w:t>
      </w:r>
      <w:r w:rsidRPr="00343880">
        <w:rPr>
          <w:rFonts w:ascii="Times New Roman" w:eastAsia="CongressSans-Bold" w:hAnsi="Times New Roman"/>
          <w:bCs/>
          <w:szCs w:val="21"/>
          <w:vertAlign w:val="superscript"/>
        </w:rPr>
        <w:t>2</w:t>
      </w:r>
      <w:r w:rsidRPr="00343880">
        <w:rPr>
          <w:rFonts w:ascii="Times New Roman" w:eastAsia="CongressSans-Bold" w:hAnsi="Times New Roman"/>
          <w:bCs/>
          <w:szCs w:val="21"/>
        </w:rPr>
        <w:t xml:space="preserve"> Junying Xu</w:t>
      </w:r>
      <w:r w:rsidRPr="00343880">
        <w:rPr>
          <w:rFonts w:ascii="Times New Roman" w:eastAsia="CongressSans-Bold" w:hAnsi="Times New Roman"/>
          <w:bCs/>
          <w:szCs w:val="21"/>
          <w:vertAlign w:val="superscript"/>
        </w:rPr>
        <w:t>1</w:t>
      </w:r>
      <w:r w:rsidRPr="00343880">
        <w:rPr>
          <w:rFonts w:ascii="Times New Roman" w:eastAsia="CongressSans-Bold" w:hAnsi="Times New Roman"/>
          <w:bCs/>
          <w:szCs w:val="21"/>
        </w:rPr>
        <w:t xml:space="preserve"> Lihong Long</w:t>
      </w:r>
      <w:r w:rsidRPr="00343880">
        <w:rPr>
          <w:rFonts w:ascii="Times New Roman" w:eastAsia="CongressSans-Bold" w:hAnsi="Times New Roman"/>
          <w:bCs/>
          <w:szCs w:val="21"/>
          <w:vertAlign w:val="superscript"/>
        </w:rPr>
        <w:t>1</w:t>
      </w:r>
      <w:r w:rsidRPr="00343880">
        <w:rPr>
          <w:rFonts w:ascii="Times New Roman" w:eastAsia="CongressSans-Bold" w:hAnsi="Times New Roman"/>
          <w:bCs/>
          <w:szCs w:val="21"/>
        </w:rPr>
        <w:t xml:space="preserve"> Junya Jia</w:t>
      </w:r>
      <w:r w:rsidRPr="00343880">
        <w:rPr>
          <w:rFonts w:ascii="Times New Roman" w:eastAsia="CongressSans-Bold" w:hAnsi="Times New Roman"/>
          <w:bCs/>
          <w:szCs w:val="21"/>
          <w:vertAlign w:val="superscript"/>
        </w:rPr>
        <w:t>2</w:t>
      </w:r>
      <w:r w:rsidRPr="00343880">
        <w:rPr>
          <w:rFonts w:ascii="Times New Roman" w:eastAsia="CongressSans-Bold" w:hAnsi="Times New Roman"/>
          <w:bCs/>
          <w:szCs w:val="21"/>
        </w:rPr>
        <w:t xml:space="preserve"> Shan Lin</w:t>
      </w:r>
      <w:r w:rsidRPr="00343880">
        <w:rPr>
          <w:rFonts w:ascii="Times New Roman" w:eastAsia="CongressSans-Bold" w:hAnsi="Times New Roman"/>
          <w:bCs/>
          <w:szCs w:val="21"/>
          <w:vertAlign w:val="superscript"/>
        </w:rPr>
        <w:t>2</w:t>
      </w:r>
      <w:r w:rsidRPr="00343880">
        <w:rPr>
          <w:rFonts w:ascii="Times New Roman" w:eastAsia="CongressSans-Bold" w:hAnsi="Times New Roman"/>
          <w:bCs/>
          <w:szCs w:val="21"/>
        </w:rPr>
        <w:t xml:space="preserve"> Tiekun Yan</w:t>
      </w:r>
      <w:r w:rsidRPr="00343880">
        <w:rPr>
          <w:rFonts w:ascii="Times New Roman" w:eastAsia="CongressSans-Bold" w:hAnsi="Times New Roman"/>
          <w:bCs/>
          <w:szCs w:val="21"/>
          <w:vertAlign w:val="superscript"/>
        </w:rPr>
        <w:t>2</w:t>
      </w:r>
    </w:p>
    <w:p w14:paraId="3810F06C" w14:textId="77777777" w:rsidR="00343880" w:rsidRPr="00343880" w:rsidRDefault="00D1795D" w:rsidP="00343880">
      <w:pPr>
        <w:spacing w:line="480" w:lineRule="auto"/>
        <w:rPr>
          <w:rFonts w:ascii="Times New Roman" w:eastAsia="微软雅黑" w:hAnsi="Times New Roman"/>
          <w:color w:val="000000"/>
          <w:kern w:val="0"/>
          <w:szCs w:val="24"/>
        </w:rPr>
      </w:pPr>
      <w:r w:rsidRPr="00DE5F54">
        <w:rPr>
          <w:rFonts w:ascii="Times New Roman" w:eastAsia="CongressSans-Bold" w:hAnsi="Times New Roman"/>
          <w:b/>
          <w:bCs/>
          <w:szCs w:val="21"/>
        </w:rPr>
        <w:t xml:space="preserve">Author affiliations: </w:t>
      </w:r>
      <w:r w:rsidR="00343880" w:rsidRPr="00343880">
        <w:rPr>
          <w:rFonts w:ascii="Times New Roman" w:eastAsia="微软雅黑" w:hAnsi="Times New Roman"/>
          <w:color w:val="000000"/>
          <w:kern w:val="0"/>
          <w:szCs w:val="24"/>
          <w:vertAlign w:val="superscript"/>
        </w:rPr>
        <w:t>1</w:t>
      </w:r>
      <w:bookmarkStart w:id="0" w:name="OLE_LINK32"/>
      <w:bookmarkStart w:id="1" w:name="OLE_LINK33"/>
      <w:bookmarkStart w:id="2" w:name="OLE_LINK36"/>
      <w:bookmarkStart w:id="3" w:name="OLE_LINK46"/>
      <w:bookmarkStart w:id="4" w:name="OLE_LINK47"/>
      <w:bookmarkStart w:id="5" w:name="OLE_LINK22"/>
      <w:r w:rsidR="00343880" w:rsidRPr="00343880">
        <w:rPr>
          <w:rFonts w:ascii="Times New Roman" w:eastAsia="微软雅黑" w:hAnsi="Times New Roman"/>
          <w:color w:val="000000"/>
          <w:kern w:val="0"/>
          <w:szCs w:val="24"/>
        </w:rPr>
        <w:t xml:space="preserve">Department of Nephrology, </w:t>
      </w:r>
      <w:bookmarkEnd w:id="0"/>
      <w:bookmarkEnd w:id="1"/>
      <w:bookmarkEnd w:id="2"/>
      <w:bookmarkEnd w:id="3"/>
      <w:bookmarkEnd w:id="4"/>
      <w:r w:rsidR="00343880" w:rsidRPr="00343880">
        <w:rPr>
          <w:rFonts w:ascii="Times New Roman" w:eastAsia="微软雅黑" w:hAnsi="Times New Roman"/>
          <w:color w:val="000000"/>
          <w:kern w:val="0"/>
          <w:szCs w:val="24"/>
        </w:rPr>
        <w:t>Hunan Second People's Hospital, Hunan, China</w:t>
      </w:r>
      <w:bookmarkEnd w:id="5"/>
      <w:r w:rsidR="00343880" w:rsidRPr="00343880">
        <w:rPr>
          <w:rFonts w:ascii="Times New Roman" w:eastAsia="微软雅黑" w:hAnsi="Times New Roman"/>
          <w:color w:val="000000"/>
          <w:kern w:val="0"/>
          <w:szCs w:val="24"/>
        </w:rPr>
        <w:t xml:space="preserve">; </w:t>
      </w:r>
      <w:r w:rsidR="00343880" w:rsidRPr="00343880">
        <w:rPr>
          <w:rFonts w:ascii="Times New Roman" w:eastAsia="微软雅黑" w:hAnsi="Times New Roman"/>
          <w:color w:val="000000"/>
          <w:kern w:val="0"/>
          <w:szCs w:val="24"/>
          <w:vertAlign w:val="superscript"/>
        </w:rPr>
        <w:t xml:space="preserve">2 </w:t>
      </w:r>
      <w:r w:rsidR="00343880" w:rsidRPr="00343880">
        <w:rPr>
          <w:rFonts w:ascii="Times New Roman" w:eastAsia="微软雅黑" w:hAnsi="Times New Roman"/>
          <w:color w:val="000000"/>
          <w:kern w:val="0"/>
          <w:szCs w:val="24"/>
        </w:rPr>
        <w:t>Department of Nephrology, General Hospital of Tianjin Medical University, Tianjin, China.</w:t>
      </w:r>
    </w:p>
    <w:p w14:paraId="7CE44283" w14:textId="77777777" w:rsidR="006A7CC5" w:rsidRPr="00343880" w:rsidRDefault="006A7CC5" w:rsidP="00DE5F54">
      <w:pPr>
        <w:spacing w:line="360" w:lineRule="auto"/>
        <w:rPr>
          <w:rFonts w:ascii="Times New Roman" w:hAnsi="Times New Roman"/>
          <w:b/>
          <w:szCs w:val="21"/>
        </w:rPr>
      </w:pPr>
    </w:p>
    <w:p w14:paraId="5BD88F47" w14:textId="77777777" w:rsidR="006A7CC5" w:rsidRPr="00DE5F54" w:rsidRDefault="00943816" w:rsidP="00DE5F54">
      <w:pPr>
        <w:spacing w:line="360" w:lineRule="auto"/>
        <w:rPr>
          <w:rFonts w:ascii="Times New Roman" w:hAnsi="Times New Roman"/>
          <w:b/>
          <w:szCs w:val="21"/>
          <w:u w:val="single"/>
          <w:lang w:val="en-CA"/>
        </w:rPr>
      </w:pPr>
      <w:r w:rsidRPr="00DE5F54">
        <w:rPr>
          <w:rFonts w:ascii="Times New Roman" w:hAnsi="Times New Roman"/>
          <w:szCs w:val="21"/>
          <w:u w:val="single"/>
          <w:lang w:val="en-CA"/>
        </w:rPr>
        <w:br w:type="page"/>
      </w:r>
      <w:r w:rsidRPr="00DE5F54">
        <w:rPr>
          <w:rFonts w:ascii="Times New Roman" w:hAnsi="Times New Roman"/>
          <w:b/>
          <w:szCs w:val="21"/>
          <w:u w:val="single"/>
          <w:lang w:val="en-CA" w:eastAsia="fr-CA"/>
        </w:rPr>
        <w:lastRenderedPageBreak/>
        <w:t xml:space="preserve">Objectives </w:t>
      </w:r>
      <w:r w:rsidRPr="00DE5F54">
        <w:rPr>
          <w:rFonts w:ascii="Times New Roman" w:hAnsi="Times New Roman"/>
          <w:b/>
          <w:szCs w:val="21"/>
          <w:u w:val="single"/>
          <w:lang w:val="en-CA" w:eastAsia="ja-JP"/>
        </w:rPr>
        <w:t>and</w:t>
      </w:r>
      <w:r w:rsidRPr="00DE5F54">
        <w:rPr>
          <w:rFonts w:ascii="Times New Roman" w:hAnsi="Times New Roman"/>
          <w:b/>
          <w:szCs w:val="21"/>
          <w:u w:val="single"/>
          <w:lang w:val="en-CA" w:eastAsia="fr-CA"/>
        </w:rPr>
        <w:t xml:space="preserve"> </w:t>
      </w:r>
      <w:r w:rsidRPr="00DE5F54">
        <w:rPr>
          <w:rFonts w:ascii="Times New Roman" w:hAnsi="Times New Roman"/>
          <w:b/>
          <w:szCs w:val="21"/>
          <w:u w:val="single"/>
          <w:lang w:val="en-CA" w:eastAsia="ja-JP"/>
        </w:rPr>
        <w:t>a</w:t>
      </w:r>
      <w:r w:rsidRPr="00DE5F54">
        <w:rPr>
          <w:rFonts w:ascii="Times New Roman" w:hAnsi="Times New Roman"/>
          <w:b/>
          <w:szCs w:val="21"/>
          <w:u w:val="single"/>
          <w:lang w:val="en-CA" w:eastAsia="fr-CA"/>
        </w:rPr>
        <w:t>ims:</w:t>
      </w:r>
    </w:p>
    <w:p w14:paraId="1DFD8205" w14:textId="77777777" w:rsidR="00D1795D" w:rsidRPr="00343880" w:rsidRDefault="00943816" w:rsidP="00DE5F54">
      <w:pPr>
        <w:spacing w:line="360" w:lineRule="auto"/>
        <w:rPr>
          <w:rFonts w:ascii="Times New Roman" w:hAnsi="Times New Roman"/>
          <w:szCs w:val="21"/>
        </w:rPr>
      </w:pPr>
      <w:r w:rsidRPr="00343880">
        <w:rPr>
          <w:rFonts w:ascii="Times New Roman" w:hAnsi="Times New Roman"/>
          <w:bCs/>
          <w:kern w:val="36"/>
          <w:szCs w:val="21"/>
        </w:rPr>
        <w:t xml:space="preserve">We </w:t>
      </w:r>
      <w:r w:rsidR="00D1795D" w:rsidRPr="00343880">
        <w:rPr>
          <w:rFonts w:ascii="Times New Roman" w:hAnsi="Times New Roman"/>
          <w:szCs w:val="21"/>
        </w:rPr>
        <w:t xml:space="preserve">undertook a systematic review and meta-analysis to evaluate the effect of </w:t>
      </w:r>
      <w:r w:rsidR="00343880">
        <w:rPr>
          <w:rFonts w:ascii="Times New Roman" w:hAnsi="Times New Roman" w:hint="eastAsia"/>
          <w:szCs w:val="21"/>
        </w:rPr>
        <w:t>a</w:t>
      </w:r>
      <w:r w:rsidR="00343880" w:rsidRPr="00343880">
        <w:rPr>
          <w:rFonts w:ascii="Times New Roman" w:hAnsi="Times New Roman"/>
          <w:szCs w:val="21"/>
        </w:rPr>
        <w:t xml:space="preserve"> </w:t>
      </w:r>
      <w:r w:rsidR="00343880">
        <w:rPr>
          <w:rFonts w:ascii="Times New Roman" w:hAnsi="Times New Roman" w:hint="eastAsia"/>
          <w:szCs w:val="21"/>
        </w:rPr>
        <w:t>n</w:t>
      </w:r>
      <w:r w:rsidR="00343880" w:rsidRPr="00343880">
        <w:rPr>
          <w:rFonts w:ascii="Times New Roman" w:hAnsi="Times New Roman"/>
          <w:szCs w:val="21"/>
        </w:rPr>
        <w:t xml:space="preserve">ovel </w:t>
      </w:r>
      <w:r w:rsidR="00343880">
        <w:rPr>
          <w:rFonts w:ascii="Times New Roman" w:hAnsi="Times New Roman" w:hint="eastAsia"/>
          <w:szCs w:val="21"/>
        </w:rPr>
        <w:t>o</w:t>
      </w:r>
      <w:r w:rsidR="00343880" w:rsidRPr="00343880">
        <w:rPr>
          <w:rFonts w:ascii="Times New Roman" w:hAnsi="Times New Roman"/>
          <w:szCs w:val="21"/>
        </w:rPr>
        <w:t xml:space="preserve">ral </w:t>
      </w:r>
      <w:r w:rsidR="00343880">
        <w:rPr>
          <w:rFonts w:ascii="Times New Roman" w:hAnsi="Times New Roman" w:hint="eastAsia"/>
          <w:szCs w:val="21"/>
        </w:rPr>
        <w:t>p</w:t>
      </w:r>
      <w:r w:rsidR="00343880" w:rsidRPr="00343880">
        <w:rPr>
          <w:rFonts w:ascii="Times New Roman" w:hAnsi="Times New Roman"/>
          <w:szCs w:val="21"/>
        </w:rPr>
        <w:t xml:space="preserve">otassium-lowering </w:t>
      </w:r>
      <w:r w:rsidR="00343880">
        <w:rPr>
          <w:rFonts w:ascii="Times New Roman" w:hAnsi="Times New Roman" w:hint="eastAsia"/>
          <w:szCs w:val="21"/>
        </w:rPr>
        <w:t>d</w:t>
      </w:r>
      <w:r w:rsidR="00343880" w:rsidRPr="00343880">
        <w:rPr>
          <w:rFonts w:ascii="Times New Roman" w:hAnsi="Times New Roman"/>
          <w:szCs w:val="21"/>
        </w:rPr>
        <w:t>rug-</w:t>
      </w:r>
      <w:r w:rsidR="00343880">
        <w:rPr>
          <w:rFonts w:ascii="Times New Roman" w:hAnsi="Times New Roman" w:hint="eastAsia"/>
          <w:szCs w:val="21"/>
        </w:rPr>
        <w:t>s</w:t>
      </w:r>
      <w:r w:rsidR="00343880" w:rsidRPr="00343880">
        <w:rPr>
          <w:rFonts w:ascii="Times New Roman" w:hAnsi="Times New Roman"/>
          <w:szCs w:val="21"/>
        </w:rPr>
        <w:t xml:space="preserve">odium </w:t>
      </w:r>
      <w:r w:rsidR="00343880">
        <w:rPr>
          <w:rFonts w:ascii="Times New Roman" w:hAnsi="Times New Roman" w:hint="eastAsia"/>
          <w:szCs w:val="21"/>
        </w:rPr>
        <w:t>z</w:t>
      </w:r>
      <w:r w:rsidR="00343880" w:rsidRPr="00343880">
        <w:rPr>
          <w:rFonts w:ascii="Times New Roman" w:hAnsi="Times New Roman"/>
          <w:szCs w:val="21"/>
        </w:rPr>
        <w:t xml:space="preserve">irconium </w:t>
      </w:r>
      <w:r w:rsidR="00343880">
        <w:rPr>
          <w:rFonts w:ascii="Times New Roman" w:hAnsi="Times New Roman" w:hint="eastAsia"/>
          <w:szCs w:val="21"/>
        </w:rPr>
        <w:t>c</w:t>
      </w:r>
      <w:r w:rsidR="00343880" w:rsidRPr="00343880">
        <w:rPr>
          <w:rFonts w:ascii="Times New Roman" w:hAnsi="Times New Roman"/>
          <w:szCs w:val="21"/>
        </w:rPr>
        <w:t xml:space="preserve">yclosilicate for the </w:t>
      </w:r>
      <w:r w:rsidR="00343880">
        <w:rPr>
          <w:rFonts w:ascii="Times New Roman" w:hAnsi="Times New Roman" w:hint="eastAsia"/>
          <w:szCs w:val="21"/>
        </w:rPr>
        <w:t>t</w:t>
      </w:r>
      <w:r w:rsidR="00343880" w:rsidRPr="00343880">
        <w:rPr>
          <w:rFonts w:ascii="Times New Roman" w:hAnsi="Times New Roman"/>
          <w:szCs w:val="21"/>
        </w:rPr>
        <w:t xml:space="preserve">reatment of </w:t>
      </w:r>
      <w:r w:rsidR="00343880">
        <w:rPr>
          <w:rFonts w:ascii="Times New Roman" w:hAnsi="Times New Roman" w:hint="eastAsia"/>
          <w:szCs w:val="21"/>
        </w:rPr>
        <w:t>h</w:t>
      </w:r>
      <w:r w:rsidR="00343880" w:rsidRPr="00343880">
        <w:rPr>
          <w:rFonts w:ascii="Times New Roman" w:hAnsi="Times New Roman"/>
          <w:szCs w:val="21"/>
        </w:rPr>
        <w:t>yperkalemia</w:t>
      </w:r>
      <w:r w:rsidR="00D1795D" w:rsidRPr="00343880">
        <w:rPr>
          <w:rFonts w:ascii="Times New Roman" w:hAnsi="Times New Roman"/>
          <w:szCs w:val="21"/>
        </w:rPr>
        <w:t>.</w:t>
      </w:r>
    </w:p>
    <w:p w14:paraId="2171AA86" w14:textId="77777777" w:rsidR="006A7CC5" w:rsidRPr="00DE5F54" w:rsidRDefault="006A7CC5" w:rsidP="00343880">
      <w:pPr>
        <w:spacing w:line="360" w:lineRule="auto"/>
        <w:rPr>
          <w:rFonts w:ascii="Times New Roman" w:hAnsi="Times New Roman"/>
          <w:bCs/>
          <w:kern w:val="36"/>
          <w:szCs w:val="21"/>
        </w:rPr>
      </w:pPr>
    </w:p>
    <w:p w14:paraId="20A78CB5" w14:textId="77777777" w:rsidR="006A7CC5" w:rsidRPr="00DE5F54" w:rsidRDefault="00943816" w:rsidP="00DE5F54">
      <w:pPr>
        <w:spacing w:line="360" w:lineRule="auto"/>
        <w:rPr>
          <w:rFonts w:ascii="Times New Roman" w:hAnsi="Times New Roman"/>
          <w:b/>
          <w:szCs w:val="21"/>
          <w:u w:val="single"/>
          <w:lang w:val="en-CA"/>
        </w:rPr>
      </w:pPr>
      <w:r w:rsidRPr="00DE5F54">
        <w:rPr>
          <w:rFonts w:ascii="Times New Roman" w:hAnsi="Times New Roman"/>
          <w:b/>
          <w:szCs w:val="21"/>
          <w:u w:val="single"/>
          <w:lang w:val="en-CA"/>
        </w:rPr>
        <w:t>Background</w:t>
      </w:r>
    </w:p>
    <w:p w14:paraId="56CDADCE" w14:textId="77777777" w:rsidR="00343880" w:rsidRPr="00343880" w:rsidRDefault="00343880" w:rsidP="00343880">
      <w:pPr>
        <w:spacing w:line="360" w:lineRule="auto"/>
        <w:rPr>
          <w:rFonts w:ascii="Times New Roman" w:hAnsi="Times New Roman"/>
          <w:szCs w:val="21"/>
        </w:rPr>
      </w:pPr>
      <w:r w:rsidRPr="00343880">
        <w:rPr>
          <w:rFonts w:ascii="Times New Roman" w:hAnsi="Times New Roman"/>
          <w:szCs w:val="21"/>
        </w:rPr>
        <w:t>Hyperkalemia is a common electrolyte disorder that can cause potentially life-threatening arrhythmias [1]. Hyperkalemia prevalence was about 7% [2] in a large healthcare system. Risks for hyperkalemia in chronic kidney disease (CKD, 22.8%), diabetes (10.8%), heart failure (HF, 13.4%) and use of renin-angiotensin-aldosterone system inhibitor (RAASi, 14.2%) were increased [3]. Prevalence increased in accordance with the severity of CKD [3]. The use of RAASi is the main treatment for CKD, which could reduce the risk of cardiovascular and renal adverse events and all-cause mortality [4, 5], however, their use is limited by some side effects, such as increased serum potassium (K), which is especially severe in patients with renal insufficiency [6]. It is worth no</w:t>
      </w:r>
      <w:r w:rsidRPr="00343880">
        <w:rPr>
          <w:rFonts w:ascii="Times New Roman" w:hAnsi="Times New Roman" w:hint="eastAsia"/>
          <w:szCs w:val="21"/>
        </w:rPr>
        <w:t xml:space="preserve">ting that after the first hyperkalemia attack, 53.7% or 13.1% of patients experienced RAASi withdrawal or dose reduction, respectively [3]. Besides, 55.6 % of patients experiencing recurrence at 1 year for serum potassium (sK+) </w:t>
      </w:r>
      <w:r w:rsidRPr="00343880">
        <w:rPr>
          <w:rFonts w:ascii="Times New Roman" w:hAnsi="Times New Roman" w:hint="eastAsia"/>
          <w:szCs w:val="21"/>
        </w:rPr>
        <w:t>≥</w:t>
      </w:r>
      <w:r w:rsidRPr="00343880">
        <w:rPr>
          <w:rFonts w:ascii="Times New Roman" w:hAnsi="Times New Roman" w:hint="eastAsia"/>
          <w:szCs w:val="21"/>
        </w:rPr>
        <w:t>5.1 mEq/l, 19.9% for sK+</w:t>
      </w:r>
      <w:r w:rsidRPr="00343880">
        <w:rPr>
          <w:rFonts w:ascii="Times New Roman" w:hAnsi="Times New Roman" w:hint="eastAsia"/>
          <w:szCs w:val="21"/>
        </w:rPr>
        <w:t>≥</w:t>
      </w:r>
      <w:r w:rsidRPr="00343880">
        <w:rPr>
          <w:rFonts w:ascii="Times New Roman" w:hAnsi="Times New Roman" w:hint="eastAsia"/>
          <w:szCs w:val="21"/>
        </w:rPr>
        <w:t>5.</w:t>
      </w:r>
      <w:r w:rsidR="0012461A">
        <w:rPr>
          <w:rFonts w:ascii="Times New Roman" w:hAnsi="Times New Roman"/>
          <w:szCs w:val="21"/>
        </w:rPr>
        <w:t>5 mEq/l, and 4.9%</w:t>
      </w:r>
      <w:r w:rsidR="0012461A">
        <w:rPr>
          <w:rFonts w:ascii="Times New Roman" w:hAnsi="Times New Roman" w:hint="eastAsia"/>
          <w:szCs w:val="21"/>
        </w:rPr>
        <w:t xml:space="preserve"> </w:t>
      </w:r>
      <w:r w:rsidRPr="00343880">
        <w:rPr>
          <w:rFonts w:ascii="Times New Roman" w:hAnsi="Times New Roman" w:hint="eastAsia"/>
          <w:szCs w:val="21"/>
        </w:rPr>
        <w:t xml:space="preserve">for </w:t>
      </w:r>
      <w:r w:rsidRPr="00343880">
        <w:rPr>
          <w:rFonts w:ascii="Times New Roman" w:hAnsi="Times New Roman" w:hint="eastAsia"/>
          <w:szCs w:val="21"/>
        </w:rPr>
        <w:t>≥</w:t>
      </w:r>
      <w:r w:rsidRPr="00343880">
        <w:rPr>
          <w:rFonts w:ascii="Times New Roman" w:hAnsi="Times New Roman" w:hint="eastAsia"/>
          <w:szCs w:val="21"/>
        </w:rPr>
        <w:t xml:space="preserve">6.0 mEq/l [3].Therefore, it is imperative to strengthen the management of hyperkalemia, especially for patients with CKD and hyperkalemia. </w:t>
      </w:r>
    </w:p>
    <w:p w14:paraId="2B919E90" w14:textId="77777777" w:rsidR="006A7CC5" w:rsidRPr="00DE5F54" w:rsidRDefault="00343880" w:rsidP="00343880">
      <w:pPr>
        <w:spacing w:line="360" w:lineRule="auto"/>
        <w:rPr>
          <w:rFonts w:ascii="Times New Roman" w:hAnsi="Times New Roman"/>
          <w:szCs w:val="21"/>
        </w:rPr>
      </w:pPr>
      <w:r w:rsidRPr="00343880">
        <w:rPr>
          <w:rFonts w:ascii="Times New Roman" w:hAnsi="Times New Roman"/>
          <w:szCs w:val="21"/>
        </w:rPr>
        <w:t>Over the years, the treatment for hyperkalemia mainly included intravenous medications (intravenous insulin + glucose and diuretics), correction of acidosis, oral medication (such as diuretics, potassium-reducing resin) and so on [7]. Although intravenous insulin and glucose therapy can quickly reduce blood potassium levels by transferring potassium ions into cells, it does not change the total amount of potassium in the body, and the maintenance time is short [7, 8]. In addition, diuretics that promote the excretion of potassium ions by the kidneys are not selective for ions, and long-term use can cause renal impairment in patients [8]. Potassium-reducing resins that excrete potassium ions through the intestine also have low selectivity for potassium ions, and their therapeutic effects and onset tim</w:t>
      </w:r>
      <w:r>
        <w:rPr>
          <w:rFonts w:ascii="Times New Roman" w:hAnsi="Times New Roman"/>
          <w:szCs w:val="21"/>
        </w:rPr>
        <w:t>e have greater limitations [7].</w:t>
      </w:r>
      <w:r w:rsidRPr="00343880">
        <w:rPr>
          <w:rFonts w:ascii="Times New Roman" w:hAnsi="Times New Roman"/>
          <w:szCs w:val="21"/>
        </w:rPr>
        <w:t xml:space="preserve">Sodium zirconium cyclosilicate (ZS-9) is a stable inorganic crystal, its structure highly matches the diameter of potassium ions [9, 10], and its binding force with "potassium" is 25 times than those of other cations [9, 10]. ZS-9 binds potassium ions in the entire digestive tract, which </w:t>
      </w:r>
      <w:r w:rsidRPr="00343880">
        <w:rPr>
          <w:rFonts w:ascii="Times New Roman" w:hAnsi="Times New Roman"/>
          <w:szCs w:val="21"/>
        </w:rPr>
        <w:lastRenderedPageBreak/>
        <w:t>promotes the transfer of blood potassium to the intestine and excretes the body, thereby achieving rapid potassium reduction and long-term potassium control [10, 11]. The data showed that a significant drop in blood potassium levels was observed in 1 hour after receiving ZS-9 treatment [12], and 98% of patients returned to normal range within 48 hours; nearly 99% of patients had serum potassium levels &lt;5.5 mmol/L in one year [13]. To the best of our knowledge, we undertook this meta-analysis to summarize and evaluate the evidence surrounding ZS-9 for the first time.</w:t>
      </w:r>
    </w:p>
    <w:p w14:paraId="0C7CD547" w14:textId="77777777" w:rsidR="006A7CC5" w:rsidRPr="00DE5F54" w:rsidRDefault="00943816" w:rsidP="00DE5F54">
      <w:pPr>
        <w:spacing w:line="360" w:lineRule="auto"/>
        <w:rPr>
          <w:rFonts w:ascii="Times New Roman" w:hAnsi="Times New Roman"/>
          <w:b/>
          <w:szCs w:val="21"/>
          <w:lang w:val="en-CA"/>
        </w:rPr>
      </w:pPr>
      <w:r w:rsidRPr="00DE5F54">
        <w:rPr>
          <w:rFonts w:ascii="Times New Roman" w:hAnsi="Times New Roman"/>
          <w:b/>
          <w:szCs w:val="21"/>
          <w:u w:val="single"/>
          <w:lang w:val="en-CA" w:eastAsia="fr-CA"/>
        </w:rPr>
        <w:t>Research Plan:</w:t>
      </w:r>
      <w:r w:rsidRPr="00DE5F54">
        <w:rPr>
          <w:rFonts w:ascii="Times New Roman" w:hAnsi="Times New Roman"/>
          <w:b/>
          <w:szCs w:val="21"/>
          <w:lang w:val="en-CA" w:eastAsia="fr-CA"/>
        </w:rPr>
        <w:t xml:space="preserve"> </w:t>
      </w:r>
    </w:p>
    <w:p w14:paraId="2C0ECBE7" w14:textId="77777777" w:rsidR="006A7CC5" w:rsidRPr="00DE5F54" w:rsidRDefault="006A7CC5" w:rsidP="00DE5F54">
      <w:pPr>
        <w:autoSpaceDE w:val="0"/>
        <w:autoSpaceDN w:val="0"/>
        <w:adjustRightInd w:val="0"/>
        <w:spacing w:line="360" w:lineRule="auto"/>
        <w:rPr>
          <w:rFonts w:ascii="Times New Roman" w:hAnsi="Times New Roman"/>
          <w:b/>
          <w:szCs w:val="21"/>
          <w:lang w:val="en-CA"/>
        </w:rPr>
      </w:pPr>
    </w:p>
    <w:p w14:paraId="4EB11EDB" w14:textId="77777777" w:rsidR="006A7CC5" w:rsidRPr="00DE5F54" w:rsidRDefault="00943816" w:rsidP="00DE5F54">
      <w:pPr>
        <w:autoSpaceDE w:val="0"/>
        <w:autoSpaceDN w:val="0"/>
        <w:adjustRightInd w:val="0"/>
        <w:spacing w:line="360" w:lineRule="auto"/>
        <w:outlineLvl w:val="0"/>
        <w:rPr>
          <w:rFonts w:ascii="Times New Roman" w:hAnsi="Times New Roman"/>
          <w:b/>
          <w:szCs w:val="21"/>
          <w:u w:val="single"/>
          <w:lang w:val="en-CA" w:eastAsia="fr-CA"/>
        </w:rPr>
      </w:pPr>
      <w:r w:rsidRPr="00DE5F54">
        <w:rPr>
          <w:rFonts w:ascii="Times New Roman" w:hAnsi="Times New Roman"/>
          <w:b/>
          <w:szCs w:val="21"/>
          <w:u w:val="single"/>
          <w:lang w:val="en-CA" w:eastAsia="fr-CA"/>
        </w:rPr>
        <w:t>A) Methods of the review</w:t>
      </w:r>
    </w:p>
    <w:p w14:paraId="7BF98B66" w14:textId="77777777" w:rsidR="006A7CC5" w:rsidRPr="00DE5F54" w:rsidRDefault="00943816" w:rsidP="00DE5F54">
      <w:pPr>
        <w:autoSpaceDE w:val="0"/>
        <w:autoSpaceDN w:val="0"/>
        <w:adjustRightInd w:val="0"/>
        <w:spacing w:line="360" w:lineRule="auto"/>
        <w:rPr>
          <w:rFonts w:ascii="Times New Roman" w:hAnsi="Times New Roman"/>
          <w:bCs/>
          <w:kern w:val="36"/>
          <w:szCs w:val="21"/>
        </w:rPr>
      </w:pPr>
      <w:r w:rsidRPr="00DE5F54">
        <w:rPr>
          <w:rFonts w:ascii="Times New Roman" w:hAnsi="Times New Roman"/>
          <w:szCs w:val="21"/>
          <w:lang w:val="en-CA" w:eastAsia="fr-CA"/>
        </w:rPr>
        <w:t>T</w:t>
      </w:r>
      <w:r w:rsidRPr="00DE5F54">
        <w:rPr>
          <w:rFonts w:ascii="Times New Roman" w:hAnsi="Times New Roman"/>
          <w:bCs/>
          <w:kern w:val="36"/>
          <w:szCs w:val="21"/>
        </w:rPr>
        <w:t>he study will be conducted according to the PRISMA statement for the conduct of meta-analyses of intervention studies.</w:t>
      </w:r>
    </w:p>
    <w:p w14:paraId="2F65D213" w14:textId="77777777" w:rsidR="006A7CC5" w:rsidRPr="00DE5F54" w:rsidRDefault="00943816" w:rsidP="00DE5F54">
      <w:pPr>
        <w:autoSpaceDE w:val="0"/>
        <w:autoSpaceDN w:val="0"/>
        <w:adjustRightInd w:val="0"/>
        <w:spacing w:line="360" w:lineRule="auto"/>
        <w:outlineLvl w:val="0"/>
        <w:rPr>
          <w:rFonts w:ascii="Times New Roman" w:hAnsi="Times New Roman"/>
          <w:b/>
          <w:szCs w:val="21"/>
          <w:lang w:val="en-CA"/>
        </w:rPr>
      </w:pPr>
      <w:r w:rsidRPr="00DE5F54">
        <w:rPr>
          <w:rFonts w:ascii="Times New Roman" w:hAnsi="Times New Roman"/>
          <w:b/>
          <w:szCs w:val="21"/>
          <w:lang w:val="en-CA"/>
        </w:rPr>
        <w:t xml:space="preserve">B) </w:t>
      </w:r>
      <w:r w:rsidRPr="00DE5F54">
        <w:rPr>
          <w:rFonts w:ascii="Times New Roman" w:hAnsi="Times New Roman"/>
          <w:b/>
          <w:szCs w:val="21"/>
          <w:u w:val="single"/>
          <w:lang w:val="en-CA"/>
        </w:rPr>
        <w:t>Data sources:</w:t>
      </w:r>
    </w:p>
    <w:p w14:paraId="7038ECDB" w14:textId="3072CDF9" w:rsidR="006A7CC5" w:rsidRPr="00DE5F54" w:rsidRDefault="00943816" w:rsidP="00DE5F54">
      <w:pPr>
        <w:spacing w:line="360" w:lineRule="auto"/>
        <w:rPr>
          <w:rFonts w:ascii="Times New Roman" w:hAnsi="Times New Roman"/>
          <w:iCs/>
          <w:szCs w:val="21"/>
          <w:u w:val="single"/>
          <w:lang w:val="en-CA"/>
        </w:rPr>
      </w:pPr>
      <w:r w:rsidRPr="00DE5F54">
        <w:rPr>
          <w:rFonts w:ascii="Times New Roman" w:hAnsi="Times New Roman"/>
          <w:bCs/>
          <w:kern w:val="36"/>
          <w:szCs w:val="21"/>
        </w:rPr>
        <w:t xml:space="preserve">Relevant randomized controlled trials will be identified by computerized searches from the </w:t>
      </w:r>
      <w:r w:rsidRPr="00DE5F54">
        <w:rPr>
          <w:rFonts w:ascii="Times New Roman" w:hAnsi="Times New Roman"/>
          <w:szCs w:val="21"/>
          <w:lang w:val="en-CA"/>
        </w:rPr>
        <w:t xml:space="preserve">following data sources without language restriction: </w:t>
      </w:r>
      <w:r w:rsidR="00343880" w:rsidRPr="00343880">
        <w:rPr>
          <w:rFonts w:ascii="Times New Roman" w:hAnsi="Times New Roman"/>
          <w:szCs w:val="21"/>
        </w:rPr>
        <w:t xml:space="preserve">MEDLINE (from 1950 to </w:t>
      </w:r>
      <w:r w:rsidR="00525DCF">
        <w:rPr>
          <w:rFonts w:ascii="Times New Roman" w:hAnsi="Times New Roman"/>
          <w:szCs w:val="21"/>
        </w:rPr>
        <w:t>Se</w:t>
      </w:r>
      <w:r w:rsidR="00525DCF">
        <w:rPr>
          <w:rFonts w:ascii="Times New Roman" w:hAnsi="Times New Roman" w:hint="eastAsia"/>
          <w:szCs w:val="21"/>
        </w:rPr>
        <w:t>p</w:t>
      </w:r>
      <w:r w:rsidR="00343880" w:rsidRPr="00343880">
        <w:rPr>
          <w:rFonts w:ascii="Times New Roman" w:hAnsi="Times New Roman"/>
          <w:szCs w:val="21"/>
        </w:rPr>
        <w:t xml:space="preserve"> 2020), EMBASE (from 1970 to</w:t>
      </w:r>
      <w:r w:rsidR="00525DCF" w:rsidRPr="00525DCF">
        <w:rPr>
          <w:rFonts w:ascii="Times New Roman" w:hAnsi="Times New Roman"/>
          <w:szCs w:val="21"/>
        </w:rPr>
        <w:t xml:space="preserve"> </w:t>
      </w:r>
      <w:r w:rsidR="00525DCF">
        <w:rPr>
          <w:rFonts w:ascii="Times New Roman" w:hAnsi="Times New Roman"/>
          <w:szCs w:val="21"/>
        </w:rPr>
        <w:t>Se</w:t>
      </w:r>
      <w:r w:rsidR="00525DCF">
        <w:rPr>
          <w:rFonts w:ascii="Times New Roman" w:hAnsi="Times New Roman" w:hint="eastAsia"/>
          <w:szCs w:val="21"/>
        </w:rPr>
        <w:t>p</w:t>
      </w:r>
      <w:r w:rsidR="00343880" w:rsidRPr="00343880">
        <w:rPr>
          <w:rFonts w:ascii="Times New Roman" w:hAnsi="Times New Roman"/>
          <w:szCs w:val="21"/>
        </w:rPr>
        <w:t xml:space="preserve"> 2020), and the Cochrane Library database (from 1950 to </w:t>
      </w:r>
      <w:r w:rsidR="00525DCF">
        <w:rPr>
          <w:rFonts w:ascii="Times New Roman" w:hAnsi="Times New Roman"/>
          <w:szCs w:val="21"/>
        </w:rPr>
        <w:t>Se</w:t>
      </w:r>
      <w:r w:rsidR="00525DCF">
        <w:rPr>
          <w:rFonts w:ascii="Times New Roman" w:hAnsi="Times New Roman" w:hint="eastAsia"/>
          <w:szCs w:val="21"/>
        </w:rPr>
        <w:t>p</w:t>
      </w:r>
      <w:r w:rsidR="00343880" w:rsidRPr="00343880">
        <w:rPr>
          <w:rFonts w:ascii="Times New Roman" w:hAnsi="Times New Roman"/>
          <w:szCs w:val="21"/>
        </w:rPr>
        <w:t xml:space="preserve"> 2020)</w:t>
      </w:r>
    </w:p>
    <w:p w14:paraId="52E3721D" w14:textId="77777777" w:rsidR="006A7CC5" w:rsidRPr="00DE5F54" w:rsidRDefault="00943816" w:rsidP="00DE5F54">
      <w:pPr>
        <w:spacing w:line="360" w:lineRule="auto"/>
        <w:rPr>
          <w:rFonts w:ascii="Times New Roman" w:hAnsi="Times New Roman"/>
          <w:b/>
          <w:iCs/>
          <w:szCs w:val="21"/>
          <w:u w:val="single"/>
          <w:lang w:val="en-CA"/>
        </w:rPr>
      </w:pPr>
      <w:r w:rsidRPr="00DE5F54">
        <w:rPr>
          <w:rFonts w:ascii="Times New Roman" w:hAnsi="Times New Roman"/>
          <w:b/>
          <w:iCs/>
          <w:szCs w:val="21"/>
          <w:u w:val="single"/>
          <w:lang w:val="en-CA"/>
        </w:rPr>
        <w:t>C) Study selection:</w:t>
      </w:r>
    </w:p>
    <w:p w14:paraId="7A9D9361" w14:textId="77777777" w:rsidR="006A7CC5" w:rsidRPr="00DE5F54" w:rsidRDefault="00943816" w:rsidP="00DE5F54">
      <w:pPr>
        <w:autoSpaceDE w:val="0"/>
        <w:autoSpaceDN w:val="0"/>
        <w:adjustRightInd w:val="0"/>
        <w:spacing w:line="360" w:lineRule="auto"/>
        <w:outlineLvl w:val="0"/>
        <w:rPr>
          <w:rFonts w:ascii="Times New Roman" w:hAnsi="Times New Roman"/>
          <w:szCs w:val="21"/>
          <w:lang w:val="en-CA"/>
        </w:rPr>
      </w:pPr>
      <w:r w:rsidRPr="00DE5F54">
        <w:rPr>
          <w:rFonts w:ascii="Times New Roman" w:hAnsi="Times New Roman"/>
          <w:szCs w:val="21"/>
          <w:u w:val="single"/>
          <w:lang w:val="en-CA"/>
        </w:rPr>
        <w:t>Types of studies:</w:t>
      </w:r>
      <w:r w:rsidRPr="00DE5F54">
        <w:rPr>
          <w:rFonts w:ascii="Times New Roman" w:hAnsi="Times New Roman"/>
          <w:szCs w:val="21"/>
          <w:lang w:val="en-CA"/>
        </w:rPr>
        <w:t xml:space="preserve"> </w:t>
      </w:r>
    </w:p>
    <w:p w14:paraId="0A2BF012" w14:textId="77777777" w:rsidR="006A7CC5" w:rsidRPr="00343880" w:rsidRDefault="00943816" w:rsidP="00DE5F54">
      <w:pPr>
        <w:spacing w:line="360" w:lineRule="auto"/>
        <w:rPr>
          <w:rFonts w:ascii="Times New Roman" w:hAnsi="Times New Roman"/>
          <w:sz w:val="18"/>
          <w:szCs w:val="21"/>
          <w:lang w:val="en-CA"/>
        </w:rPr>
      </w:pPr>
      <w:r w:rsidRPr="00DE5F54">
        <w:rPr>
          <w:rFonts w:ascii="Times New Roman" w:hAnsi="Times New Roman"/>
          <w:szCs w:val="21"/>
          <w:lang w:val="en-CA"/>
        </w:rPr>
        <w:t>R</w:t>
      </w:r>
      <w:r w:rsidRPr="00DE5F54">
        <w:rPr>
          <w:rFonts w:ascii="Times New Roman" w:hAnsi="Times New Roman"/>
          <w:bCs/>
          <w:kern w:val="36"/>
          <w:szCs w:val="21"/>
        </w:rPr>
        <w:t>andomized controlled trials, study</w:t>
      </w:r>
      <w:r w:rsidR="00DE5F54" w:rsidRPr="00DE5F54">
        <w:rPr>
          <w:rFonts w:ascii="Times New Roman" w:hAnsi="Times New Roman"/>
          <w:bCs/>
          <w:kern w:val="36"/>
          <w:szCs w:val="21"/>
        </w:rPr>
        <w:t>ing</w:t>
      </w:r>
      <w:r w:rsidRPr="00DE5F54">
        <w:rPr>
          <w:rFonts w:ascii="Times New Roman" w:hAnsi="Times New Roman"/>
          <w:bCs/>
          <w:kern w:val="36"/>
          <w:szCs w:val="21"/>
        </w:rPr>
        <w:t xml:space="preserve"> the </w:t>
      </w:r>
      <w:r w:rsidR="00343880" w:rsidRPr="00343880">
        <w:rPr>
          <w:rFonts w:ascii="Times New Roman" w:hAnsi="Times New Roman"/>
          <w:szCs w:val="24"/>
        </w:rPr>
        <w:t>therapeutic effects of sodium zirconium cyclosilicate in patients with hyperkalemia</w:t>
      </w:r>
    </w:p>
    <w:p w14:paraId="52A59185" w14:textId="77777777" w:rsidR="006A7CC5" w:rsidRPr="00DE5F54" w:rsidRDefault="00943816" w:rsidP="00DE5F54">
      <w:pPr>
        <w:autoSpaceDE w:val="0"/>
        <w:autoSpaceDN w:val="0"/>
        <w:adjustRightInd w:val="0"/>
        <w:spacing w:line="360" w:lineRule="auto"/>
        <w:outlineLvl w:val="0"/>
        <w:rPr>
          <w:rFonts w:ascii="Times New Roman" w:hAnsi="Times New Roman"/>
          <w:szCs w:val="21"/>
          <w:u w:val="single"/>
          <w:lang w:val="en-CA"/>
        </w:rPr>
      </w:pPr>
      <w:r w:rsidRPr="00DE5F54">
        <w:rPr>
          <w:rFonts w:ascii="Times New Roman" w:hAnsi="Times New Roman"/>
          <w:szCs w:val="21"/>
          <w:u w:val="single"/>
          <w:lang w:val="en-CA"/>
        </w:rPr>
        <w:t>Types of participants:</w:t>
      </w:r>
    </w:p>
    <w:p w14:paraId="34CC70E3" w14:textId="77777777" w:rsidR="006A7CC5" w:rsidRPr="00DE5F54" w:rsidRDefault="00943816" w:rsidP="00DE5F54">
      <w:pPr>
        <w:autoSpaceDE w:val="0"/>
        <w:autoSpaceDN w:val="0"/>
        <w:adjustRightInd w:val="0"/>
        <w:spacing w:line="360" w:lineRule="auto"/>
        <w:outlineLvl w:val="0"/>
        <w:rPr>
          <w:rFonts w:ascii="Times New Roman" w:hAnsi="Times New Roman"/>
          <w:szCs w:val="21"/>
          <w:lang w:val="en-CA"/>
        </w:rPr>
      </w:pPr>
      <w:r w:rsidRPr="00DE5F54">
        <w:rPr>
          <w:rFonts w:ascii="Times New Roman" w:hAnsi="Times New Roman"/>
          <w:bCs/>
          <w:kern w:val="36"/>
          <w:szCs w:val="21"/>
        </w:rPr>
        <w:t>Inclusion criteria:</w:t>
      </w:r>
      <w:r w:rsidRPr="00DE5F54">
        <w:rPr>
          <w:rFonts w:ascii="Times New Roman" w:hAnsi="Times New Roman"/>
          <w:szCs w:val="21"/>
          <w:lang w:val="en-CA"/>
        </w:rPr>
        <w:t xml:space="preserve"> </w:t>
      </w:r>
    </w:p>
    <w:p w14:paraId="22137894" w14:textId="77777777" w:rsidR="00343880" w:rsidRPr="0012461A" w:rsidRDefault="0012461A" w:rsidP="0012461A">
      <w:pPr>
        <w:autoSpaceDE w:val="0"/>
        <w:autoSpaceDN w:val="0"/>
        <w:adjustRightInd w:val="0"/>
        <w:spacing w:line="360" w:lineRule="auto"/>
        <w:jc w:val="left"/>
        <w:outlineLvl w:val="0"/>
        <w:rPr>
          <w:rFonts w:ascii="Times New Roman" w:hAnsi="Times New Roman"/>
          <w:szCs w:val="21"/>
        </w:rPr>
      </w:pPr>
      <w:r>
        <w:rPr>
          <w:rFonts w:ascii="Times New Roman" w:hAnsi="Times New Roman" w:hint="eastAsia"/>
          <w:szCs w:val="21"/>
          <w:lang w:val="en-CA"/>
        </w:rPr>
        <w:t xml:space="preserve">i. </w:t>
      </w:r>
      <w:r>
        <w:rPr>
          <w:rFonts w:ascii="Times New Roman" w:hAnsi="Times New Roman" w:hint="eastAsia"/>
          <w:szCs w:val="21"/>
        </w:rPr>
        <w:t>S</w:t>
      </w:r>
      <w:r w:rsidR="00343880" w:rsidRPr="0012461A">
        <w:rPr>
          <w:rFonts w:ascii="Times New Roman" w:hAnsi="Times New Roman"/>
          <w:szCs w:val="21"/>
        </w:rPr>
        <w:t xml:space="preserve">tudy population comprised participants aged 18 years old or older with hyperkalemia (defined as sK+ 5.1 mmol/L); </w:t>
      </w:r>
    </w:p>
    <w:p w14:paraId="60057D83" w14:textId="77777777" w:rsidR="00343880" w:rsidRPr="0012461A" w:rsidRDefault="0012461A" w:rsidP="0012461A">
      <w:pPr>
        <w:autoSpaceDE w:val="0"/>
        <w:autoSpaceDN w:val="0"/>
        <w:adjustRightInd w:val="0"/>
        <w:spacing w:line="360" w:lineRule="auto"/>
        <w:jc w:val="left"/>
        <w:outlineLvl w:val="0"/>
        <w:rPr>
          <w:rFonts w:ascii="Times New Roman" w:hAnsi="Times New Roman"/>
          <w:szCs w:val="21"/>
        </w:rPr>
      </w:pPr>
      <w:r>
        <w:rPr>
          <w:rFonts w:ascii="Times New Roman" w:hAnsi="Times New Roman" w:hint="eastAsia"/>
          <w:szCs w:val="21"/>
        </w:rPr>
        <w:t>ii. C</w:t>
      </w:r>
      <w:r w:rsidR="00343880" w:rsidRPr="0012461A">
        <w:rPr>
          <w:rFonts w:ascii="Times New Roman" w:hAnsi="Times New Roman"/>
          <w:szCs w:val="21"/>
        </w:rPr>
        <w:t>omparison of sodium zirconium cyclosilicate and placebo;</w:t>
      </w:r>
    </w:p>
    <w:p w14:paraId="4DACE9D3" w14:textId="77777777" w:rsidR="0012461A" w:rsidRPr="0012461A" w:rsidRDefault="0012461A" w:rsidP="0012461A">
      <w:pPr>
        <w:autoSpaceDE w:val="0"/>
        <w:autoSpaceDN w:val="0"/>
        <w:adjustRightInd w:val="0"/>
        <w:spacing w:line="360" w:lineRule="auto"/>
        <w:jc w:val="left"/>
        <w:outlineLvl w:val="0"/>
        <w:rPr>
          <w:rFonts w:ascii="Times New Roman" w:hAnsi="Times New Roman"/>
          <w:szCs w:val="21"/>
        </w:rPr>
      </w:pPr>
      <w:r>
        <w:rPr>
          <w:rFonts w:ascii="Times New Roman" w:hAnsi="Times New Roman" w:hint="eastAsia"/>
          <w:szCs w:val="21"/>
        </w:rPr>
        <w:t>iii. R</w:t>
      </w:r>
      <w:r w:rsidR="00343880" w:rsidRPr="0012461A">
        <w:rPr>
          <w:rFonts w:ascii="Times New Roman" w:hAnsi="Times New Roman"/>
          <w:szCs w:val="21"/>
        </w:rPr>
        <w:t>eported study outcomes included the c</w:t>
      </w:r>
      <w:r w:rsidRPr="0012461A">
        <w:rPr>
          <w:rFonts w:ascii="Times New Roman" w:hAnsi="Times New Roman"/>
          <w:szCs w:val="21"/>
        </w:rPr>
        <w:t>hange in serum potassium (sK+),</w:t>
      </w:r>
      <w:r w:rsidRPr="0012461A">
        <w:rPr>
          <w:rFonts w:ascii="Times New Roman" w:hAnsi="Times New Roman" w:hint="eastAsia"/>
          <w:szCs w:val="21"/>
        </w:rPr>
        <w:t xml:space="preserve"> </w:t>
      </w:r>
      <w:r w:rsidR="00343880" w:rsidRPr="0012461A">
        <w:rPr>
          <w:rFonts w:ascii="Times New Roman" w:hAnsi="Times New Roman"/>
          <w:szCs w:val="21"/>
        </w:rPr>
        <w:t xml:space="preserve">proportions  of responders (defined as patients with sK+ &lt;6.0 mmol/L between 1 and 4 hours, and &lt;5.0 mmol/L at 4 hours, and not requiring additional therapy for hyperkalemia, and according to the definition criteria of the included studies), patient with normal serum kalaemia (defined as patients with sK+ &lt;5.1 mmol/L, or according to the definition criteria of the included studies) between the ZS-9 and </w:t>
      </w:r>
      <w:r w:rsidR="00343880" w:rsidRPr="0012461A">
        <w:rPr>
          <w:rFonts w:ascii="Times New Roman" w:hAnsi="Times New Roman"/>
          <w:szCs w:val="21"/>
        </w:rPr>
        <w:lastRenderedPageBreak/>
        <w:t>placebo group at the end of study, and/or safety data of drug-related adverse events;</w:t>
      </w:r>
    </w:p>
    <w:p w14:paraId="7D931851" w14:textId="77777777" w:rsidR="0012461A" w:rsidRPr="0012461A" w:rsidRDefault="0012461A" w:rsidP="0012461A">
      <w:pPr>
        <w:autoSpaceDE w:val="0"/>
        <w:autoSpaceDN w:val="0"/>
        <w:adjustRightInd w:val="0"/>
        <w:spacing w:line="360" w:lineRule="auto"/>
        <w:jc w:val="left"/>
        <w:outlineLvl w:val="0"/>
        <w:rPr>
          <w:rFonts w:ascii="Times New Roman" w:hAnsi="Times New Roman"/>
          <w:szCs w:val="21"/>
        </w:rPr>
      </w:pPr>
      <w:r>
        <w:rPr>
          <w:rFonts w:ascii="Times New Roman" w:hAnsi="Times New Roman" w:hint="eastAsia"/>
          <w:szCs w:val="21"/>
        </w:rPr>
        <w:t>iv. S</w:t>
      </w:r>
      <w:r w:rsidR="00343880" w:rsidRPr="0012461A">
        <w:rPr>
          <w:rFonts w:ascii="Times New Roman" w:hAnsi="Times New Roman"/>
          <w:szCs w:val="21"/>
        </w:rPr>
        <w:t xml:space="preserve">tudy design was RCT and sample size was larger than 20. </w:t>
      </w:r>
    </w:p>
    <w:p w14:paraId="0F18E55F" w14:textId="77777777" w:rsidR="006A7CC5" w:rsidRPr="0012461A" w:rsidRDefault="00943816" w:rsidP="0012461A">
      <w:pPr>
        <w:autoSpaceDE w:val="0"/>
        <w:autoSpaceDN w:val="0"/>
        <w:adjustRightInd w:val="0"/>
        <w:spacing w:line="360" w:lineRule="auto"/>
        <w:outlineLvl w:val="0"/>
        <w:rPr>
          <w:rFonts w:ascii="Times New Roman" w:hAnsi="Times New Roman"/>
          <w:bCs/>
          <w:kern w:val="36"/>
          <w:sz w:val="18"/>
          <w:szCs w:val="21"/>
        </w:rPr>
      </w:pPr>
      <w:r w:rsidRPr="00DE5F54">
        <w:rPr>
          <w:rFonts w:ascii="Times New Roman" w:hAnsi="Times New Roman"/>
          <w:bCs/>
          <w:kern w:val="36"/>
          <w:szCs w:val="21"/>
        </w:rPr>
        <w:t>Exclusion criteria:</w:t>
      </w:r>
      <w:r w:rsidR="0012461A" w:rsidRPr="005B67A4">
        <w:rPr>
          <w:rFonts w:ascii="Times New Roman" w:hAnsi="Times New Roman"/>
          <w:sz w:val="24"/>
          <w:szCs w:val="24"/>
        </w:rPr>
        <w:t xml:space="preserve"> </w:t>
      </w:r>
      <w:r w:rsidR="0012461A" w:rsidRPr="0012461A">
        <w:rPr>
          <w:rFonts w:ascii="Times New Roman" w:hAnsi="Times New Roman"/>
          <w:szCs w:val="24"/>
        </w:rPr>
        <w:t xml:space="preserve">We excluded studies </w:t>
      </w:r>
      <w:r w:rsidR="0012461A">
        <w:rPr>
          <w:rFonts w:ascii="Times New Roman" w:hAnsi="Times New Roman" w:hint="eastAsia"/>
          <w:szCs w:val="24"/>
        </w:rPr>
        <w:t xml:space="preserve">without control group or </w:t>
      </w:r>
      <w:r w:rsidR="0012461A" w:rsidRPr="0012461A">
        <w:rPr>
          <w:rFonts w:ascii="Times New Roman" w:hAnsi="Times New Roman"/>
          <w:szCs w:val="24"/>
        </w:rPr>
        <w:t>lack of available data.</w:t>
      </w:r>
    </w:p>
    <w:p w14:paraId="4924306C" w14:textId="77777777" w:rsidR="006A7CC5" w:rsidRPr="00DE5F54" w:rsidRDefault="00943816" w:rsidP="00DE5F54">
      <w:pPr>
        <w:autoSpaceDE w:val="0"/>
        <w:autoSpaceDN w:val="0"/>
        <w:adjustRightInd w:val="0"/>
        <w:spacing w:line="360" w:lineRule="auto"/>
        <w:outlineLvl w:val="0"/>
        <w:rPr>
          <w:rFonts w:ascii="Times New Roman" w:hAnsi="Times New Roman"/>
          <w:szCs w:val="21"/>
          <w:u w:val="single"/>
        </w:rPr>
      </w:pPr>
      <w:r w:rsidRPr="00DE5F54">
        <w:rPr>
          <w:rFonts w:ascii="Times New Roman" w:hAnsi="Times New Roman"/>
          <w:szCs w:val="21"/>
          <w:u w:val="single"/>
        </w:rPr>
        <w:t>Type of intervention:</w:t>
      </w:r>
    </w:p>
    <w:p w14:paraId="0C6280F2" w14:textId="77777777" w:rsidR="006A7CC5" w:rsidRPr="00DE5F54" w:rsidRDefault="00943816" w:rsidP="00DE5F54">
      <w:pPr>
        <w:spacing w:line="360" w:lineRule="auto"/>
        <w:rPr>
          <w:rFonts w:ascii="Times New Roman" w:hAnsi="Times New Roman"/>
          <w:bCs/>
          <w:kern w:val="36"/>
          <w:szCs w:val="21"/>
        </w:rPr>
      </w:pPr>
      <w:r w:rsidRPr="00DE5F54">
        <w:rPr>
          <w:rFonts w:ascii="Times New Roman" w:hAnsi="Times New Roman"/>
          <w:bCs/>
          <w:kern w:val="36"/>
          <w:szCs w:val="21"/>
        </w:rPr>
        <w:t xml:space="preserve">Use the </w:t>
      </w:r>
      <w:r w:rsidR="0012461A" w:rsidRPr="0012461A">
        <w:rPr>
          <w:rFonts w:ascii="Times New Roman" w:hAnsi="Times New Roman"/>
          <w:szCs w:val="21"/>
        </w:rPr>
        <w:t>sodium zirconium cyclosilicate</w:t>
      </w:r>
      <w:r w:rsidR="00DE5F54" w:rsidRPr="00DE5F54">
        <w:rPr>
          <w:rFonts w:ascii="Times New Roman" w:hAnsi="Times New Roman"/>
          <w:bCs/>
          <w:kern w:val="36"/>
          <w:szCs w:val="21"/>
        </w:rPr>
        <w:t>.</w:t>
      </w:r>
    </w:p>
    <w:p w14:paraId="39F971FF" w14:textId="77777777" w:rsidR="006A7CC5" w:rsidRPr="00C539C7" w:rsidRDefault="00943816" w:rsidP="00DE5F54">
      <w:pPr>
        <w:autoSpaceDE w:val="0"/>
        <w:autoSpaceDN w:val="0"/>
        <w:adjustRightInd w:val="0"/>
        <w:spacing w:line="360" w:lineRule="auto"/>
        <w:outlineLvl w:val="0"/>
        <w:rPr>
          <w:rFonts w:ascii="Times New Roman" w:hAnsi="Times New Roman"/>
          <w:b/>
          <w:szCs w:val="21"/>
          <w:u w:val="single"/>
        </w:rPr>
      </w:pPr>
      <w:r w:rsidRPr="00C539C7">
        <w:rPr>
          <w:rFonts w:ascii="Times New Roman" w:hAnsi="Times New Roman"/>
          <w:b/>
          <w:szCs w:val="21"/>
          <w:u w:val="single"/>
        </w:rPr>
        <w:t>D) Type of outcome measures:</w:t>
      </w:r>
    </w:p>
    <w:p w14:paraId="31971250" w14:textId="77777777" w:rsidR="0012461A" w:rsidRPr="0012461A" w:rsidRDefault="00DE5F54" w:rsidP="0012461A">
      <w:pPr>
        <w:spacing w:line="360" w:lineRule="auto"/>
        <w:ind w:leftChars="48" w:left="101"/>
        <w:rPr>
          <w:rFonts w:ascii="Times New Roman" w:hAnsi="Times New Roman"/>
          <w:b/>
          <w:bCs/>
          <w:color w:val="000000"/>
          <w:szCs w:val="21"/>
          <w:u w:val="single"/>
        </w:rPr>
      </w:pPr>
      <w:r w:rsidRPr="00C539C7">
        <w:rPr>
          <w:rFonts w:ascii="Times New Roman" w:eastAsia="微软雅黑" w:hAnsi="Times New Roman"/>
          <w:b/>
          <w:color w:val="31353B"/>
          <w:szCs w:val="21"/>
          <w:u w:val="single"/>
        </w:rPr>
        <w:t>Search/MESH terms</w:t>
      </w:r>
      <w:r w:rsidRPr="00C539C7">
        <w:rPr>
          <w:rStyle w:val="apple-converted-space"/>
          <w:rFonts w:ascii="Times New Roman" w:hAnsi="Times New Roman"/>
          <w:b/>
          <w:color w:val="31353B"/>
          <w:szCs w:val="21"/>
          <w:u w:val="single"/>
        </w:rPr>
        <w:t> </w:t>
      </w:r>
      <w:r w:rsidRPr="00C539C7">
        <w:rPr>
          <w:rFonts w:ascii="Times New Roman" w:hAnsi="Times New Roman"/>
          <w:b/>
          <w:bCs/>
          <w:color w:val="000000"/>
          <w:szCs w:val="21"/>
          <w:u w:val="single"/>
        </w:rPr>
        <w:br/>
      </w:r>
      <w:r w:rsidR="0012461A" w:rsidRPr="0012461A">
        <w:rPr>
          <w:rFonts w:ascii="Times New Roman" w:hAnsi="Times New Roman"/>
          <w:b/>
          <w:bCs/>
          <w:color w:val="000000"/>
          <w:szCs w:val="21"/>
          <w:u w:val="single"/>
        </w:rPr>
        <w:t>MEDLINE (OVID)</w:t>
      </w:r>
    </w:p>
    <w:p w14:paraId="0BA65644"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 sodium zirconium cyclosilicate</w:t>
      </w:r>
    </w:p>
    <w:p w14:paraId="074821F5"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2. SZC</w:t>
      </w:r>
    </w:p>
    <w:p w14:paraId="754B70C5"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3. ZS-9 or ZS9</w:t>
      </w:r>
    </w:p>
    <w:p w14:paraId="6A321B51"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4. (sodium zirconium cyclosilicate or SZC or ZS-9 orZS9).</w:t>
      </w:r>
    </w:p>
    <w:p w14:paraId="1F4EE60B"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5. hyperkalemia</w:t>
      </w:r>
    </w:p>
    <w:p w14:paraId="30DBF1E3"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6. Randomized controlled trial</w:t>
      </w:r>
    </w:p>
    <w:p w14:paraId="00DB6CA8"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7. Controlled clinical trial</w:t>
      </w:r>
    </w:p>
    <w:p w14:paraId="7CE41EAD"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8. Randomized.tw.</w:t>
      </w:r>
    </w:p>
    <w:p w14:paraId="5679D526"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9. Placebo.tw.</w:t>
      </w:r>
    </w:p>
    <w:p w14:paraId="1AF2F364"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10. Randomly.tw.</w:t>
      </w:r>
    </w:p>
    <w:p w14:paraId="756FFBF9"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11.Trial.tw.</w:t>
      </w:r>
    </w:p>
    <w:p w14:paraId="64226595"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12. 0r/ 6-11</w:t>
      </w:r>
    </w:p>
    <w:p w14:paraId="169FF526"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13. 4 and 5 and 12</w:t>
      </w:r>
    </w:p>
    <w:p w14:paraId="118C7B7D" w14:textId="77777777" w:rsidR="0012461A" w:rsidRPr="0012461A" w:rsidRDefault="0012461A" w:rsidP="0012461A">
      <w:pPr>
        <w:spacing w:line="360" w:lineRule="auto"/>
        <w:ind w:leftChars="48" w:left="101"/>
        <w:rPr>
          <w:rFonts w:ascii="Times New Roman" w:hAnsi="Times New Roman"/>
          <w:b/>
          <w:bCs/>
          <w:color w:val="000000"/>
          <w:szCs w:val="21"/>
          <w:u w:val="single"/>
        </w:rPr>
      </w:pPr>
      <w:r w:rsidRPr="0012461A">
        <w:rPr>
          <w:rFonts w:ascii="Times New Roman" w:hAnsi="Times New Roman"/>
          <w:b/>
          <w:bCs/>
          <w:color w:val="000000"/>
          <w:szCs w:val="21"/>
          <w:u w:val="single"/>
        </w:rPr>
        <w:t>EMBASE</w:t>
      </w:r>
    </w:p>
    <w:p w14:paraId="556A253A"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 sodium zirconium cyclosilicate</w:t>
      </w:r>
    </w:p>
    <w:p w14:paraId="64231276"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2. SZC</w:t>
      </w:r>
    </w:p>
    <w:p w14:paraId="30882464"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3. ZS-9 or ZS9</w:t>
      </w:r>
    </w:p>
    <w:p w14:paraId="71E8DCE7"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4 .or/1-3</w:t>
      </w:r>
    </w:p>
    <w:p w14:paraId="0D6F7C30"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 xml:space="preserve">5. hyperkalemia </w:t>
      </w:r>
    </w:p>
    <w:p w14:paraId="08FBF111"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6. Randomized controlled trial</w:t>
      </w:r>
    </w:p>
    <w:p w14:paraId="445BD26C"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7. Controlled clinical trial</w:t>
      </w:r>
    </w:p>
    <w:p w14:paraId="11A44A63"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8. blind and method</w:t>
      </w:r>
    </w:p>
    <w:p w14:paraId="66C66093"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lastRenderedPageBreak/>
        <w:t>9. randomized and controlled and trial</w:t>
      </w:r>
    </w:p>
    <w:p w14:paraId="6373D279"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10. random and allocation</w:t>
      </w:r>
    </w:p>
    <w:p w14:paraId="6D5E5B73"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11. or/6-10</w:t>
      </w:r>
    </w:p>
    <w:p w14:paraId="57E72F68"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95. 4 and 5 and11</w:t>
      </w:r>
    </w:p>
    <w:p w14:paraId="5B128085" w14:textId="77777777" w:rsidR="0012461A" w:rsidRPr="0012461A" w:rsidRDefault="0012461A" w:rsidP="0012461A">
      <w:pPr>
        <w:spacing w:line="360" w:lineRule="auto"/>
        <w:ind w:leftChars="48" w:left="101"/>
        <w:rPr>
          <w:rFonts w:ascii="Times New Roman" w:hAnsi="Times New Roman"/>
          <w:b/>
          <w:bCs/>
          <w:color w:val="000000"/>
          <w:szCs w:val="21"/>
          <w:u w:val="single"/>
        </w:rPr>
      </w:pPr>
      <w:r w:rsidRPr="0012461A">
        <w:rPr>
          <w:rFonts w:ascii="Times New Roman" w:hAnsi="Times New Roman"/>
          <w:b/>
          <w:bCs/>
          <w:color w:val="000000"/>
          <w:szCs w:val="21"/>
          <w:u w:val="single"/>
        </w:rPr>
        <w:t>COCHRANE CONTROLLED TRIALS</w:t>
      </w:r>
    </w:p>
    <w:p w14:paraId="6FD9630D"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 xml:space="preserve">1. hyperkalemia </w:t>
      </w:r>
    </w:p>
    <w:p w14:paraId="01B9E9C7"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 xml:space="preserve">2. sodium zirconium cyclosilicate </w:t>
      </w:r>
    </w:p>
    <w:p w14:paraId="544A3B1A"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3. SZC</w:t>
      </w:r>
    </w:p>
    <w:p w14:paraId="3ECA3D0C"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4. ZS-9 or ZS9</w:t>
      </w:r>
    </w:p>
    <w:p w14:paraId="6F94D5B7"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5. Or/2-5</w:t>
      </w:r>
    </w:p>
    <w:p w14:paraId="3BD7BDF3"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6. Randomized controlled trial.pt.</w:t>
      </w:r>
    </w:p>
    <w:p w14:paraId="5E9EDF7A"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7. Controlled clinical trial.pt</w:t>
      </w:r>
    </w:p>
    <w:p w14:paraId="0FF0411C"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8. Randomized.tw.</w:t>
      </w:r>
    </w:p>
    <w:p w14:paraId="0EFE9755"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9. Placebo.tw.</w:t>
      </w:r>
    </w:p>
    <w:p w14:paraId="58004848"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10. Randomly.tw.</w:t>
      </w:r>
    </w:p>
    <w:p w14:paraId="1DE1D909"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11.Trial.tw.</w:t>
      </w:r>
    </w:p>
    <w:p w14:paraId="7C4FF0CD"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12. (random$ adj5 trial$).tw.</w:t>
      </w:r>
    </w:p>
    <w:p w14:paraId="21D5F411"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13. (random$ adj5 allocation$).tw.</w:t>
      </w:r>
    </w:p>
    <w:p w14:paraId="2800F2F0"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14. (Blind$ adj5 method$).tw.</w:t>
      </w:r>
    </w:p>
    <w:p w14:paraId="4774B4F5" w14:textId="77777777" w:rsidR="0012461A" w:rsidRPr="0012461A" w:rsidRDefault="0012461A" w:rsidP="0012461A">
      <w:pPr>
        <w:spacing w:line="360" w:lineRule="auto"/>
        <w:ind w:leftChars="48" w:left="101"/>
        <w:rPr>
          <w:rFonts w:ascii="Times New Roman" w:hAnsi="Times New Roman"/>
          <w:bCs/>
          <w:color w:val="000000"/>
          <w:szCs w:val="21"/>
        </w:rPr>
      </w:pPr>
      <w:r w:rsidRPr="0012461A">
        <w:rPr>
          <w:rFonts w:ascii="Times New Roman" w:hAnsi="Times New Roman"/>
          <w:bCs/>
          <w:color w:val="000000"/>
          <w:szCs w:val="21"/>
        </w:rPr>
        <w:t>15. or/6-14</w:t>
      </w:r>
    </w:p>
    <w:p w14:paraId="634EF7B0" w14:textId="77777777" w:rsidR="00DE5F54" w:rsidRPr="0012461A" w:rsidRDefault="0012461A" w:rsidP="0012461A">
      <w:pPr>
        <w:spacing w:line="360" w:lineRule="auto"/>
        <w:ind w:leftChars="48" w:left="101"/>
        <w:rPr>
          <w:rFonts w:ascii="Times New Roman" w:eastAsia="微软雅黑" w:hAnsi="Times New Roman"/>
          <w:color w:val="31353B"/>
          <w:szCs w:val="21"/>
        </w:rPr>
      </w:pPr>
      <w:r w:rsidRPr="0012461A">
        <w:rPr>
          <w:rFonts w:ascii="Times New Roman" w:hAnsi="Times New Roman"/>
          <w:bCs/>
          <w:color w:val="000000"/>
          <w:szCs w:val="21"/>
        </w:rPr>
        <w:t>16. 1 and 5 and 15</w:t>
      </w:r>
    </w:p>
    <w:p w14:paraId="67810F39" w14:textId="77777777" w:rsidR="006A7CC5" w:rsidRPr="00DE5F54" w:rsidRDefault="00943816" w:rsidP="00BF6489">
      <w:pPr>
        <w:widowControl/>
        <w:spacing w:line="360" w:lineRule="auto"/>
        <w:ind w:firstLineChars="1900" w:firstLine="3990"/>
        <w:rPr>
          <w:rFonts w:ascii="Times New Roman" w:hAnsi="Times New Roman"/>
          <w:b/>
          <w:szCs w:val="21"/>
        </w:rPr>
      </w:pPr>
      <w:r w:rsidRPr="00DE5F54">
        <w:rPr>
          <w:rFonts w:ascii="Times New Roman" w:hAnsi="Times New Roman"/>
          <w:szCs w:val="21"/>
        </w:rPr>
        <w:br w:type="page"/>
      </w:r>
      <w:r w:rsidRPr="00DE5F54">
        <w:rPr>
          <w:rFonts w:ascii="Times New Roman" w:hAnsi="Times New Roman"/>
          <w:b/>
          <w:szCs w:val="21"/>
        </w:rPr>
        <w:lastRenderedPageBreak/>
        <w:t xml:space="preserve">Reference </w:t>
      </w:r>
    </w:p>
    <w:p w14:paraId="5D31FA50" w14:textId="77777777" w:rsidR="0012461A" w:rsidRPr="00BB2AD6" w:rsidRDefault="00943816" w:rsidP="0012461A">
      <w:pPr>
        <w:ind w:left="630" w:hangingChars="300" w:hanging="630"/>
        <w:rPr>
          <w:rFonts w:ascii="Times New Roman" w:hAnsi="Times New Roman"/>
          <w:sz w:val="18"/>
          <w:szCs w:val="18"/>
        </w:rPr>
      </w:pPr>
      <w:r w:rsidRPr="00DE5F54">
        <w:rPr>
          <w:rFonts w:ascii="Times New Roman" w:hAnsi="Times New Roman"/>
          <w:szCs w:val="21"/>
        </w:rPr>
        <w:fldChar w:fldCharType="begin"/>
      </w:r>
      <w:r w:rsidRPr="00DE5F54">
        <w:rPr>
          <w:rFonts w:ascii="Times New Roman" w:hAnsi="Times New Roman"/>
          <w:szCs w:val="21"/>
        </w:rPr>
        <w:instrText xml:space="preserve"> ADDIN EN.REFLIST </w:instrText>
      </w:r>
      <w:r w:rsidRPr="00DE5F54">
        <w:rPr>
          <w:rFonts w:ascii="Times New Roman" w:hAnsi="Times New Roman"/>
          <w:szCs w:val="21"/>
        </w:rPr>
        <w:fldChar w:fldCharType="separate"/>
      </w:r>
      <w:r w:rsidR="0012461A" w:rsidRPr="00BB2AD6">
        <w:rPr>
          <w:rFonts w:ascii="Times New Roman" w:hAnsi="Times New Roman"/>
          <w:sz w:val="18"/>
          <w:szCs w:val="18"/>
        </w:rPr>
        <w:t>[1]</w:t>
      </w:r>
      <w:r w:rsidR="0012461A" w:rsidRPr="00BB2AD6">
        <w:rPr>
          <w:rFonts w:ascii="Times New Roman" w:hAnsi="Times New Roman"/>
          <w:sz w:val="18"/>
          <w:szCs w:val="18"/>
        </w:rPr>
        <w:tab/>
        <w:t>Khanagavi J, Gupta T, Aronow WS, et al. Hyperkalemia among hospitalized patients and association between duration of hyperkalemia and outcomes. Arch Med Sci. 2014. 10(2): 251-7.</w:t>
      </w:r>
    </w:p>
    <w:p w14:paraId="615CAB86"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[2]</w:t>
      </w:r>
      <w:r w:rsidRPr="00BB2AD6">
        <w:rPr>
          <w:rFonts w:ascii="Times New Roman" w:hAnsi="Times New Roman"/>
          <w:sz w:val="18"/>
          <w:szCs w:val="18"/>
        </w:rPr>
        <w:tab/>
        <w:t>Nilsson E, Gasparini A, Ärnlöv J, et al. Incidence and determinants of hyperkalemia and hypokalemia in a large healthcare system. Int J Cardiol. 2017. 245: 277-284.</w:t>
      </w:r>
    </w:p>
    <w:p w14:paraId="3B2D1310"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[3]</w:t>
      </w:r>
      <w:r w:rsidRPr="00BB2AD6">
        <w:rPr>
          <w:rFonts w:ascii="Times New Roman" w:hAnsi="Times New Roman"/>
          <w:sz w:val="18"/>
          <w:szCs w:val="18"/>
        </w:rPr>
        <w:tab/>
        <w:t>Kashihara N, Kohsaka S, Kanda E, Okami S, Yajima T. Hyperkalemia in Real-World Patients Under Continuous Medical Care in Japan. Kidney Int Rep. 2019. 4(9): 1248-1260.</w:t>
      </w:r>
    </w:p>
    <w:p w14:paraId="4B412F6B"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[4]</w:t>
      </w:r>
      <w:r w:rsidRPr="00BB2AD6">
        <w:rPr>
          <w:rFonts w:ascii="Times New Roman" w:hAnsi="Times New Roman"/>
          <w:sz w:val="18"/>
          <w:szCs w:val="18"/>
        </w:rPr>
        <w:tab/>
        <w:t>Zhang Y, He D, Zhang W, et al. ACE Inhibitor Benefit to Kidney and Cardiovascular Outcomes for Patients with Non-Dialysis Chronic Kidney Disease Stages 3-5: A Network Meta-Analysis of Randomised Clinical Trials. Drugs. 2020 .</w:t>
      </w:r>
    </w:p>
    <w:p w14:paraId="1EC4F736"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[5]</w:t>
      </w:r>
      <w:r w:rsidRPr="00BB2AD6">
        <w:rPr>
          <w:rFonts w:ascii="Times New Roman" w:hAnsi="Times New Roman"/>
          <w:sz w:val="18"/>
          <w:szCs w:val="18"/>
        </w:rPr>
        <w:tab/>
        <w:t>Hao G, Wang Z, Guo R, et al. Effects of ACEI/ARB in hypertensive patients with type 2 diabetes mellitus: a meta-analysis of randomized controlled studies. BMC Cardiovasc Disord. 2014. 14: 148.</w:t>
      </w:r>
    </w:p>
    <w:p w14:paraId="054C9635"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[6]</w:t>
      </w:r>
      <w:r w:rsidRPr="00BB2AD6">
        <w:rPr>
          <w:rFonts w:ascii="Times New Roman" w:hAnsi="Times New Roman"/>
          <w:sz w:val="18"/>
          <w:szCs w:val="18"/>
        </w:rPr>
        <w:tab/>
        <w:t>Santoro A, Mandreoli M. [Hyperkalemia as a limiting factor in the use of drugs that block the Renin Angiotensin Aldosterone System (RAAS)]. G Ital Nefrol. 2018 .</w:t>
      </w:r>
    </w:p>
    <w:p w14:paraId="662B1C95"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[7]</w:t>
      </w:r>
      <w:r w:rsidRPr="00BB2AD6">
        <w:rPr>
          <w:rFonts w:ascii="Times New Roman" w:hAnsi="Times New Roman"/>
          <w:sz w:val="18"/>
          <w:szCs w:val="18"/>
        </w:rPr>
        <w:tab/>
        <w:t>Palmer BF, Clegg DJ. Diagnosis and treatment of hyperkalemia. Cleve Clin J Med. 2017. 84(12): 934-942.</w:t>
      </w:r>
    </w:p>
    <w:p w14:paraId="1EF47C36"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[8]</w:t>
      </w:r>
      <w:r w:rsidRPr="00BB2AD6">
        <w:rPr>
          <w:rFonts w:ascii="Times New Roman" w:hAnsi="Times New Roman"/>
          <w:sz w:val="18"/>
          <w:szCs w:val="18"/>
        </w:rPr>
        <w:tab/>
        <w:t>Cowan AC, Gharib EG, Weir MA. Advances in the management of hyperkalemia in chronic kidney disease. Curr Opin Nephrol Hypertens. 2017. 26(3): 235-239.</w:t>
      </w:r>
    </w:p>
    <w:p w14:paraId="244DF5AA"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[9]</w:t>
      </w:r>
      <w:r w:rsidRPr="00BB2AD6">
        <w:rPr>
          <w:rFonts w:ascii="Times New Roman" w:hAnsi="Times New Roman"/>
          <w:sz w:val="18"/>
          <w:szCs w:val="18"/>
        </w:rPr>
        <w:tab/>
      </w:r>
      <w:r w:rsidRPr="00BB2AD6">
        <w:rPr>
          <w:rFonts w:ascii="Times New Roman" w:hAnsi="Times New Roman"/>
          <w:sz w:val="18"/>
          <w:szCs w:val="18"/>
        </w:rPr>
        <w:t>周庆飞</w:t>
      </w:r>
      <w:r w:rsidRPr="00BB2AD6">
        <w:rPr>
          <w:rFonts w:ascii="Times New Roman" w:hAnsi="Times New Roman"/>
          <w:sz w:val="18"/>
          <w:szCs w:val="18"/>
        </w:rPr>
        <w:t xml:space="preserve">. Sodium zirconium cyclosilicate(Lokelma). </w:t>
      </w:r>
      <w:r w:rsidRPr="00BB2AD6">
        <w:rPr>
          <w:rFonts w:ascii="Times New Roman" w:hAnsi="Times New Roman"/>
          <w:sz w:val="18"/>
          <w:szCs w:val="18"/>
        </w:rPr>
        <w:t>中国药物化学杂志</w:t>
      </w:r>
      <w:r w:rsidRPr="00BB2AD6">
        <w:rPr>
          <w:rFonts w:ascii="Times New Roman" w:hAnsi="Times New Roman"/>
          <w:sz w:val="18"/>
          <w:szCs w:val="18"/>
        </w:rPr>
        <w:t>. 028(006): 515.</w:t>
      </w:r>
    </w:p>
    <w:p w14:paraId="5DD650A0"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[10]</w:t>
      </w:r>
      <w:r w:rsidRPr="00BB2AD6">
        <w:rPr>
          <w:rFonts w:ascii="Times New Roman" w:hAnsi="Times New Roman"/>
          <w:sz w:val="18"/>
          <w:szCs w:val="18"/>
        </w:rPr>
        <w:tab/>
        <w:t>Stavros F, Yang A, Leon A, Nuttall M, Rasmussen HS. Characterization of structure and function of ZS-9, a K+ selective ion trap. PLoS One. 2014. 9(12): e114686.</w:t>
      </w:r>
    </w:p>
    <w:p w14:paraId="01DFEA1D"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[11]</w:t>
      </w:r>
      <w:r w:rsidRPr="00BB2AD6">
        <w:rPr>
          <w:rFonts w:ascii="Times New Roman" w:hAnsi="Times New Roman"/>
          <w:sz w:val="18"/>
          <w:szCs w:val="18"/>
        </w:rPr>
        <w:tab/>
        <w:t>Yang A, Leon A, Nuttall M, Low JJ, Rasmussen HS. IN VITRO ION EXCHANGE CAPACITY AND SELECTIVITY OF ZS-9, A NOVEL, SELECTIVE CATION TRAP FOR THE TREATMENT OF HYPERKALEMIA. Am J Kidney Dis. 2014. 63(5): B115.</w:t>
      </w:r>
    </w:p>
    <w:p w14:paraId="062501CD"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[12]</w:t>
      </w:r>
      <w:r w:rsidRPr="00BB2AD6">
        <w:rPr>
          <w:rFonts w:ascii="Times New Roman" w:hAnsi="Times New Roman"/>
          <w:sz w:val="18"/>
          <w:szCs w:val="18"/>
        </w:rPr>
        <w:tab/>
        <w:t>Packham DK, Rasmussen HS, Lavin PT, et al. Sodium zirconium cyclosilicate in hyperkalemia. N Engl J Med. 2015. 372(3): 222-31.</w:t>
      </w:r>
    </w:p>
    <w:p w14:paraId="54C2CFD8" w14:textId="77777777" w:rsidR="0012461A" w:rsidRPr="00BB2AD6" w:rsidRDefault="0012461A" w:rsidP="0012461A">
      <w:pPr>
        <w:ind w:left="540" w:hangingChars="300" w:hanging="540"/>
        <w:rPr>
          <w:rFonts w:ascii="Times New Roman" w:hAnsi="Times New Roman"/>
          <w:sz w:val="18"/>
          <w:szCs w:val="18"/>
        </w:rPr>
      </w:pPr>
      <w:r w:rsidRPr="00BB2AD6">
        <w:rPr>
          <w:rFonts w:ascii="Times New Roman" w:hAnsi="Times New Roman"/>
          <w:sz w:val="18"/>
          <w:szCs w:val="18"/>
        </w:rPr>
        <w:t>[13]</w:t>
      </w:r>
      <w:r w:rsidRPr="00BB2AD6">
        <w:rPr>
          <w:rFonts w:ascii="Times New Roman" w:hAnsi="Times New Roman"/>
          <w:sz w:val="18"/>
          <w:szCs w:val="18"/>
        </w:rPr>
        <w:tab/>
        <w:t>Spinowitz BS, Fishbane S, Pergola PE, et al. Sodium Zirconium Cyclosilicate among Individuals with Hyperkalemia: A 12-Month Phase 3 Study. Clin J Am Soc Nephrol. 2019. 14(6): 798-809.</w:t>
      </w:r>
    </w:p>
    <w:p w14:paraId="50AC6F0B" w14:textId="77777777" w:rsidR="006A7CC5" w:rsidRPr="00DE5F54" w:rsidRDefault="006A7CC5" w:rsidP="0012461A">
      <w:pPr>
        <w:ind w:left="630" w:hangingChars="300" w:hanging="630"/>
        <w:rPr>
          <w:rFonts w:ascii="Times New Roman" w:hAnsi="Times New Roman"/>
          <w:szCs w:val="21"/>
        </w:rPr>
      </w:pPr>
    </w:p>
    <w:p w14:paraId="022CE4E6" w14:textId="77777777" w:rsidR="006A7CC5" w:rsidRPr="00DE5F54" w:rsidRDefault="00943816" w:rsidP="00DE5F54">
      <w:pPr>
        <w:spacing w:line="360" w:lineRule="auto"/>
        <w:rPr>
          <w:rFonts w:ascii="Times New Roman" w:hAnsi="Times New Roman"/>
          <w:szCs w:val="21"/>
        </w:rPr>
      </w:pPr>
      <w:r w:rsidRPr="00DE5F54">
        <w:rPr>
          <w:rFonts w:ascii="Times New Roman" w:hAnsi="Times New Roman"/>
          <w:szCs w:val="21"/>
        </w:rPr>
        <w:fldChar w:fldCharType="end"/>
      </w:r>
    </w:p>
    <w:sectPr w:rsidR="006A7CC5" w:rsidRPr="00DE5F54">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E10F7" w14:textId="77777777" w:rsidR="003B7C0E" w:rsidRDefault="003B7C0E">
      <w:r>
        <w:separator/>
      </w:r>
    </w:p>
  </w:endnote>
  <w:endnote w:type="continuationSeparator" w:id="0">
    <w:p w14:paraId="53A22E7B" w14:textId="77777777" w:rsidR="003B7C0E" w:rsidRDefault="003B7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alaLancetPro">
    <w:altName w:val="Times New Roman"/>
    <w:panose1 w:val="00000000000000000000"/>
    <w:charset w:val="00"/>
    <w:family w:val="roman"/>
    <w:notTrueType/>
    <w:pitch w:val="default"/>
  </w:font>
  <w:font w:name="CongressSans-Bold">
    <w:altName w:val="宋体"/>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72FAD" w14:textId="77777777" w:rsidR="006A7CC5" w:rsidRDefault="00943816">
    <w:pPr>
      <w:pStyle w:val="a9"/>
      <w:jc w:val="center"/>
    </w:pPr>
    <w:r>
      <w:fldChar w:fldCharType="begin"/>
    </w:r>
    <w:r>
      <w:instrText xml:space="preserve"> PAGE   \* MERGEFORMAT </w:instrText>
    </w:r>
    <w:r>
      <w:fldChar w:fldCharType="separate"/>
    </w:r>
    <w:r w:rsidR="0012461A" w:rsidRPr="0012461A">
      <w:rPr>
        <w:noProof/>
        <w:lang w:val="zh-CN"/>
      </w:rPr>
      <w:t>1</w:t>
    </w:r>
    <w:r>
      <w:rPr>
        <w:lang w:val="zh-CN"/>
      </w:rPr>
      <w:fldChar w:fldCharType="end"/>
    </w:r>
  </w:p>
  <w:p w14:paraId="7B2CD663" w14:textId="77777777" w:rsidR="006A7CC5" w:rsidRDefault="006A7C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B4AA3" w14:textId="77777777" w:rsidR="003B7C0E" w:rsidRDefault="003B7C0E">
      <w:r>
        <w:separator/>
      </w:r>
    </w:p>
  </w:footnote>
  <w:footnote w:type="continuationSeparator" w:id="0">
    <w:p w14:paraId="0CA42BD8" w14:textId="77777777" w:rsidR="003B7C0E" w:rsidRDefault="003B7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0452A" w14:textId="77777777" w:rsidR="006A7CC5" w:rsidRDefault="006A7CC5">
    <w:pPr>
      <w:pStyle w:val="ab"/>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444C0"/>
    <w:multiLevelType w:val="multilevel"/>
    <w:tmpl w:val="241444C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9E6466E"/>
    <w:multiLevelType w:val="hybridMultilevel"/>
    <w:tmpl w:val="FFDC5944"/>
    <w:lvl w:ilvl="0" w:tplc="96C0B1AE">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7ED6926"/>
    <w:multiLevelType w:val="multilevel"/>
    <w:tmpl w:val="57ED69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34472B8"/>
    <w:multiLevelType w:val="hybridMultilevel"/>
    <w:tmpl w:val="AC2ED326"/>
    <w:lvl w:ilvl="0" w:tplc="B1FC86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68F0BBE"/>
    <w:multiLevelType w:val="hybridMultilevel"/>
    <w:tmpl w:val="F20E9D10"/>
    <w:lvl w:ilvl="0" w:tplc="5A921CD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it Medical 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0902xtpmfzef1ertwo5w2tb5zde9erf5t0f&quot;&gt;23篇引文&lt;record-ids&gt;&lt;item&gt;1&lt;/item&gt;&lt;item&gt;2&lt;/item&gt;&lt;item&gt;3&lt;/item&gt;&lt;item&gt;9&lt;/item&gt;&lt;item&gt;11&lt;/item&gt;&lt;item&gt;22&lt;/item&gt;&lt;/record-ids&gt;&lt;/item&gt;&lt;/Libraries&gt;"/>
    <w:docVar w:name="KY_MEDREF_DOCUID" w:val="{75AA7E50-85C8-44C8-9A03-3A0D0FCF891D}"/>
    <w:docVar w:name="KY_MEDREF_VERSION" w:val="3"/>
  </w:docVars>
  <w:rsids>
    <w:rsidRoot w:val="007D5F81"/>
    <w:rsid w:val="00004013"/>
    <w:rsid w:val="00007F5C"/>
    <w:rsid w:val="000106D7"/>
    <w:rsid w:val="000117D8"/>
    <w:rsid w:val="00017BD2"/>
    <w:rsid w:val="0003338A"/>
    <w:rsid w:val="00035ACD"/>
    <w:rsid w:val="000423A2"/>
    <w:rsid w:val="0004628E"/>
    <w:rsid w:val="00047B3F"/>
    <w:rsid w:val="0005294B"/>
    <w:rsid w:val="000539E6"/>
    <w:rsid w:val="000552FB"/>
    <w:rsid w:val="00063653"/>
    <w:rsid w:val="0007051B"/>
    <w:rsid w:val="00073BB4"/>
    <w:rsid w:val="00077C78"/>
    <w:rsid w:val="00081469"/>
    <w:rsid w:val="00095BDE"/>
    <w:rsid w:val="00097D9D"/>
    <w:rsid w:val="000A0CE5"/>
    <w:rsid w:val="000A51DB"/>
    <w:rsid w:val="000B54A2"/>
    <w:rsid w:val="000B7349"/>
    <w:rsid w:val="000C2160"/>
    <w:rsid w:val="000C3CC0"/>
    <w:rsid w:val="000C47F0"/>
    <w:rsid w:val="000C60AD"/>
    <w:rsid w:val="000C73F7"/>
    <w:rsid w:val="000D30C8"/>
    <w:rsid w:val="000D6D49"/>
    <w:rsid w:val="000E1697"/>
    <w:rsid w:val="000E26A0"/>
    <w:rsid w:val="000E44AE"/>
    <w:rsid w:val="000F1EE1"/>
    <w:rsid w:val="000F34DE"/>
    <w:rsid w:val="0010185D"/>
    <w:rsid w:val="00105D19"/>
    <w:rsid w:val="001114EB"/>
    <w:rsid w:val="00111AD0"/>
    <w:rsid w:val="00121EC9"/>
    <w:rsid w:val="00122D70"/>
    <w:rsid w:val="0012461A"/>
    <w:rsid w:val="00124C19"/>
    <w:rsid w:val="00130802"/>
    <w:rsid w:val="00132C1A"/>
    <w:rsid w:val="001356D2"/>
    <w:rsid w:val="00151506"/>
    <w:rsid w:val="001578D3"/>
    <w:rsid w:val="00161726"/>
    <w:rsid w:val="00161F4B"/>
    <w:rsid w:val="00162D63"/>
    <w:rsid w:val="0016381C"/>
    <w:rsid w:val="00173F42"/>
    <w:rsid w:val="00176158"/>
    <w:rsid w:val="00180551"/>
    <w:rsid w:val="00183B21"/>
    <w:rsid w:val="00184799"/>
    <w:rsid w:val="0018505A"/>
    <w:rsid w:val="00192966"/>
    <w:rsid w:val="00193C84"/>
    <w:rsid w:val="001A164B"/>
    <w:rsid w:val="001A638B"/>
    <w:rsid w:val="001D003E"/>
    <w:rsid w:val="001D1B0D"/>
    <w:rsid w:val="001D777A"/>
    <w:rsid w:val="001E2316"/>
    <w:rsid w:val="001E3741"/>
    <w:rsid w:val="001E506E"/>
    <w:rsid w:val="001F7E0F"/>
    <w:rsid w:val="0020444D"/>
    <w:rsid w:val="00204DD6"/>
    <w:rsid w:val="0022251A"/>
    <w:rsid w:val="00226F1A"/>
    <w:rsid w:val="00244133"/>
    <w:rsid w:val="00245A54"/>
    <w:rsid w:val="0025158F"/>
    <w:rsid w:val="002646C3"/>
    <w:rsid w:val="00280B4D"/>
    <w:rsid w:val="0029491E"/>
    <w:rsid w:val="00296B35"/>
    <w:rsid w:val="002A093C"/>
    <w:rsid w:val="002A21CA"/>
    <w:rsid w:val="002A34A8"/>
    <w:rsid w:val="002A3D91"/>
    <w:rsid w:val="002B6831"/>
    <w:rsid w:val="002C14A5"/>
    <w:rsid w:val="002C5232"/>
    <w:rsid w:val="002C6989"/>
    <w:rsid w:val="002C77F6"/>
    <w:rsid w:val="002D052B"/>
    <w:rsid w:val="002D0DD6"/>
    <w:rsid w:val="002D5F58"/>
    <w:rsid w:val="002D64CC"/>
    <w:rsid w:val="002D7041"/>
    <w:rsid w:val="002D7142"/>
    <w:rsid w:val="002E2D16"/>
    <w:rsid w:val="002F3E66"/>
    <w:rsid w:val="00303113"/>
    <w:rsid w:val="00317D86"/>
    <w:rsid w:val="00331B93"/>
    <w:rsid w:val="003331B8"/>
    <w:rsid w:val="00343880"/>
    <w:rsid w:val="00347F76"/>
    <w:rsid w:val="0035307E"/>
    <w:rsid w:val="00354B0E"/>
    <w:rsid w:val="00357032"/>
    <w:rsid w:val="003615D0"/>
    <w:rsid w:val="00362673"/>
    <w:rsid w:val="00384153"/>
    <w:rsid w:val="00385F25"/>
    <w:rsid w:val="003A71D7"/>
    <w:rsid w:val="003A745F"/>
    <w:rsid w:val="003B2917"/>
    <w:rsid w:val="003B2F8D"/>
    <w:rsid w:val="003B7C0E"/>
    <w:rsid w:val="003C253E"/>
    <w:rsid w:val="003C44E8"/>
    <w:rsid w:val="003C573C"/>
    <w:rsid w:val="003D3D38"/>
    <w:rsid w:val="003D5095"/>
    <w:rsid w:val="003D5603"/>
    <w:rsid w:val="003D7951"/>
    <w:rsid w:val="003E5929"/>
    <w:rsid w:val="003F075D"/>
    <w:rsid w:val="003F4751"/>
    <w:rsid w:val="00404EF2"/>
    <w:rsid w:val="00411897"/>
    <w:rsid w:val="00426E42"/>
    <w:rsid w:val="00427836"/>
    <w:rsid w:val="004341F5"/>
    <w:rsid w:val="00434D28"/>
    <w:rsid w:val="00437620"/>
    <w:rsid w:val="00444749"/>
    <w:rsid w:val="00455992"/>
    <w:rsid w:val="004602A4"/>
    <w:rsid w:val="0047302A"/>
    <w:rsid w:val="00482D78"/>
    <w:rsid w:val="00491079"/>
    <w:rsid w:val="00496246"/>
    <w:rsid w:val="004967F5"/>
    <w:rsid w:val="004A433B"/>
    <w:rsid w:val="004C04D1"/>
    <w:rsid w:val="004D04F3"/>
    <w:rsid w:val="004D59FE"/>
    <w:rsid w:val="004E40F0"/>
    <w:rsid w:val="004E5786"/>
    <w:rsid w:val="004F499D"/>
    <w:rsid w:val="00505DD0"/>
    <w:rsid w:val="005243CC"/>
    <w:rsid w:val="00525DCF"/>
    <w:rsid w:val="0053082C"/>
    <w:rsid w:val="00530FBA"/>
    <w:rsid w:val="005340A0"/>
    <w:rsid w:val="0054106D"/>
    <w:rsid w:val="00541EE2"/>
    <w:rsid w:val="005600BE"/>
    <w:rsid w:val="0056257B"/>
    <w:rsid w:val="00564684"/>
    <w:rsid w:val="0056786F"/>
    <w:rsid w:val="00570590"/>
    <w:rsid w:val="0059574A"/>
    <w:rsid w:val="005A0A5C"/>
    <w:rsid w:val="005A24CA"/>
    <w:rsid w:val="005A3BF8"/>
    <w:rsid w:val="005A511B"/>
    <w:rsid w:val="005B2659"/>
    <w:rsid w:val="005B5613"/>
    <w:rsid w:val="005B67A4"/>
    <w:rsid w:val="005C557C"/>
    <w:rsid w:val="005C5F1A"/>
    <w:rsid w:val="005D3ECC"/>
    <w:rsid w:val="00605430"/>
    <w:rsid w:val="00627FD3"/>
    <w:rsid w:val="0063229C"/>
    <w:rsid w:val="00633C5E"/>
    <w:rsid w:val="00643B99"/>
    <w:rsid w:val="00644B04"/>
    <w:rsid w:val="00645E66"/>
    <w:rsid w:val="00667885"/>
    <w:rsid w:val="00667A15"/>
    <w:rsid w:val="0068304A"/>
    <w:rsid w:val="00684406"/>
    <w:rsid w:val="00687A77"/>
    <w:rsid w:val="006938D0"/>
    <w:rsid w:val="006A3A6F"/>
    <w:rsid w:val="006A6D12"/>
    <w:rsid w:val="006A7CC5"/>
    <w:rsid w:val="006B78CE"/>
    <w:rsid w:val="006C1F11"/>
    <w:rsid w:val="006C512A"/>
    <w:rsid w:val="006D28A4"/>
    <w:rsid w:val="006D5118"/>
    <w:rsid w:val="006D703F"/>
    <w:rsid w:val="006F02E8"/>
    <w:rsid w:val="006F1147"/>
    <w:rsid w:val="006F2201"/>
    <w:rsid w:val="00701D60"/>
    <w:rsid w:val="007075F4"/>
    <w:rsid w:val="007170EB"/>
    <w:rsid w:val="0072021B"/>
    <w:rsid w:val="0073718F"/>
    <w:rsid w:val="00751885"/>
    <w:rsid w:val="007540AF"/>
    <w:rsid w:val="007544B0"/>
    <w:rsid w:val="007573C2"/>
    <w:rsid w:val="00770725"/>
    <w:rsid w:val="00771543"/>
    <w:rsid w:val="00771997"/>
    <w:rsid w:val="007940B1"/>
    <w:rsid w:val="007B1843"/>
    <w:rsid w:val="007B5541"/>
    <w:rsid w:val="007C1809"/>
    <w:rsid w:val="007C1B84"/>
    <w:rsid w:val="007C2C3C"/>
    <w:rsid w:val="007C7385"/>
    <w:rsid w:val="007D5F81"/>
    <w:rsid w:val="007E0F99"/>
    <w:rsid w:val="007E6EA4"/>
    <w:rsid w:val="008034CC"/>
    <w:rsid w:val="008116F1"/>
    <w:rsid w:val="00824B7F"/>
    <w:rsid w:val="00841B8A"/>
    <w:rsid w:val="00845657"/>
    <w:rsid w:val="00861D1A"/>
    <w:rsid w:val="00863968"/>
    <w:rsid w:val="0087090B"/>
    <w:rsid w:val="00872143"/>
    <w:rsid w:val="0088305D"/>
    <w:rsid w:val="00883480"/>
    <w:rsid w:val="0088733A"/>
    <w:rsid w:val="00892589"/>
    <w:rsid w:val="008B4368"/>
    <w:rsid w:val="008C040A"/>
    <w:rsid w:val="008C2DB2"/>
    <w:rsid w:val="008D3935"/>
    <w:rsid w:val="008E42F5"/>
    <w:rsid w:val="008F4078"/>
    <w:rsid w:val="008F6D44"/>
    <w:rsid w:val="00906E53"/>
    <w:rsid w:val="0090763D"/>
    <w:rsid w:val="0091101E"/>
    <w:rsid w:val="00925BAC"/>
    <w:rsid w:val="00930D3D"/>
    <w:rsid w:val="00942A3B"/>
    <w:rsid w:val="00943816"/>
    <w:rsid w:val="0095419E"/>
    <w:rsid w:val="00966E94"/>
    <w:rsid w:val="009860A9"/>
    <w:rsid w:val="00991234"/>
    <w:rsid w:val="0099680F"/>
    <w:rsid w:val="009A40ED"/>
    <w:rsid w:val="009B40E5"/>
    <w:rsid w:val="009C7A09"/>
    <w:rsid w:val="009D2721"/>
    <w:rsid w:val="009D3049"/>
    <w:rsid w:val="00A00DF5"/>
    <w:rsid w:val="00A035A1"/>
    <w:rsid w:val="00A10AE5"/>
    <w:rsid w:val="00A23CAB"/>
    <w:rsid w:val="00A23CDB"/>
    <w:rsid w:val="00A37847"/>
    <w:rsid w:val="00A54326"/>
    <w:rsid w:val="00A650AC"/>
    <w:rsid w:val="00A70633"/>
    <w:rsid w:val="00A71E85"/>
    <w:rsid w:val="00A85148"/>
    <w:rsid w:val="00A853DD"/>
    <w:rsid w:val="00A91E4A"/>
    <w:rsid w:val="00A96008"/>
    <w:rsid w:val="00AA0422"/>
    <w:rsid w:val="00AB39B7"/>
    <w:rsid w:val="00AB3B70"/>
    <w:rsid w:val="00AB4512"/>
    <w:rsid w:val="00AC13DE"/>
    <w:rsid w:val="00AC48D9"/>
    <w:rsid w:val="00AD7911"/>
    <w:rsid w:val="00AE5869"/>
    <w:rsid w:val="00AF0A5D"/>
    <w:rsid w:val="00AF5574"/>
    <w:rsid w:val="00AF7C5B"/>
    <w:rsid w:val="00B064DC"/>
    <w:rsid w:val="00B179F1"/>
    <w:rsid w:val="00B20E4B"/>
    <w:rsid w:val="00B24C22"/>
    <w:rsid w:val="00B40609"/>
    <w:rsid w:val="00B525AB"/>
    <w:rsid w:val="00B7370D"/>
    <w:rsid w:val="00B81A05"/>
    <w:rsid w:val="00B84203"/>
    <w:rsid w:val="00B87555"/>
    <w:rsid w:val="00B93873"/>
    <w:rsid w:val="00BB0F48"/>
    <w:rsid w:val="00BB1A4C"/>
    <w:rsid w:val="00BB34DE"/>
    <w:rsid w:val="00BB456A"/>
    <w:rsid w:val="00BF0762"/>
    <w:rsid w:val="00BF47C4"/>
    <w:rsid w:val="00BF6489"/>
    <w:rsid w:val="00C01F54"/>
    <w:rsid w:val="00C06B8B"/>
    <w:rsid w:val="00C12A31"/>
    <w:rsid w:val="00C20771"/>
    <w:rsid w:val="00C30F7C"/>
    <w:rsid w:val="00C343AC"/>
    <w:rsid w:val="00C539C7"/>
    <w:rsid w:val="00C544EE"/>
    <w:rsid w:val="00C55034"/>
    <w:rsid w:val="00C56563"/>
    <w:rsid w:val="00C6328C"/>
    <w:rsid w:val="00C651AB"/>
    <w:rsid w:val="00C70E73"/>
    <w:rsid w:val="00C74978"/>
    <w:rsid w:val="00C75A84"/>
    <w:rsid w:val="00C81F66"/>
    <w:rsid w:val="00C840DB"/>
    <w:rsid w:val="00C85E91"/>
    <w:rsid w:val="00CB71AF"/>
    <w:rsid w:val="00CB7880"/>
    <w:rsid w:val="00CC1C66"/>
    <w:rsid w:val="00CC35C8"/>
    <w:rsid w:val="00CD1541"/>
    <w:rsid w:val="00CD6528"/>
    <w:rsid w:val="00CD764D"/>
    <w:rsid w:val="00CD795E"/>
    <w:rsid w:val="00CE0783"/>
    <w:rsid w:val="00CE5CE8"/>
    <w:rsid w:val="00CE66A0"/>
    <w:rsid w:val="00CE6E16"/>
    <w:rsid w:val="00CE7522"/>
    <w:rsid w:val="00CF1C92"/>
    <w:rsid w:val="00D07914"/>
    <w:rsid w:val="00D118DA"/>
    <w:rsid w:val="00D1795D"/>
    <w:rsid w:val="00D24EB8"/>
    <w:rsid w:val="00D3618E"/>
    <w:rsid w:val="00D472DE"/>
    <w:rsid w:val="00D5283C"/>
    <w:rsid w:val="00D54596"/>
    <w:rsid w:val="00D546EA"/>
    <w:rsid w:val="00D570B3"/>
    <w:rsid w:val="00D609A6"/>
    <w:rsid w:val="00D833E1"/>
    <w:rsid w:val="00DA269D"/>
    <w:rsid w:val="00DA431D"/>
    <w:rsid w:val="00DA5303"/>
    <w:rsid w:val="00DA5E96"/>
    <w:rsid w:val="00DA7006"/>
    <w:rsid w:val="00DB1CFD"/>
    <w:rsid w:val="00DB30E9"/>
    <w:rsid w:val="00DB6ED3"/>
    <w:rsid w:val="00DB7F8E"/>
    <w:rsid w:val="00DC4224"/>
    <w:rsid w:val="00DC65F6"/>
    <w:rsid w:val="00DD0B2C"/>
    <w:rsid w:val="00DE0FC5"/>
    <w:rsid w:val="00DE5F54"/>
    <w:rsid w:val="00DF031D"/>
    <w:rsid w:val="00DF0EAA"/>
    <w:rsid w:val="00DF2AF9"/>
    <w:rsid w:val="00DF701D"/>
    <w:rsid w:val="00E003A4"/>
    <w:rsid w:val="00E04060"/>
    <w:rsid w:val="00E123BC"/>
    <w:rsid w:val="00E1388F"/>
    <w:rsid w:val="00E3009E"/>
    <w:rsid w:val="00E31018"/>
    <w:rsid w:val="00E5211D"/>
    <w:rsid w:val="00E6282A"/>
    <w:rsid w:val="00E6474C"/>
    <w:rsid w:val="00E64FD1"/>
    <w:rsid w:val="00E75E11"/>
    <w:rsid w:val="00E76567"/>
    <w:rsid w:val="00E82302"/>
    <w:rsid w:val="00E85014"/>
    <w:rsid w:val="00E85DD6"/>
    <w:rsid w:val="00EA1F32"/>
    <w:rsid w:val="00EA3384"/>
    <w:rsid w:val="00EA4FA6"/>
    <w:rsid w:val="00EB2DCA"/>
    <w:rsid w:val="00EB5459"/>
    <w:rsid w:val="00EC152E"/>
    <w:rsid w:val="00EC4155"/>
    <w:rsid w:val="00EC4613"/>
    <w:rsid w:val="00EC4AD2"/>
    <w:rsid w:val="00ED4F7E"/>
    <w:rsid w:val="00EE07B0"/>
    <w:rsid w:val="00EE4009"/>
    <w:rsid w:val="00EF6383"/>
    <w:rsid w:val="00F075C6"/>
    <w:rsid w:val="00F13D6E"/>
    <w:rsid w:val="00F14CB9"/>
    <w:rsid w:val="00F22B23"/>
    <w:rsid w:val="00F24588"/>
    <w:rsid w:val="00F30FC3"/>
    <w:rsid w:val="00F33203"/>
    <w:rsid w:val="00F351DF"/>
    <w:rsid w:val="00F401AD"/>
    <w:rsid w:val="00F401CC"/>
    <w:rsid w:val="00F40C96"/>
    <w:rsid w:val="00F50393"/>
    <w:rsid w:val="00F61CED"/>
    <w:rsid w:val="00F7259D"/>
    <w:rsid w:val="00F74A44"/>
    <w:rsid w:val="00F75A3F"/>
    <w:rsid w:val="00F771BC"/>
    <w:rsid w:val="00FA41E3"/>
    <w:rsid w:val="00FA4347"/>
    <w:rsid w:val="00FA5E3E"/>
    <w:rsid w:val="00FC073B"/>
    <w:rsid w:val="00FC6903"/>
    <w:rsid w:val="00FD2FB5"/>
    <w:rsid w:val="00FE1458"/>
    <w:rsid w:val="00FE6C7F"/>
    <w:rsid w:val="00FF1A5C"/>
    <w:rsid w:val="00FF21E7"/>
    <w:rsid w:val="00FF6DA0"/>
    <w:rsid w:val="66D76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6FBDF0"/>
  <w15:docId w15:val="{E1797AE6-1504-4826-BAFD-C042AF19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after="120"/>
    </w:pPr>
  </w:style>
  <w:style w:type="paragraph" w:styleId="a5">
    <w:name w:val="Plain Text"/>
    <w:basedOn w:val="a"/>
    <w:link w:val="a6"/>
    <w:uiPriority w:val="99"/>
    <w:pPr>
      <w:widowControl/>
      <w:jc w:val="left"/>
    </w:pPr>
    <w:rPr>
      <w:rFonts w:ascii="Courier New" w:eastAsia="MS Mincho" w:hAnsi="Courier New"/>
      <w:kern w:val="0"/>
      <w:sz w:val="20"/>
      <w:szCs w:val="20"/>
      <w:lang w:val="en-AU" w:eastAsia="ja-JP"/>
    </w:rPr>
  </w:style>
  <w:style w:type="paragraph" w:styleId="a7">
    <w:name w:val="Balloon Text"/>
    <w:basedOn w:val="a"/>
    <w:link w:val="a8"/>
    <w:uiPriority w:val="99"/>
    <w:unhideWhenUsed/>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List"/>
    <w:basedOn w:val="a"/>
    <w:uiPriority w:val="99"/>
    <w:qFormat/>
    <w:pPr>
      <w:ind w:left="200" w:hangingChars="200" w:hanging="200"/>
    </w:pPr>
  </w:style>
  <w:style w:type="character" w:styleId="ae">
    <w:name w:val="Hyperlink"/>
    <w:uiPriority w:val="99"/>
    <w:unhideWhenUsed/>
    <w:rPr>
      <w:color w:val="0000FF"/>
      <w:u w:val="single"/>
    </w:rPr>
  </w:style>
  <w:style w:type="character" w:customStyle="1" w:styleId="keyword">
    <w:name w:val="keyword"/>
    <w:uiPriority w:val="99"/>
    <w:qFormat/>
    <w:rPr>
      <w:rFonts w:cs="Times New Roman"/>
    </w:rPr>
  </w:style>
  <w:style w:type="character" w:customStyle="1" w:styleId="ti2">
    <w:name w:val="ti2"/>
    <w:uiPriority w:val="99"/>
    <w:qFormat/>
    <w:rPr>
      <w:sz w:val="22"/>
    </w:rPr>
  </w:style>
  <w:style w:type="paragraph" w:customStyle="1" w:styleId="1">
    <w:name w:val="列出段落1"/>
    <w:basedOn w:val="a"/>
    <w:uiPriority w:val="99"/>
    <w:qFormat/>
    <w:pPr>
      <w:ind w:firstLineChars="200" w:firstLine="420"/>
    </w:pPr>
  </w:style>
  <w:style w:type="character" w:customStyle="1" w:styleId="PlainTextChar">
    <w:name w:val="Plain Text Char"/>
    <w:uiPriority w:val="99"/>
    <w:semiHidden/>
    <w:qFormat/>
    <w:locked/>
    <w:rPr>
      <w:rFonts w:ascii="宋体" w:hAnsi="Courier New" w:cs="Courier New"/>
      <w:sz w:val="21"/>
      <w:szCs w:val="21"/>
    </w:rPr>
  </w:style>
  <w:style w:type="character" w:customStyle="1" w:styleId="a6">
    <w:name w:val="纯文本 字符"/>
    <w:link w:val="a5"/>
    <w:uiPriority w:val="99"/>
    <w:qFormat/>
    <w:locked/>
    <w:rPr>
      <w:rFonts w:ascii="Courier New" w:eastAsia="MS Mincho" w:hAnsi="Courier New"/>
      <w:lang w:val="en-AU" w:eastAsia="ja-JP"/>
    </w:rPr>
  </w:style>
  <w:style w:type="character" w:customStyle="1" w:styleId="term">
    <w:name w:val="term"/>
    <w:uiPriority w:val="99"/>
    <w:qFormat/>
    <w:rPr>
      <w:rFonts w:cs="Times New Roman"/>
    </w:rPr>
  </w:style>
  <w:style w:type="character" w:customStyle="1" w:styleId="CharChar">
    <w:name w:val="Char Char"/>
    <w:uiPriority w:val="99"/>
    <w:qFormat/>
    <w:rPr>
      <w:rFonts w:ascii="Courier New" w:eastAsia="MS Mincho" w:hAnsi="Courier New"/>
      <w:lang w:val="en-AU" w:eastAsia="ja-JP"/>
    </w:rPr>
  </w:style>
  <w:style w:type="character" w:customStyle="1" w:styleId="def">
    <w:name w:val="def"/>
    <w:uiPriority w:val="99"/>
    <w:qFormat/>
    <w:rPr>
      <w:rFonts w:cs="Times New Roman"/>
    </w:rPr>
  </w:style>
  <w:style w:type="character" w:customStyle="1" w:styleId="a4">
    <w:name w:val="正文文本 字符"/>
    <w:link w:val="a3"/>
    <w:uiPriority w:val="99"/>
    <w:semiHidden/>
    <w:locked/>
    <w:rPr>
      <w:rFonts w:cs="Times New Roman"/>
    </w:rPr>
  </w:style>
  <w:style w:type="character" w:customStyle="1" w:styleId="ac">
    <w:name w:val="页眉 字符"/>
    <w:link w:val="ab"/>
    <w:uiPriority w:val="99"/>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semiHidden/>
    <w:qFormat/>
    <w:rPr>
      <w:kern w:val="2"/>
      <w:sz w:val="18"/>
      <w:szCs w:val="18"/>
    </w:rPr>
  </w:style>
  <w:style w:type="character" w:customStyle="1" w:styleId="fontstyle01">
    <w:name w:val="fontstyle01"/>
    <w:rsid w:val="00D1795D"/>
    <w:rPr>
      <w:rFonts w:ascii="ScalaLancetPro" w:hAnsi="ScalaLancetPro" w:hint="default"/>
      <w:b w:val="0"/>
      <w:bCs w:val="0"/>
      <w:i w:val="0"/>
      <w:iCs w:val="0"/>
      <w:color w:val="000000"/>
      <w:sz w:val="18"/>
      <w:szCs w:val="18"/>
    </w:rPr>
  </w:style>
  <w:style w:type="character" w:customStyle="1" w:styleId="apple-converted-space">
    <w:name w:val="apple-converted-space"/>
    <w:rsid w:val="00DE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513958">
      <w:bodyDiv w:val="1"/>
      <w:marLeft w:val="0"/>
      <w:marRight w:val="0"/>
      <w:marTop w:val="0"/>
      <w:marBottom w:val="0"/>
      <w:divBdr>
        <w:top w:val="none" w:sz="0" w:space="0" w:color="auto"/>
        <w:left w:val="none" w:sz="0" w:space="0" w:color="auto"/>
        <w:bottom w:val="none" w:sz="0" w:space="0" w:color="auto"/>
        <w:right w:val="none" w:sz="0" w:space="0" w:color="auto"/>
      </w:divBdr>
      <w:divsChild>
        <w:div w:id="927927036">
          <w:marLeft w:val="0"/>
          <w:marRight w:val="0"/>
          <w:marTop w:val="0"/>
          <w:marBottom w:val="0"/>
          <w:divBdr>
            <w:top w:val="none" w:sz="0" w:space="0" w:color="auto"/>
            <w:left w:val="none" w:sz="0" w:space="0" w:color="auto"/>
            <w:bottom w:val="none" w:sz="0" w:space="0" w:color="auto"/>
            <w:right w:val="none" w:sz="0" w:space="0" w:color="auto"/>
          </w:divBdr>
          <w:divsChild>
            <w:div w:id="998926905">
              <w:marLeft w:val="0"/>
              <w:marRight w:val="0"/>
              <w:marTop w:val="0"/>
              <w:marBottom w:val="0"/>
              <w:divBdr>
                <w:top w:val="none" w:sz="0" w:space="0" w:color="auto"/>
                <w:left w:val="none" w:sz="0" w:space="0" w:color="auto"/>
                <w:bottom w:val="none" w:sz="0" w:space="0" w:color="auto"/>
                <w:right w:val="none" w:sz="0" w:space="0" w:color="auto"/>
              </w:divBdr>
              <w:divsChild>
                <w:div w:id="2003848522">
                  <w:marLeft w:val="0"/>
                  <w:marRight w:val="0"/>
                  <w:marTop w:val="0"/>
                  <w:marBottom w:val="0"/>
                  <w:divBdr>
                    <w:top w:val="none" w:sz="0" w:space="0" w:color="auto"/>
                    <w:left w:val="none" w:sz="0" w:space="0" w:color="auto"/>
                    <w:bottom w:val="none" w:sz="0" w:space="0" w:color="auto"/>
                    <w:right w:val="none" w:sz="0" w:space="0" w:color="auto"/>
                  </w:divBdr>
                  <w:divsChild>
                    <w:div w:id="1989826202">
                      <w:marLeft w:val="0"/>
                      <w:marRight w:val="0"/>
                      <w:marTop w:val="0"/>
                      <w:marBottom w:val="0"/>
                      <w:divBdr>
                        <w:top w:val="none" w:sz="0" w:space="0" w:color="auto"/>
                        <w:left w:val="none" w:sz="0" w:space="0" w:color="auto"/>
                        <w:bottom w:val="none" w:sz="0" w:space="0" w:color="auto"/>
                        <w:right w:val="none" w:sz="0" w:space="0" w:color="auto"/>
                      </w:divBdr>
                      <w:divsChild>
                        <w:div w:id="365063140">
                          <w:marLeft w:val="0"/>
                          <w:marRight w:val="0"/>
                          <w:marTop w:val="0"/>
                          <w:marBottom w:val="0"/>
                          <w:divBdr>
                            <w:top w:val="none" w:sz="0" w:space="0" w:color="auto"/>
                            <w:left w:val="none" w:sz="0" w:space="0" w:color="auto"/>
                            <w:bottom w:val="none" w:sz="0" w:space="0" w:color="auto"/>
                            <w:right w:val="none" w:sz="0" w:space="0" w:color="auto"/>
                          </w:divBdr>
                          <w:divsChild>
                            <w:div w:id="433475767">
                              <w:marLeft w:val="0"/>
                              <w:marRight w:val="0"/>
                              <w:marTop w:val="0"/>
                              <w:marBottom w:val="0"/>
                              <w:divBdr>
                                <w:top w:val="none" w:sz="0" w:space="0" w:color="auto"/>
                                <w:left w:val="none" w:sz="0" w:space="0" w:color="auto"/>
                                <w:bottom w:val="none" w:sz="0" w:space="0" w:color="auto"/>
                                <w:right w:val="none" w:sz="0" w:space="0" w:color="auto"/>
                              </w:divBdr>
                            </w:div>
                          </w:divsChild>
                        </w:div>
                        <w:div w:id="1405955335">
                          <w:marLeft w:val="0"/>
                          <w:marRight w:val="0"/>
                          <w:marTop w:val="0"/>
                          <w:marBottom w:val="0"/>
                          <w:divBdr>
                            <w:top w:val="none" w:sz="0" w:space="0" w:color="auto"/>
                            <w:left w:val="none" w:sz="0" w:space="0" w:color="auto"/>
                            <w:bottom w:val="none" w:sz="0" w:space="0" w:color="auto"/>
                            <w:right w:val="none" w:sz="0" w:space="0" w:color="auto"/>
                          </w:divBdr>
                          <w:divsChild>
                            <w:div w:id="311763225">
                              <w:marLeft w:val="0"/>
                              <w:marRight w:val="300"/>
                              <w:marTop w:val="180"/>
                              <w:marBottom w:val="0"/>
                              <w:divBdr>
                                <w:top w:val="none" w:sz="0" w:space="0" w:color="auto"/>
                                <w:left w:val="none" w:sz="0" w:space="0" w:color="auto"/>
                                <w:bottom w:val="none" w:sz="0" w:space="0" w:color="auto"/>
                                <w:right w:val="none" w:sz="0" w:space="0" w:color="auto"/>
                              </w:divBdr>
                              <w:divsChild>
                                <w:div w:id="8720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461493">
          <w:marLeft w:val="0"/>
          <w:marRight w:val="0"/>
          <w:marTop w:val="0"/>
          <w:marBottom w:val="0"/>
          <w:divBdr>
            <w:top w:val="none" w:sz="0" w:space="0" w:color="auto"/>
            <w:left w:val="none" w:sz="0" w:space="0" w:color="auto"/>
            <w:bottom w:val="none" w:sz="0" w:space="0" w:color="auto"/>
            <w:right w:val="none" w:sz="0" w:space="0" w:color="auto"/>
          </w:divBdr>
          <w:divsChild>
            <w:div w:id="1594127485">
              <w:marLeft w:val="0"/>
              <w:marRight w:val="0"/>
              <w:marTop w:val="0"/>
              <w:marBottom w:val="0"/>
              <w:divBdr>
                <w:top w:val="none" w:sz="0" w:space="0" w:color="auto"/>
                <w:left w:val="none" w:sz="0" w:space="0" w:color="auto"/>
                <w:bottom w:val="none" w:sz="0" w:space="0" w:color="auto"/>
                <w:right w:val="none" w:sz="0" w:space="0" w:color="auto"/>
              </w:divBdr>
              <w:divsChild>
                <w:div w:id="649137919">
                  <w:marLeft w:val="0"/>
                  <w:marRight w:val="0"/>
                  <w:marTop w:val="0"/>
                  <w:marBottom w:val="0"/>
                  <w:divBdr>
                    <w:top w:val="none" w:sz="0" w:space="0" w:color="auto"/>
                    <w:left w:val="none" w:sz="0" w:space="0" w:color="auto"/>
                    <w:bottom w:val="none" w:sz="0" w:space="0" w:color="auto"/>
                    <w:right w:val="none" w:sz="0" w:space="0" w:color="auto"/>
                  </w:divBdr>
                  <w:divsChild>
                    <w:div w:id="2034842109">
                      <w:marLeft w:val="0"/>
                      <w:marRight w:val="0"/>
                      <w:marTop w:val="0"/>
                      <w:marBottom w:val="0"/>
                      <w:divBdr>
                        <w:top w:val="none" w:sz="0" w:space="0" w:color="auto"/>
                        <w:left w:val="none" w:sz="0" w:space="0" w:color="auto"/>
                        <w:bottom w:val="none" w:sz="0" w:space="0" w:color="auto"/>
                        <w:right w:val="none" w:sz="0" w:space="0" w:color="auto"/>
                      </w:divBdr>
                      <w:divsChild>
                        <w:div w:id="519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1263</Words>
  <Characters>7200</Characters>
  <Application>Microsoft Office Word</Application>
  <DocSecurity>0</DocSecurity>
  <Lines>60</Lines>
  <Paragraphs>16</Paragraphs>
  <ScaleCrop>false</ScaleCrop>
  <Company>微软中国</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liu youxia</cp:lastModifiedBy>
  <cp:revision>40</cp:revision>
  <dcterms:created xsi:type="dcterms:W3CDTF">2012-12-06T12:57:00Z</dcterms:created>
  <dcterms:modified xsi:type="dcterms:W3CDTF">2020-10-19T15:31:00Z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