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03DF" w14:textId="01E9BDA5" w:rsidR="00892BE4" w:rsidRPr="00892BE4" w:rsidRDefault="00892BE4" w:rsidP="00710F3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D548F">
        <w:rPr>
          <w:rFonts w:ascii="Times New Roman" w:hAnsi="Times New Roman" w:cs="Times New Roman"/>
          <w:b/>
          <w:sz w:val="28"/>
          <w:szCs w:val="28"/>
        </w:rPr>
        <w:t>S</w:t>
      </w:r>
      <w:r w:rsidRPr="008D548F">
        <w:rPr>
          <w:rFonts w:ascii="Times New Roman" w:hAnsi="Times New Roman" w:cs="Times New Roman" w:hint="eastAsia"/>
          <w:b/>
          <w:sz w:val="28"/>
          <w:szCs w:val="28"/>
        </w:rPr>
        <w:t>upplement</w:t>
      </w:r>
      <w:r w:rsidRPr="008D5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548F">
        <w:rPr>
          <w:rFonts w:ascii="Times New Roman" w:hAnsi="Times New Roman" w:cs="Times New Roman" w:hint="eastAsia"/>
          <w:b/>
          <w:sz w:val="28"/>
          <w:szCs w:val="28"/>
        </w:rPr>
        <w:t>data</w:t>
      </w:r>
    </w:p>
    <w:p w14:paraId="3C6E294D" w14:textId="05048000" w:rsidR="00575B23" w:rsidRDefault="00D0345A" w:rsidP="00710F3B">
      <w:pPr>
        <w:contextualSpacing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D56665A" wp14:editId="1996B4BE">
            <wp:extent cx="5274310" cy="44710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1CB9" w14:textId="134CBDA9" w:rsidR="00614961" w:rsidRDefault="00DF7351" w:rsidP="00B9146E">
      <w:pPr>
        <w:contextualSpacing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02F23">
        <w:rPr>
          <w:rFonts w:ascii="Times New Roman" w:eastAsia="宋体" w:hAnsi="Times New Roman" w:cs="Times New Roman"/>
          <w:b/>
          <w:sz w:val="24"/>
          <w:szCs w:val="24"/>
        </w:rPr>
        <w:t>Figure S1</w:t>
      </w:r>
      <w:r w:rsidRPr="00710F3B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614961" w:rsidRPr="006149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CTSLP8 </w:t>
      </w:r>
      <w:r w:rsidR="00572D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was </w:t>
      </w:r>
      <w:r w:rsidR="00572D11" w:rsidRPr="00572D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specifically </w:t>
      </w:r>
      <w:r w:rsidR="00572D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high </w:t>
      </w:r>
      <w:r w:rsidR="00572D11" w:rsidRPr="00572D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expressed </w:t>
      </w:r>
      <w:r w:rsidR="00614961" w:rsidRPr="006149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 </w:t>
      </w:r>
      <w:r w:rsidR="006149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OC </w:t>
      </w:r>
      <w:r w:rsidR="00614961" w:rsidRPr="00614961">
        <w:rPr>
          <w:rFonts w:ascii="Times New Roman" w:eastAsia="宋体" w:hAnsi="Times New Roman" w:cs="Times New Roman"/>
          <w:b/>
          <w:bCs/>
          <w:sz w:val="24"/>
          <w:szCs w:val="24"/>
        </w:rPr>
        <w:t>patient</w:t>
      </w:r>
      <w:r w:rsidR="00614961">
        <w:rPr>
          <w:rFonts w:ascii="Times New Roman" w:eastAsia="宋体" w:hAnsi="Times New Roman" w:cs="Times New Roman"/>
          <w:b/>
          <w:bCs/>
          <w:sz w:val="24"/>
          <w:szCs w:val="24"/>
        </w:rPr>
        <w:t>s.</w:t>
      </w:r>
    </w:p>
    <w:p w14:paraId="0757B050" w14:textId="7B2D0D24" w:rsidR="001C37EB" w:rsidRPr="001C37EB" w:rsidRDefault="000A3001" w:rsidP="00B9146E">
      <w:pPr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710F3B">
        <w:rPr>
          <w:rFonts w:ascii="Times New Roman" w:eastAsia="宋体" w:hAnsi="Times New Roman" w:cs="Times New Roman"/>
          <w:sz w:val="24"/>
          <w:szCs w:val="24"/>
        </w:rPr>
        <w:t>(</w:t>
      </w:r>
      <w:r w:rsidRPr="00710F3B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710F3B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Pr="00F40A90">
        <w:rPr>
          <w:rFonts w:ascii="Times New Roman" w:eastAsia="宋体" w:hAnsi="Times New Roman" w:cs="Times New Roman"/>
          <w:sz w:val="24"/>
          <w:szCs w:val="24"/>
        </w:rPr>
        <w:t xml:space="preserve">H-score of the key glycolytic enzymes in the chemo-resistant group </w:t>
      </w:r>
      <w:r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F40A90">
        <w:rPr>
          <w:rFonts w:ascii="Times New Roman" w:eastAsia="宋体" w:hAnsi="Times New Roman" w:cs="Times New Roman"/>
          <w:sz w:val="24"/>
          <w:szCs w:val="24"/>
        </w:rPr>
        <w:t>chemo-sensitive group</w:t>
      </w:r>
      <w:r w:rsidRPr="00710F3B">
        <w:rPr>
          <w:rFonts w:ascii="Times New Roman" w:eastAsia="宋体" w:hAnsi="Times New Roman" w:cs="Times New Roman"/>
          <w:sz w:val="24"/>
          <w:szCs w:val="24"/>
        </w:rPr>
        <w:t>.</w:t>
      </w:r>
      <w:r w:rsidR="00402638" w:rsidRPr="00336828">
        <w:t xml:space="preserve"> </w:t>
      </w:r>
      <w:r w:rsidR="00402638" w:rsidRPr="00336828">
        <w:rPr>
          <w:rFonts w:ascii="Times New Roman" w:eastAsia="宋体" w:hAnsi="Times New Roman" w:cs="Times New Roman"/>
          <w:b/>
          <w:bCs/>
          <w:sz w:val="24"/>
          <w:szCs w:val="24"/>
        </w:rPr>
        <w:t>(</w:t>
      </w:r>
      <w:r w:rsidR="00336828" w:rsidRPr="00336828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="00402638" w:rsidRPr="00336828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="00402638" w:rsidRPr="00336828">
        <w:rPr>
          <w:rFonts w:ascii="Times New Roman" w:eastAsia="宋体" w:hAnsi="Times New Roman" w:cs="Times New Roman"/>
          <w:sz w:val="24"/>
          <w:szCs w:val="24"/>
        </w:rPr>
        <w:t xml:space="preserve"> The expression of CTSLP8 in</w:t>
      </w:r>
      <w:r w:rsidR="00D434EF" w:rsidRPr="00D434E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434EF">
        <w:rPr>
          <w:rFonts w:ascii="Times New Roman" w:eastAsia="宋体" w:hAnsi="Times New Roman" w:cs="Times New Roman"/>
          <w:sz w:val="24"/>
          <w:szCs w:val="24"/>
        </w:rPr>
        <w:t xml:space="preserve">OC </w:t>
      </w:r>
      <w:r w:rsidR="00D434EF" w:rsidRPr="00336828">
        <w:rPr>
          <w:rFonts w:ascii="Times New Roman" w:eastAsia="宋体" w:hAnsi="Times New Roman" w:cs="Times New Roman"/>
          <w:sz w:val="24"/>
          <w:szCs w:val="24"/>
        </w:rPr>
        <w:t>patients</w:t>
      </w:r>
      <w:r w:rsidR="00402638" w:rsidRPr="003368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434EF">
        <w:rPr>
          <w:rFonts w:ascii="Times New Roman" w:eastAsia="宋体" w:hAnsi="Times New Roman" w:cs="Times New Roman" w:hint="eastAsia"/>
          <w:sz w:val="24"/>
          <w:szCs w:val="24"/>
        </w:rPr>
        <w:t>with</w:t>
      </w:r>
      <w:r w:rsidR="00D434E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02638" w:rsidRPr="00336828">
        <w:rPr>
          <w:rFonts w:ascii="Times New Roman" w:eastAsia="宋体" w:hAnsi="Times New Roman" w:cs="Times New Roman"/>
          <w:sz w:val="24"/>
          <w:szCs w:val="24"/>
        </w:rPr>
        <w:t>FIGO I-II stage</w:t>
      </w:r>
      <w:r w:rsidR="00D434E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02638" w:rsidRPr="00336828">
        <w:rPr>
          <w:rFonts w:ascii="Times New Roman" w:eastAsia="宋体" w:hAnsi="Times New Roman" w:cs="Times New Roman"/>
          <w:sz w:val="24"/>
          <w:szCs w:val="24"/>
        </w:rPr>
        <w:t>and FIGO III-IV stage OC patients from TCGA dataset.</w:t>
      </w:r>
      <w:r w:rsidR="00336828" w:rsidRPr="0033682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DF7351" w:rsidRPr="0033682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 w:rsidR="00DF7351" w:rsidRPr="00336828">
        <w:rPr>
          <w:rFonts w:ascii="Times New Roman" w:eastAsia="宋体" w:hAnsi="Times New Roman" w:cs="Times New Roman"/>
          <w:b/>
          <w:bCs/>
          <w:sz w:val="24"/>
          <w:szCs w:val="24"/>
        </w:rPr>
        <w:t>C)</w:t>
      </w:r>
      <w:r w:rsidR="00DF7351" w:rsidRPr="003368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C37EB" w:rsidRPr="00336828">
        <w:rPr>
          <w:rFonts w:ascii="Times New Roman" w:eastAsia="宋体" w:hAnsi="Times New Roman" w:cs="Times New Roman"/>
          <w:sz w:val="24"/>
          <w:szCs w:val="24"/>
        </w:rPr>
        <w:t>The expressions of CTSLP8 among some tumors.</w:t>
      </w:r>
      <w:r w:rsidR="001C37EB" w:rsidRPr="0033682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DF7351" w:rsidRPr="00336828">
        <w:rPr>
          <w:rFonts w:ascii="Times New Roman" w:eastAsia="宋体" w:hAnsi="Times New Roman" w:cs="Times New Roman"/>
          <w:sz w:val="24"/>
          <w:szCs w:val="24"/>
        </w:rPr>
        <w:t>(</w:t>
      </w:r>
      <w:r w:rsidR="00DF7351" w:rsidRPr="00336828">
        <w:rPr>
          <w:rFonts w:ascii="Times New Roman" w:eastAsia="宋体" w:hAnsi="Times New Roman" w:cs="Times New Roman"/>
          <w:b/>
          <w:bCs/>
          <w:sz w:val="24"/>
          <w:szCs w:val="24"/>
        </w:rPr>
        <w:t>D</w:t>
      </w:r>
      <w:r w:rsidR="001C37EB" w:rsidRPr="00336828">
        <w:rPr>
          <w:rFonts w:ascii="Times New Roman" w:eastAsia="宋体" w:hAnsi="Times New Roman" w:cs="Times New Roman"/>
          <w:b/>
          <w:bCs/>
          <w:sz w:val="24"/>
          <w:szCs w:val="24"/>
        </w:rPr>
        <w:t>-F</w:t>
      </w:r>
      <w:r w:rsidR="00DF7351" w:rsidRPr="00336828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1C37EB" w:rsidRPr="00336828">
        <w:rPr>
          <w:rFonts w:ascii="Times New Roman" w:eastAsia="宋体" w:hAnsi="Times New Roman" w:cs="Times New Roman"/>
          <w:sz w:val="24"/>
          <w:szCs w:val="24"/>
        </w:rPr>
        <w:t>The OS of tumor patients in different CTSLP8 expression groups from dataset.</w:t>
      </w:r>
      <w:r w:rsidR="00B9146E" w:rsidRPr="00336828">
        <w:t xml:space="preserve"> </w:t>
      </w:r>
      <w:r w:rsidR="00B9146E" w:rsidRPr="00336828">
        <w:rPr>
          <w:rFonts w:ascii="Times New Roman" w:eastAsia="宋体" w:hAnsi="Times New Roman" w:cs="Times New Roman"/>
          <w:sz w:val="24"/>
          <w:szCs w:val="24"/>
        </w:rPr>
        <w:t xml:space="preserve">CESC, Cervical squamous cell carcinoma and endocervical adenocarcinoma. CHOL,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Cholangiocarcinoma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COAD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Colon adenocarcinoma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DLBC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Lymphoid Neoplasm Diffuse Large B-cell Lymphoma</w:t>
      </w:r>
      <w:r w:rsidR="00B9146E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GBM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Glioblastoma multiforme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KICH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Kidney Chromophobe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LGG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Brain Lower Grade Glioma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MESO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Mesothelioma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OV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Ovarian serous cystadenocarcinoma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PAAD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Pancreatic adenocarcinoma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PRAD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Prostate adenocarcinoma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READ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Rectum adenocarcinoma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THCA</w:t>
      </w:r>
      <w:r w:rsidR="00B9146E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B9146E" w:rsidRPr="00B9146E">
        <w:rPr>
          <w:rFonts w:ascii="Times New Roman" w:eastAsia="宋体" w:hAnsi="Times New Roman" w:cs="Times New Roman"/>
          <w:sz w:val="24"/>
          <w:szCs w:val="24"/>
        </w:rPr>
        <w:t>Thyroid carcinoma </w:t>
      </w:r>
    </w:p>
    <w:p w14:paraId="159985FA" w14:textId="669F152D" w:rsidR="008736EA" w:rsidRDefault="007869AC" w:rsidP="00710F3B">
      <w:pPr>
        <w:contextualSpacing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6FF667" wp14:editId="551DFFD0">
            <wp:extent cx="5274310" cy="32378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79C2E" w14:textId="31EC01D3" w:rsidR="00E5640C" w:rsidRPr="00710F3B" w:rsidRDefault="00E5640C" w:rsidP="00E5640C">
      <w:pPr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402F23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5C79CA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710F3B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5C79CA">
        <w:rPr>
          <w:rFonts w:ascii="Times New Roman" w:eastAsia="宋体" w:hAnsi="Times New Roman" w:cs="Times New Roman"/>
          <w:b/>
          <w:sz w:val="24"/>
          <w:szCs w:val="24"/>
        </w:rPr>
        <w:t xml:space="preserve">The expression of </w:t>
      </w:r>
      <w:r w:rsidRPr="003D69CE">
        <w:rPr>
          <w:rFonts w:ascii="Times New Roman" w:eastAsia="宋体" w:hAnsi="Times New Roman" w:cs="Times New Roman"/>
          <w:b/>
          <w:sz w:val="24"/>
          <w:szCs w:val="24"/>
        </w:rPr>
        <w:t xml:space="preserve">CTSLP8 </w:t>
      </w:r>
      <w:r w:rsidR="005C79CA">
        <w:rPr>
          <w:rFonts w:ascii="Times New Roman" w:eastAsia="宋体" w:hAnsi="Times New Roman" w:cs="Times New Roman"/>
          <w:b/>
          <w:sz w:val="24"/>
          <w:szCs w:val="24"/>
        </w:rPr>
        <w:t>and PKM2 were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6758F6">
        <w:rPr>
          <w:rFonts w:ascii="Times New Roman" w:eastAsia="宋体" w:hAnsi="Times New Roman" w:cs="Times New Roman"/>
          <w:b/>
          <w:sz w:val="24"/>
          <w:szCs w:val="24"/>
        </w:rPr>
        <w:t xml:space="preserve">positively correlated with </w:t>
      </w:r>
      <w:r w:rsidR="005C79CA">
        <w:rPr>
          <w:rFonts w:ascii="Times New Roman" w:eastAsia="宋体" w:hAnsi="Times New Roman" w:cs="Times New Roman"/>
          <w:b/>
          <w:sz w:val="24"/>
          <w:szCs w:val="24"/>
        </w:rPr>
        <w:t xml:space="preserve">the expression of </w:t>
      </w:r>
      <w:r w:rsidRPr="006758F6">
        <w:rPr>
          <w:rFonts w:ascii="Times New Roman" w:eastAsia="宋体" w:hAnsi="Times New Roman" w:cs="Times New Roman"/>
          <w:b/>
          <w:sz w:val="24"/>
          <w:szCs w:val="24"/>
        </w:rPr>
        <w:t>c-Myc.</w:t>
      </w:r>
      <w:r w:rsidRPr="00710F3B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0DC14514" w14:textId="004FB9BD" w:rsidR="00E5640C" w:rsidRPr="00BC625E" w:rsidRDefault="00E5640C" w:rsidP="00E5640C">
      <w:pPr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8E22E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 w:rsidR="00AB3F94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8E22E9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Pr="008E22E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E22E9">
        <w:rPr>
          <w:rFonts w:ascii="Times New Roman" w:eastAsia="宋体" w:hAnsi="Times New Roman" w:cs="Times New Roman"/>
          <w:bCs/>
          <w:sz w:val="24"/>
          <w:szCs w:val="24"/>
        </w:rPr>
        <w:t>Enriched KEGG Pathway in metabolomics showed that the central carbon metabolism was most affected after CTSLP8 over-expression.</w:t>
      </w:r>
      <w:r w:rsidR="003A4F92">
        <w:rPr>
          <w:rFonts w:ascii="Times New Roman" w:eastAsia="Times New Roman" w:hAnsi="Times New Roman" w:cs="Times New Roman"/>
          <w:color w:val="C00000"/>
        </w:rPr>
        <w:t xml:space="preserve"> </w:t>
      </w:r>
      <w:r w:rsidRPr="00710F3B">
        <w:rPr>
          <w:rFonts w:ascii="Times New Roman" w:eastAsia="宋体" w:hAnsi="Times New Roman" w:cs="Times New Roman"/>
          <w:sz w:val="24"/>
          <w:szCs w:val="24"/>
        </w:rPr>
        <w:t>(</w:t>
      </w:r>
      <w:r w:rsidR="003A4F92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710F3B">
        <w:rPr>
          <w:rFonts w:ascii="Times New Roman" w:eastAsia="宋体" w:hAnsi="Times New Roman" w:cs="Times New Roman"/>
          <w:sz w:val="24"/>
          <w:szCs w:val="24"/>
        </w:rPr>
        <w:t>)</w:t>
      </w:r>
      <w:r w:rsidRPr="00476945">
        <w:rPr>
          <w:rFonts w:ascii="Times New Roman" w:eastAsia="宋体" w:hAnsi="Times New Roman" w:cs="Times New Roman"/>
          <w:sz w:val="24"/>
          <w:szCs w:val="24"/>
        </w:rPr>
        <w:t xml:space="preserve"> SKOV</w:t>
      </w:r>
      <w:r w:rsidRPr="00CF7487">
        <w:rPr>
          <w:rFonts w:ascii="Times New Roman" w:eastAsia="宋体" w:hAnsi="Times New Roman" w:cs="Times New Roman"/>
          <w:bCs/>
          <w:sz w:val="24"/>
          <w:szCs w:val="24"/>
        </w:rPr>
        <w:t>3 cells was co-transfected with PKM2-GFP plasmid and CTSLP8-RFP plasmid after 36h. Scale bar, 200 µm.</w:t>
      </w:r>
      <w:r w:rsidRPr="00CF7487">
        <w:rPr>
          <w:rFonts w:ascii="Times New Roman" w:eastAsia="宋体" w:hAnsi="Times New Roman" w:cs="Times New Roman"/>
          <w:b/>
          <w:sz w:val="24"/>
          <w:szCs w:val="24"/>
        </w:rPr>
        <w:t xml:space="preserve"> (</w:t>
      </w:r>
      <w:r w:rsidR="00AB3F94" w:rsidRPr="00CF7487">
        <w:rPr>
          <w:rFonts w:ascii="Times New Roman" w:eastAsia="宋体" w:hAnsi="Times New Roman" w:cs="Times New Roman"/>
          <w:b/>
          <w:sz w:val="24"/>
          <w:szCs w:val="24"/>
        </w:rPr>
        <w:t>C</w:t>
      </w:r>
      <w:r w:rsidRPr="00CF7487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="00AB3F94" w:rsidRPr="00CF7487">
        <w:rPr>
          <w:rFonts w:ascii="Times New Roman" w:eastAsia="宋体" w:hAnsi="Times New Roman" w:cs="Times New Roman"/>
          <w:b/>
          <w:sz w:val="24"/>
          <w:szCs w:val="24"/>
        </w:rPr>
        <w:t>D</w:t>
      </w:r>
      <w:r w:rsidRPr="00CF7487">
        <w:rPr>
          <w:rFonts w:ascii="Times New Roman" w:eastAsia="宋体" w:hAnsi="Times New Roman" w:cs="Times New Roman"/>
          <w:b/>
          <w:sz w:val="24"/>
          <w:szCs w:val="24"/>
        </w:rPr>
        <w:t>)</w:t>
      </w:r>
      <w:r w:rsidRPr="00461B5B">
        <w:rPr>
          <w:rFonts w:ascii="Times New Roman" w:eastAsia="宋体" w:hAnsi="Times New Roman" w:cs="Times New Roman"/>
          <w:bCs/>
          <w:sz w:val="24"/>
          <w:szCs w:val="24"/>
        </w:rPr>
        <w:t xml:space="preserve"> The overexpression efficiency of PKM2 plasmid was demonstrated at both protein and RNA levels.</w:t>
      </w:r>
      <w:r w:rsidR="003A4F92" w:rsidRPr="00CF7487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3A4F92" w:rsidRPr="00CF7487">
        <w:rPr>
          <w:rFonts w:ascii="Times New Roman" w:eastAsia="宋体" w:hAnsi="Times New Roman" w:cs="Times New Roman"/>
          <w:b/>
          <w:sz w:val="24"/>
          <w:szCs w:val="24"/>
        </w:rPr>
        <w:t>(E)</w:t>
      </w:r>
      <w:r w:rsidR="003A4F92" w:rsidRPr="00CF7487">
        <w:rPr>
          <w:rFonts w:ascii="Times New Roman" w:eastAsia="宋体" w:hAnsi="Times New Roman" w:cs="Times New Roman"/>
          <w:bCs/>
          <w:sz w:val="24"/>
          <w:szCs w:val="24"/>
        </w:rPr>
        <w:t xml:space="preserve"> The gray values </w:t>
      </w:r>
      <w:r w:rsidR="000410C6" w:rsidRPr="000C2A48">
        <w:rPr>
          <w:rFonts w:ascii="Times New Roman" w:eastAsia="宋体" w:hAnsi="Times New Roman" w:cs="Times New Roman"/>
          <w:sz w:val="24"/>
          <w:szCs w:val="24"/>
        </w:rPr>
        <w:t>showed the expression of</w:t>
      </w:r>
      <w:r w:rsidR="003A4F92" w:rsidRPr="00CF7487">
        <w:rPr>
          <w:rFonts w:ascii="Times New Roman" w:eastAsia="宋体" w:hAnsi="Times New Roman" w:cs="Times New Roman"/>
          <w:bCs/>
          <w:sz w:val="24"/>
          <w:szCs w:val="24"/>
        </w:rPr>
        <w:t xml:space="preserve"> c-Myc after PKM2 </w:t>
      </w:r>
      <w:r w:rsidR="003A4F92" w:rsidRPr="008813AB">
        <w:rPr>
          <w:rFonts w:ascii="Times New Roman" w:eastAsia="宋体" w:hAnsi="Times New Roman" w:cs="Times New Roman"/>
          <w:bCs/>
          <w:sz w:val="24"/>
          <w:szCs w:val="24"/>
        </w:rPr>
        <w:t>overexpression</w:t>
      </w:r>
      <w:r w:rsidR="003A4F92" w:rsidRPr="008813AB">
        <w:rPr>
          <w:rFonts w:ascii="Times New Roman" w:eastAsia="宋体" w:hAnsi="Times New Roman" w:cs="Times New Roman"/>
          <w:sz w:val="24"/>
          <w:szCs w:val="24"/>
        </w:rPr>
        <w:t xml:space="preserve"> in different </w:t>
      </w:r>
      <w:r w:rsidR="000410C6">
        <w:rPr>
          <w:rFonts w:ascii="Times New Roman" w:eastAsia="宋体" w:hAnsi="Times New Roman" w:cs="Times New Roman"/>
          <w:sz w:val="24"/>
          <w:szCs w:val="24"/>
        </w:rPr>
        <w:t>CTSL</w:t>
      </w:r>
      <w:r w:rsidR="003A4F92" w:rsidRPr="008813AB">
        <w:rPr>
          <w:rFonts w:ascii="Times New Roman" w:eastAsia="宋体" w:hAnsi="Times New Roman" w:cs="Times New Roman"/>
          <w:sz w:val="24"/>
          <w:szCs w:val="24"/>
        </w:rPr>
        <w:t>P8 expression cell lines.</w:t>
      </w:r>
      <w:r w:rsidR="003A4F9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B3F94" w:rsidRPr="008813AB">
        <w:rPr>
          <w:rFonts w:ascii="Times New Roman" w:eastAsia="宋体" w:hAnsi="Times New Roman" w:cs="Times New Roman"/>
          <w:sz w:val="24"/>
          <w:szCs w:val="24"/>
        </w:rPr>
        <w:t>(</w:t>
      </w:r>
      <w:r w:rsidR="00AB3F94"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 w:rsidR="00AB3F94" w:rsidRPr="008813AB"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 w:rsidR="00AB3F94">
        <w:rPr>
          <w:rFonts w:ascii="Times New Roman" w:eastAsia="宋体" w:hAnsi="Times New Roman" w:cs="Times New Roman"/>
          <w:b/>
          <w:bCs/>
          <w:sz w:val="24"/>
          <w:szCs w:val="24"/>
        </w:rPr>
        <w:t>G</w:t>
      </w:r>
      <w:r w:rsidR="00AB3F94" w:rsidRPr="008813AB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AB3F94" w:rsidRPr="008813AB">
        <w:rPr>
          <w:rFonts w:ascii="Times New Roman" w:eastAsia="宋体" w:hAnsi="Times New Roman" w:cs="Times New Roman"/>
          <w:bCs/>
          <w:sz w:val="24"/>
          <w:szCs w:val="24"/>
        </w:rPr>
        <w:t>The knockdown efficiency of PKM2 siRNAs was demonstrated at both protein and RNA levels.</w:t>
      </w:r>
      <w:r w:rsidR="007B78FF" w:rsidRPr="007B78F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B78FF" w:rsidRPr="00710F3B">
        <w:rPr>
          <w:rFonts w:ascii="Times New Roman" w:eastAsia="宋体" w:hAnsi="Times New Roman" w:cs="Times New Roman"/>
          <w:sz w:val="24"/>
          <w:szCs w:val="24"/>
        </w:rPr>
        <w:t>(</w:t>
      </w:r>
      <w:r w:rsidR="007B78FF">
        <w:rPr>
          <w:rFonts w:ascii="Times New Roman" w:eastAsia="宋体" w:hAnsi="Times New Roman" w:cs="Times New Roman"/>
          <w:b/>
          <w:bCs/>
          <w:sz w:val="24"/>
          <w:szCs w:val="24"/>
        </w:rPr>
        <w:t>H</w:t>
      </w:r>
      <w:r w:rsidR="007B78FF" w:rsidRPr="00710F3B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7B78FF" w:rsidRPr="008813AB">
        <w:rPr>
          <w:rFonts w:ascii="Times New Roman" w:eastAsia="宋体" w:hAnsi="Times New Roman" w:cs="Times New Roman"/>
          <w:sz w:val="24"/>
          <w:szCs w:val="24"/>
        </w:rPr>
        <w:t>The gray values</w:t>
      </w:r>
      <w:r w:rsidR="007B78FF" w:rsidRPr="000C2A48">
        <w:rPr>
          <w:rFonts w:ascii="Times New Roman" w:eastAsia="宋体" w:hAnsi="Times New Roman" w:cs="Times New Roman"/>
          <w:sz w:val="24"/>
          <w:szCs w:val="24"/>
        </w:rPr>
        <w:t xml:space="preserve"> showed </w:t>
      </w:r>
      <w:r w:rsidR="000410C6" w:rsidRPr="000C2A48">
        <w:rPr>
          <w:rFonts w:ascii="Times New Roman" w:eastAsia="宋体" w:hAnsi="Times New Roman" w:cs="Times New Roman"/>
          <w:sz w:val="24"/>
          <w:szCs w:val="24"/>
        </w:rPr>
        <w:t>the expression of c-Myc</w:t>
      </w:r>
      <w:r w:rsidR="000410C6" w:rsidRPr="000C2A4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410C6">
        <w:rPr>
          <w:rFonts w:ascii="Times New Roman" w:eastAsia="宋体" w:hAnsi="Times New Roman" w:cs="Times New Roman"/>
          <w:sz w:val="24"/>
          <w:szCs w:val="24"/>
        </w:rPr>
        <w:t>while</w:t>
      </w:r>
      <w:r w:rsidR="007B78FF" w:rsidRPr="000C2A48">
        <w:rPr>
          <w:rFonts w:ascii="Times New Roman" w:eastAsia="宋体" w:hAnsi="Times New Roman" w:cs="Times New Roman"/>
          <w:sz w:val="24"/>
          <w:szCs w:val="24"/>
        </w:rPr>
        <w:t xml:space="preserve"> PKM2 </w:t>
      </w:r>
      <w:r w:rsidR="000410C6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="007B78FF" w:rsidRPr="000C2A48">
        <w:rPr>
          <w:rFonts w:ascii="Times New Roman" w:eastAsia="宋体" w:hAnsi="Times New Roman" w:cs="Times New Roman"/>
          <w:sz w:val="24"/>
          <w:szCs w:val="24"/>
        </w:rPr>
        <w:t>inhibited</w:t>
      </w:r>
      <w:r w:rsidR="000410C6">
        <w:rPr>
          <w:rFonts w:ascii="Times New Roman" w:eastAsia="宋体" w:hAnsi="Times New Roman" w:cs="Times New Roman"/>
          <w:sz w:val="24"/>
          <w:szCs w:val="24"/>
        </w:rPr>
        <w:t xml:space="preserve"> by siRNAs</w:t>
      </w:r>
      <w:r w:rsidR="007B78FF" w:rsidRPr="000C2A48">
        <w:rPr>
          <w:rFonts w:ascii="Times New Roman" w:eastAsia="宋体" w:hAnsi="Times New Roman" w:cs="Times New Roman"/>
          <w:sz w:val="24"/>
          <w:szCs w:val="24"/>
        </w:rPr>
        <w:t>.</w:t>
      </w:r>
      <w:r w:rsidR="00CF748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B3F94" w:rsidRPr="00BC625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(I) </w:t>
      </w:r>
      <w:r w:rsidR="00AB3F94" w:rsidRPr="00BC625E">
        <w:rPr>
          <w:rFonts w:ascii="Times New Roman" w:eastAsia="宋体" w:hAnsi="Times New Roman" w:cs="Times New Roman"/>
          <w:sz w:val="24"/>
          <w:szCs w:val="24"/>
        </w:rPr>
        <w:t xml:space="preserve">Immunofluorescence showed CTSLP8 </w:t>
      </w:r>
      <w:r w:rsidR="00D434EF">
        <w:rPr>
          <w:rFonts w:ascii="Times New Roman" w:eastAsia="宋体" w:hAnsi="Times New Roman" w:cs="Times New Roman"/>
          <w:sz w:val="24"/>
          <w:szCs w:val="24"/>
        </w:rPr>
        <w:t xml:space="preserve">expression </w:t>
      </w:r>
      <w:r w:rsidR="00AB3F94" w:rsidRPr="00BC625E">
        <w:rPr>
          <w:rFonts w:ascii="Times New Roman" w:eastAsia="宋体" w:hAnsi="Times New Roman" w:cs="Times New Roman"/>
          <w:sz w:val="24"/>
          <w:szCs w:val="24"/>
        </w:rPr>
        <w:t>was positively correlated with c-Myc expression. Scale bar, 10 µm.</w:t>
      </w:r>
    </w:p>
    <w:p w14:paraId="4A83DA5F" w14:textId="77777777" w:rsidR="00E5640C" w:rsidRPr="008E22E9" w:rsidRDefault="00E5640C" w:rsidP="00E5640C">
      <w:pPr>
        <w:contextualSpacing/>
        <w:rPr>
          <w:rFonts w:ascii="Times New Roman" w:eastAsia="宋体" w:hAnsi="Times New Roman" w:cs="Times New Roman"/>
          <w:sz w:val="24"/>
          <w:szCs w:val="24"/>
        </w:rPr>
      </w:pPr>
    </w:p>
    <w:p w14:paraId="63B32C35" w14:textId="15040C70" w:rsidR="00E5640C" w:rsidRPr="00E5640C" w:rsidRDefault="00E5640C" w:rsidP="00575B23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7080F2B0" w14:textId="4EE46164" w:rsidR="007869AC" w:rsidRDefault="007869AC" w:rsidP="00710F3B">
      <w:pPr>
        <w:contextualSpacing/>
      </w:pPr>
      <w:r>
        <w:rPr>
          <w:noProof/>
        </w:rPr>
        <w:lastRenderedPageBreak/>
        <w:drawing>
          <wp:inline distT="0" distB="0" distL="0" distR="0" wp14:anchorId="139D9AF6" wp14:editId="61C58577">
            <wp:extent cx="5274310" cy="333819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33CEC" w14:textId="03D0B949" w:rsidR="00E5640C" w:rsidRDefault="00E5640C" w:rsidP="00E5640C">
      <w:pPr>
        <w:contextualSpacing/>
        <w:rPr>
          <w:rFonts w:ascii="Times New Roman" w:hAnsi="Times New Roman" w:cs="Times New Roman"/>
          <w:b/>
        </w:rPr>
      </w:pPr>
      <w:r w:rsidRPr="00710F3B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7302B3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710F3B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4572D1">
        <w:rPr>
          <w:rFonts w:ascii="Times New Roman" w:hAnsi="Times New Roman" w:cs="Times New Roman"/>
          <w:b/>
          <w:bCs/>
        </w:rPr>
        <w:t>CTSLP8 and PKM2 regulate</w:t>
      </w:r>
      <w:r w:rsidR="005C79CA">
        <w:rPr>
          <w:rFonts w:ascii="Times New Roman" w:hAnsi="Times New Roman" w:cs="Times New Roman"/>
          <w:b/>
          <w:bCs/>
        </w:rPr>
        <w:t>d</w:t>
      </w:r>
      <w:r w:rsidRPr="004572D1">
        <w:rPr>
          <w:rFonts w:ascii="Times New Roman" w:hAnsi="Times New Roman" w:cs="Times New Roman"/>
          <w:b/>
          <w:bCs/>
        </w:rPr>
        <w:t xml:space="preserve"> </w:t>
      </w:r>
      <w:r w:rsidRPr="00F835B5">
        <w:rPr>
          <w:rFonts w:ascii="Times New Roman" w:hAnsi="Times New Roman" w:cs="Times New Roman"/>
          <w:b/>
        </w:rPr>
        <w:t xml:space="preserve">glycolysis of </w:t>
      </w:r>
      <w:r>
        <w:rPr>
          <w:rFonts w:ascii="Times New Roman" w:hAnsi="Times New Roman" w:cs="Times New Roman"/>
          <w:b/>
        </w:rPr>
        <w:t>OC</w:t>
      </w:r>
      <w:r w:rsidRPr="00F835B5">
        <w:rPr>
          <w:rFonts w:ascii="Times New Roman" w:hAnsi="Times New Roman" w:cs="Times New Roman"/>
          <w:b/>
        </w:rPr>
        <w:t xml:space="preserve"> </w:t>
      </w:r>
      <w:r w:rsidR="00E42ED3">
        <w:rPr>
          <w:rFonts w:ascii="Times New Roman" w:hAnsi="Times New Roman" w:cs="Times New Roman"/>
          <w:b/>
        </w:rPr>
        <w:t>through</w:t>
      </w:r>
      <w:r w:rsidRPr="00F835B5">
        <w:rPr>
          <w:rFonts w:ascii="Times New Roman" w:hAnsi="Times New Roman" w:cs="Times New Roman"/>
          <w:b/>
        </w:rPr>
        <w:t xml:space="preserve"> </w:t>
      </w:r>
      <w:r w:rsidRPr="004572D1">
        <w:rPr>
          <w:rFonts w:ascii="Times New Roman" w:hAnsi="Times New Roman" w:cs="Times New Roman"/>
          <w:b/>
          <w:bCs/>
        </w:rPr>
        <w:t>c-Myc</w:t>
      </w:r>
      <w:r>
        <w:rPr>
          <w:rFonts w:ascii="Times New Roman" w:hAnsi="Times New Roman" w:cs="Times New Roman"/>
          <w:b/>
        </w:rPr>
        <w:t>.</w:t>
      </w:r>
    </w:p>
    <w:p w14:paraId="2E84C862" w14:textId="04A312E5" w:rsidR="00E5640C" w:rsidRPr="007302B3" w:rsidRDefault="00E5640C" w:rsidP="00E5640C">
      <w:pPr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0C2A48">
        <w:rPr>
          <w:rFonts w:ascii="Times New Roman" w:eastAsia="宋体" w:hAnsi="Times New Roman" w:cs="Times New Roman"/>
          <w:sz w:val="24"/>
          <w:szCs w:val="24"/>
        </w:rPr>
        <w:t>(</w:t>
      </w:r>
      <w:r w:rsidR="007302B3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0C2A48"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 w:rsidR="007302B3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0C2A48">
        <w:rPr>
          <w:rFonts w:ascii="Times New Roman" w:eastAsia="宋体" w:hAnsi="Times New Roman" w:cs="Times New Roman"/>
          <w:sz w:val="24"/>
          <w:szCs w:val="24"/>
        </w:rPr>
        <w:t>) Bioinformatics analysis predicted that PKM2 could bind to the c-Myc promoter region. (</w:t>
      </w:r>
      <w:r w:rsidR="007302B3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0C2A48">
        <w:rPr>
          <w:rFonts w:ascii="Times New Roman" w:eastAsia="宋体" w:hAnsi="Times New Roman" w:cs="Times New Roman"/>
          <w:sz w:val="24"/>
          <w:szCs w:val="24"/>
        </w:rPr>
        <w:t>)</w:t>
      </w:r>
      <w:r w:rsidRPr="000C2A48">
        <w:rPr>
          <w:rFonts w:ascii="Times New Roman" w:eastAsia="宋体" w:hAnsi="Times New Roman" w:cs="Times New Roman"/>
          <w:bCs/>
          <w:sz w:val="24"/>
          <w:szCs w:val="24"/>
        </w:rPr>
        <w:t xml:space="preserve"> The ChIP assay confirmed that PKM2 b</w:t>
      </w:r>
      <w:r w:rsidR="000410C6">
        <w:rPr>
          <w:rFonts w:ascii="Times New Roman" w:eastAsia="宋体" w:hAnsi="Times New Roman" w:cs="Times New Roman"/>
          <w:bCs/>
          <w:sz w:val="24"/>
          <w:szCs w:val="24"/>
        </w:rPr>
        <w:t>ound</w:t>
      </w:r>
      <w:r w:rsidRPr="000C2A48">
        <w:rPr>
          <w:rFonts w:ascii="Times New Roman" w:eastAsia="宋体" w:hAnsi="Times New Roman" w:cs="Times New Roman"/>
          <w:bCs/>
          <w:sz w:val="24"/>
          <w:szCs w:val="24"/>
        </w:rPr>
        <w:t xml:space="preserve"> to c-Myc promoter in A2780 cells. </w:t>
      </w:r>
      <w:r w:rsidRPr="000C2A48">
        <w:rPr>
          <w:rFonts w:ascii="Times New Roman" w:eastAsia="宋体" w:hAnsi="Times New Roman" w:cs="Times New Roman"/>
          <w:sz w:val="24"/>
          <w:szCs w:val="24"/>
        </w:rPr>
        <w:t>(</w:t>
      </w:r>
      <w:r w:rsidRPr="000C2A48">
        <w:rPr>
          <w:rFonts w:ascii="Times New Roman" w:eastAsia="宋体" w:hAnsi="Times New Roman" w:cs="Times New Roman"/>
          <w:b/>
          <w:bCs/>
          <w:sz w:val="24"/>
          <w:szCs w:val="24"/>
        </w:rPr>
        <w:t>E-F</w:t>
      </w:r>
      <w:r w:rsidRPr="000C2A48">
        <w:rPr>
          <w:rFonts w:ascii="Times New Roman" w:eastAsia="宋体" w:hAnsi="Times New Roman" w:cs="Times New Roman"/>
          <w:sz w:val="24"/>
          <w:szCs w:val="24"/>
        </w:rPr>
        <w:t>) I</w:t>
      </w:r>
      <w:r w:rsidR="007302B3">
        <w:rPr>
          <w:rFonts w:ascii="Times New Roman" w:eastAsia="宋体" w:hAnsi="Times New Roman" w:cs="Times New Roman"/>
          <w:sz w:val="24"/>
          <w:szCs w:val="24"/>
        </w:rPr>
        <w:t>HC</w:t>
      </w:r>
      <w:r w:rsidRPr="000C2A48">
        <w:rPr>
          <w:rFonts w:ascii="Times New Roman" w:eastAsia="宋体" w:hAnsi="Times New Roman" w:cs="Times New Roman"/>
          <w:sz w:val="24"/>
          <w:szCs w:val="24"/>
        </w:rPr>
        <w:t xml:space="preserve"> staining of glycolytic enzymes performed on tumor tissues in different groups.</w:t>
      </w:r>
      <w:r w:rsidRPr="007302B3">
        <w:rPr>
          <w:rFonts w:ascii="Times New Roman" w:eastAsia="宋体" w:hAnsi="Times New Roman" w:cs="Times New Roman"/>
          <w:sz w:val="24"/>
          <w:szCs w:val="24"/>
        </w:rPr>
        <w:t xml:space="preserve"> Scale bar, 50 µm.</w:t>
      </w:r>
    </w:p>
    <w:p w14:paraId="2A790861" w14:textId="77777777" w:rsidR="00E5640C" w:rsidRDefault="00E5640C" w:rsidP="00710F3B">
      <w:pPr>
        <w:contextualSpacing/>
      </w:pPr>
    </w:p>
    <w:sectPr w:rsidR="00E56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80FB" w14:textId="77777777" w:rsidR="005F09A1" w:rsidRDefault="005F09A1" w:rsidP="00F76716">
      <w:r>
        <w:separator/>
      </w:r>
    </w:p>
  </w:endnote>
  <w:endnote w:type="continuationSeparator" w:id="0">
    <w:p w14:paraId="562B38EA" w14:textId="77777777" w:rsidR="005F09A1" w:rsidRDefault="005F09A1" w:rsidP="00F7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8001" w14:textId="77777777" w:rsidR="005F09A1" w:rsidRDefault="005F09A1" w:rsidP="00F76716">
      <w:r>
        <w:separator/>
      </w:r>
    </w:p>
  </w:footnote>
  <w:footnote w:type="continuationSeparator" w:id="0">
    <w:p w14:paraId="6939ECCC" w14:textId="77777777" w:rsidR="005F09A1" w:rsidRDefault="005F09A1" w:rsidP="00F76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3B"/>
    <w:rsid w:val="000410C6"/>
    <w:rsid w:val="000A3001"/>
    <w:rsid w:val="000C2A48"/>
    <w:rsid w:val="000F6519"/>
    <w:rsid w:val="001A6B2B"/>
    <w:rsid w:val="001C37EB"/>
    <w:rsid w:val="00227F22"/>
    <w:rsid w:val="002D1A73"/>
    <w:rsid w:val="002E694B"/>
    <w:rsid w:val="00301B28"/>
    <w:rsid w:val="00336828"/>
    <w:rsid w:val="003A4F92"/>
    <w:rsid w:val="003B59AC"/>
    <w:rsid w:val="003C61DE"/>
    <w:rsid w:val="003D69CE"/>
    <w:rsid w:val="00402638"/>
    <w:rsid w:val="00402F23"/>
    <w:rsid w:val="004374FF"/>
    <w:rsid w:val="00461B5B"/>
    <w:rsid w:val="00476945"/>
    <w:rsid w:val="00572D11"/>
    <w:rsid w:val="00575B23"/>
    <w:rsid w:val="005C79CA"/>
    <w:rsid w:val="005F09A1"/>
    <w:rsid w:val="00614961"/>
    <w:rsid w:val="006758F6"/>
    <w:rsid w:val="00676FD3"/>
    <w:rsid w:val="006E34A8"/>
    <w:rsid w:val="00710F3B"/>
    <w:rsid w:val="007302B3"/>
    <w:rsid w:val="007869AC"/>
    <w:rsid w:val="007B78FF"/>
    <w:rsid w:val="007E5581"/>
    <w:rsid w:val="008121CC"/>
    <w:rsid w:val="008736EA"/>
    <w:rsid w:val="008813AB"/>
    <w:rsid w:val="00892BE4"/>
    <w:rsid w:val="0089721B"/>
    <w:rsid w:val="008E22E9"/>
    <w:rsid w:val="00A165EE"/>
    <w:rsid w:val="00AB3F94"/>
    <w:rsid w:val="00AE6EDD"/>
    <w:rsid w:val="00B00333"/>
    <w:rsid w:val="00B9146E"/>
    <w:rsid w:val="00BC625E"/>
    <w:rsid w:val="00C1174D"/>
    <w:rsid w:val="00C94ED8"/>
    <w:rsid w:val="00CB59CF"/>
    <w:rsid w:val="00CF7487"/>
    <w:rsid w:val="00D0345A"/>
    <w:rsid w:val="00D25B1F"/>
    <w:rsid w:val="00D434EF"/>
    <w:rsid w:val="00D653C1"/>
    <w:rsid w:val="00DA6809"/>
    <w:rsid w:val="00DC30AB"/>
    <w:rsid w:val="00DC6CF7"/>
    <w:rsid w:val="00DF7351"/>
    <w:rsid w:val="00E21FD0"/>
    <w:rsid w:val="00E42ED3"/>
    <w:rsid w:val="00E5640C"/>
    <w:rsid w:val="00E726AF"/>
    <w:rsid w:val="00E81176"/>
    <w:rsid w:val="00F3385E"/>
    <w:rsid w:val="00F40A90"/>
    <w:rsid w:val="00F76716"/>
    <w:rsid w:val="00F835B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EB8E3"/>
  <w15:chartTrackingRefBased/>
  <w15:docId w15:val="{BD8A8D6D-C728-42E2-AD5F-44F1C096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67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6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67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Xiaoduan Li</dc:creator>
  <cp:keywords/>
  <dc:description/>
  <cp:lastModifiedBy>Xiaoduan Li</cp:lastModifiedBy>
  <cp:revision>35</cp:revision>
  <dcterms:created xsi:type="dcterms:W3CDTF">2021-08-08T04:13:00Z</dcterms:created>
  <dcterms:modified xsi:type="dcterms:W3CDTF">2021-08-14T03:55:00Z</dcterms:modified>
</cp:coreProperties>
</file>