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C95DD" w14:textId="316EBACD" w:rsidR="00EE436B" w:rsidRDefault="004D3504" w:rsidP="000C71C4">
      <w:pPr>
        <w:adjustRightInd w:val="0"/>
        <w:snapToGrid w:val="0"/>
        <w:spacing w:line="480" w:lineRule="auto"/>
        <w:jc w:val="center"/>
        <w:rPr>
          <w:rFonts w:ascii="Times New Roman" w:hAnsi="Times New Roman" w:cs="Times New Roman"/>
          <w:b/>
          <w:bCs/>
          <w:sz w:val="32"/>
          <w:szCs w:val="32"/>
        </w:rPr>
      </w:pPr>
      <w:r w:rsidRPr="004D3504">
        <w:rPr>
          <w:rFonts w:ascii="Times New Roman" w:hAnsi="Times New Roman" w:cs="Times New Roman"/>
          <w:b/>
          <w:bCs/>
          <w:sz w:val="32"/>
          <w:szCs w:val="32"/>
        </w:rPr>
        <w:t>Supplementary Materials and Methods</w:t>
      </w:r>
    </w:p>
    <w:p w14:paraId="07654822" w14:textId="7826C4D7" w:rsidR="004D3504" w:rsidRPr="000C71C4" w:rsidRDefault="00704A4B" w:rsidP="000C71C4">
      <w:pPr>
        <w:adjustRightInd w:val="0"/>
        <w:snapToGrid w:val="0"/>
        <w:spacing w:line="480" w:lineRule="auto"/>
        <w:jc w:val="left"/>
        <w:rPr>
          <w:rFonts w:ascii="Times New Roman" w:hAnsi="Times New Roman" w:cs="Times New Roman"/>
          <w:b/>
          <w:bCs/>
          <w:sz w:val="24"/>
          <w:szCs w:val="24"/>
        </w:rPr>
      </w:pPr>
      <w:r w:rsidRPr="000C71C4">
        <w:rPr>
          <w:rFonts w:ascii="Times New Roman" w:hAnsi="Times New Roman" w:cs="Times New Roman" w:hint="eastAsia"/>
          <w:b/>
          <w:bCs/>
          <w:sz w:val="24"/>
          <w:szCs w:val="24"/>
        </w:rPr>
        <w:t>RT-</w:t>
      </w:r>
      <w:r w:rsidRPr="000C71C4">
        <w:rPr>
          <w:rFonts w:ascii="Times New Roman" w:hAnsi="Times New Roman" w:cs="Times New Roman" w:hint="eastAsia"/>
          <w:b/>
          <w:bCs/>
          <w:sz w:val="24"/>
          <w:szCs w:val="24"/>
        </w:rPr>
        <w:t>q</w:t>
      </w:r>
      <w:r w:rsidRPr="000C71C4">
        <w:rPr>
          <w:rFonts w:ascii="Times New Roman" w:hAnsi="Times New Roman" w:cs="Times New Roman" w:hint="eastAsia"/>
          <w:b/>
          <w:bCs/>
          <w:sz w:val="24"/>
          <w:szCs w:val="24"/>
        </w:rPr>
        <w:t>PC</w:t>
      </w:r>
      <w:r w:rsidR="001F0EF9" w:rsidRPr="000C71C4">
        <w:rPr>
          <w:rFonts w:ascii="Times New Roman" w:hAnsi="Times New Roman" w:cs="Times New Roman" w:hint="eastAsia"/>
          <w:b/>
          <w:bCs/>
          <w:sz w:val="24"/>
          <w:szCs w:val="24"/>
        </w:rPr>
        <w:t>R</w:t>
      </w:r>
      <w:r w:rsidRPr="000C71C4">
        <w:rPr>
          <w:rFonts w:ascii="Times New Roman" w:hAnsi="Times New Roman" w:cs="Times New Roman" w:hint="eastAsia"/>
          <w:b/>
          <w:bCs/>
          <w:sz w:val="24"/>
          <w:szCs w:val="24"/>
        </w:rPr>
        <w:t xml:space="preserve"> and western blot assays</w:t>
      </w:r>
    </w:p>
    <w:p w14:paraId="45940D33" w14:textId="4EB47514" w:rsidR="00704A4B" w:rsidRDefault="000C71C4" w:rsidP="000C71C4">
      <w:pPr>
        <w:adjustRightInd w:val="0"/>
        <w:snapToGrid w:val="0"/>
        <w:spacing w:line="480" w:lineRule="auto"/>
        <w:ind w:firstLine="420"/>
        <w:rPr>
          <w:rFonts w:ascii="Times New Roman" w:hAnsi="Times New Roman"/>
          <w:sz w:val="24"/>
        </w:rPr>
      </w:pPr>
      <w:r>
        <w:rPr>
          <w:rFonts w:ascii="Times New Roman" w:hAnsi="Times New Roman"/>
          <w:sz w:val="24"/>
        </w:rPr>
        <w:t xml:space="preserve">Total RNA was </w:t>
      </w:r>
      <w:r>
        <w:rPr>
          <w:rFonts w:ascii="Times New Roman" w:hAnsi="Times New Roman" w:hint="eastAsia"/>
          <w:sz w:val="24"/>
        </w:rPr>
        <w:t>extracted</w:t>
      </w:r>
      <w:r>
        <w:rPr>
          <w:rFonts w:ascii="Times New Roman" w:hAnsi="Times New Roman"/>
          <w:sz w:val="24"/>
        </w:rPr>
        <w:t xml:space="preserve"> from CD4</w:t>
      </w:r>
      <w:r>
        <w:rPr>
          <w:rFonts w:ascii="Times New Roman" w:hAnsi="Times New Roman"/>
          <w:sz w:val="24"/>
          <w:vertAlign w:val="superscript"/>
        </w:rPr>
        <w:t>+</w:t>
      </w:r>
      <w:r>
        <w:rPr>
          <w:rFonts w:ascii="Times New Roman" w:hAnsi="Times New Roman"/>
          <w:sz w:val="24"/>
        </w:rPr>
        <w:t xml:space="preserve"> T cells using </w:t>
      </w:r>
      <w:proofErr w:type="spellStart"/>
      <w:r>
        <w:rPr>
          <w:rFonts w:ascii="Times New Roman" w:hAnsi="Times New Roman"/>
          <w:sz w:val="24"/>
        </w:rPr>
        <w:t>TRIzol</w:t>
      </w:r>
      <w:proofErr w:type="spellEnd"/>
      <w:r>
        <w:rPr>
          <w:rFonts w:ascii="Times New Roman" w:hAnsi="Times New Roman"/>
          <w:sz w:val="24"/>
        </w:rPr>
        <w:t xml:space="preserve"> reagent (Invitrogen) and </w:t>
      </w:r>
      <w:r>
        <w:rPr>
          <w:rFonts w:ascii="Times New Roman" w:hAnsi="Times New Roman" w:hint="eastAsia"/>
          <w:sz w:val="24"/>
        </w:rPr>
        <w:t>subsequently</w:t>
      </w:r>
      <w:r>
        <w:rPr>
          <w:rFonts w:ascii="Times New Roman" w:hAnsi="Times New Roman"/>
          <w:sz w:val="24"/>
        </w:rPr>
        <w:t xml:space="preserve"> reverse-transcribed into cDNA using the </w:t>
      </w:r>
      <w:proofErr w:type="spellStart"/>
      <w:r>
        <w:rPr>
          <w:rFonts w:ascii="Times New Roman" w:hAnsi="Times New Roman"/>
          <w:sz w:val="24"/>
        </w:rPr>
        <w:t>iScript</w:t>
      </w:r>
      <w:proofErr w:type="spellEnd"/>
      <w:r>
        <w:rPr>
          <w:rFonts w:ascii="Times New Roman" w:hAnsi="Times New Roman"/>
          <w:sz w:val="24"/>
        </w:rPr>
        <w:t xml:space="preserve"> cDNA Synthesis Kit (1708891, Bio-Rad Laboratories, Hercules, CA, USA).</w:t>
      </w:r>
      <w:r>
        <w:rPr>
          <w:rFonts w:ascii="Times New Roman" w:hAnsi="Times New Roman" w:hint="eastAsia"/>
          <w:sz w:val="24"/>
        </w:rPr>
        <w:t xml:space="preserve"> </w:t>
      </w:r>
      <w:r>
        <w:rPr>
          <w:rFonts w:ascii="Times New Roman" w:hAnsi="Times New Roman"/>
          <w:sz w:val="24"/>
        </w:rPr>
        <w:t>qPCR was conducted</w:t>
      </w:r>
      <w:r>
        <w:rPr>
          <w:rFonts w:ascii="Times New Roman" w:hAnsi="Times New Roman" w:hint="eastAsia"/>
          <w:sz w:val="24"/>
        </w:rPr>
        <w:t xml:space="preserve"> on a CFX384 Touch Fluorescent qPCR Detection System (Bio-Rad Laboratories) </w:t>
      </w:r>
      <w:r>
        <w:rPr>
          <w:rFonts w:ascii="Times New Roman" w:hAnsi="Times New Roman"/>
          <w:sz w:val="24"/>
        </w:rPr>
        <w:t>using</w:t>
      </w:r>
      <w:r>
        <w:rPr>
          <w:rFonts w:ascii="Times New Roman" w:hAnsi="Times New Roman" w:hint="eastAsia"/>
          <w:sz w:val="24"/>
        </w:rPr>
        <w:t xml:space="preserve"> </w:t>
      </w:r>
      <w:proofErr w:type="spellStart"/>
      <w:r>
        <w:rPr>
          <w:rFonts w:ascii="Times New Roman" w:hAnsi="Times New Roman" w:hint="eastAsia"/>
          <w:sz w:val="24"/>
        </w:rPr>
        <w:t>SsoAdvanced</w:t>
      </w:r>
      <w:proofErr w:type="spellEnd"/>
      <w:r>
        <w:rPr>
          <w:rFonts w:ascii="Times New Roman" w:hAnsi="Times New Roman" w:hint="eastAsia"/>
          <w:sz w:val="24"/>
        </w:rPr>
        <w:t xml:space="preserve"> Universal SYBR Green </w:t>
      </w:r>
      <w:proofErr w:type="spellStart"/>
      <w:r>
        <w:rPr>
          <w:rFonts w:ascii="Times New Roman" w:hAnsi="Times New Roman" w:hint="eastAsia"/>
          <w:sz w:val="24"/>
        </w:rPr>
        <w:t>Supermix</w:t>
      </w:r>
      <w:proofErr w:type="spellEnd"/>
      <w:r>
        <w:rPr>
          <w:rFonts w:ascii="Times New Roman" w:hAnsi="Times New Roman" w:hint="eastAsia"/>
          <w:sz w:val="24"/>
        </w:rPr>
        <w:t xml:space="preserve"> (1725272, Bio-Rad Laboratories). </w:t>
      </w:r>
      <w:r w:rsidR="001B13E9">
        <w:rPr>
          <w:rFonts w:ascii="Times New Roman" w:hAnsi="Times New Roman" w:hint="eastAsia"/>
          <w:sz w:val="24"/>
        </w:rPr>
        <w:t>The primers used were as follows: KCNN4, sense 5</w:t>
      </w:r>
      <w:r w:rsidR="001B13E9">
        <w:rPr>
          <w:rFonts w:ascii="Times New Roman" w:hAnsi="Times New Roman"/>
          <w:sz w:val="24"/>
        </w:rPr>
        <w:t>’</w:t>
      </w:r>
      <w:r w:rsidR="001B13E9">
        <w:rPr>
          <w:rFonts w:ascii="Times New Roman" w:hAnsi="Times New Roman" w:hint="eastAsia"/>
          <w:sz w:val="24"/>
        </w:rPr>
        <w:t>-CATTCCTGACCATCGGCTATGG-3</w:t>
      </w:r>
      <w:r w:rsidR="001B13E9">
        <w:rPr>
          <w:rFonts w:ascii="Times New Roman" w:hAnsi="Times New Roman"/>
          <w:sz w:val="24"/>
        </w:rPr>
        <w:t>’</w:t>
      </w:r>
      <w:r w:rsidR="001B13E9">
        <w:rPr>
          <w:rFonts w:ascii="Times New Roman" w:hAnsi="Times New Roman" w:hint="eastAsia"/>
          <w:sz w:val="24"/>
        </w:rPr>
        <w:t xml:space="preserve"> and antisense 5</w:t>
      </w:r>
      <w:r w:rsidR="001B13E9">
        <w:rPr>
          <w:rFonts w:ascii="Times New Roman" w:hAnsi="Times New Roman"/>
          <w:sz w:val="24"/>
        </w:rPr>
        <w:t>’</w:t>
      </w:r>
      <w:r w:rsidR="001B13E9">
        <w:rPr>
          <w:rFonts w:ascii="Times New Roman" w:hAnsi="Times New Roman" w:hint="eastAsia"/>
          <w:sz w:val="24"/>
        </w:rPr>
        <w:t>-GCCTTGTTAAACTCCAGCTTCCG-3</w:t>
      </w:r>
      <w:r w:rsidR="001B13E9">
        <w:rPr>
          <w:rFonts w:ascii="Times New Roman" w:hAnsi="Times New Roman"/>
          <w:sz w:val="24"/>
        </w:rPr>
        <w:t>’</w:t>
      </w:r>
      <w:r w:rsidR="001B13E9">
        <w:rPr>
          <w:rFonts w:ascii="Times New Roman" w:hAnsi="Times New Roman" w:hint="eastAsia"/>
          <w:sz w:val="24"/>
        </w:rPr>
        <w:t>; GAPDH</w:t>
      </w:r>
      <w:r w:rsidR="001B13E9">
        <w:rPr>
          <w:rFonts w:ascii="Times New Roman" w:hAnsi="Times New Roman"/>
          <w:sz w:val="24"/>
        </w:rPr>
        <w:t>,</w:t>
      </w:r>
      <w:r w:rsidR="001B13E9">
        <w:rPr>
          <w:rFonts w:ascii="Times New Roman" w:hAnsi="Times New Roman" w:hint="eastAsia"/>
          <w:sz w:val="24"/>
        </w:rPr>
        <w:t xml:space="preserve"> sense 5</w:t>
      </w:r>
      <w:r w:rsidR="001B13E9">
        <w:rPr>
          <w:rFonts w:ascii="Times New Roman" w:hAnsi="Times New Roman"/>
          <w:sz w:val="24"/>
        </w:rPr>
        <w:t>’</w:t>
      </w:r>
      <w:r w:rsidR="001B13E9">
        <w:rPr>
          <w:rFonts w:ascii="Times New Roman" w:hAnsi="Times New Roman" w:hint="eastAsia"/>
          <w:sz w:val="24"/>
        </w:rPr>
        <w:t>-GTCTCCTCTGACTTCAACAGCG-3</w:t>
      </w:r>
      <w:r w:rsidR="001B13E9">
        <w:rPr>
          <w:rFonts w:ascii="Times New Roman" w:hAnsi="Times New Roman"/>
          <w:sz w:val="24"/>
        </w:rPr>
        <w:t>’</w:t>
      </w:r>
      <w:r w:rsidR="001B13E9">
        <w:rPr>
          <w:rFonts w:ascii="Times New Roman" w:hAnsi="Times New Roman" w:hint="eastAsia"/>
          <w:sz w:val="24"/>
        </w:rPr>
        <w:t xml:space="preserve"> and antisense 5</w:t>
      </w:r>
      <w:r w:rsidR="001B13E9">
        <w:rPr>
          <w:rFonts w:ascii="Times New Roman" w:hAnsi="Times New Roman"/>
          <w:sz w:val="24"/>
        </w:rPr>
        <w:t>’</w:t>
      </w:r>
      <w:r w:rsidR="001B13E9">
        <w:rPr>
          <w:rFonts w:ascii="Times New Roman" w:hAnsi="Times New Roman" w:hint="eastAsia"/>
          <w:sz w:val="24"/>
        </w:rPr>
        <w:t>-ACCACCCTGTTGCTGTAGCCAA-3</w:t>
      </w:r>
      <w:r w:rsidR="001B13E9">
        <w:rPr>
          <w:rFonts w:ascii="Times New Roman" w:hAnsi="Times New Roman"/>
          <w:sz w:val="24"/>
        </w:rPr>
        <w:t>’</w:t>
      </w:r>
      <w:r w:rsidR="001B13E9">
        <w:rPr>
          <w:rFonts w:ascii="Times New Roman" w:hAnsi="Times New Roman" w:hint="eastAsia"/>
          <w:sz w:val="24"/>
        </w:rPr>
        <w:t xml:space="preserve">. </w:t>
      </w:r>
    </w:p>
    <w:p w14:paraId="255BF804" w14:textId="77777777" w:rsidR="001B13E9" w:rsidRDefault="001B13E9" w:rsidP="001B13E9">
      <w:pPr>
        <w:adjustRightInd w:val="0"/>
        <w:snapToGrid w:val="0"/>
        <w:spacing w:line="480" w:lineRule="auto"/>
        <w:ind w:firstLine="420"/>
        <w:rPr>
          <w:rFonts w:ascii="Times New Roman" w:hAnsi="Times New Roman"/>
          <w:sz w:val="24"/>
        </w:rPr>
      </w:pPr>
      <w:r>
        <w:rPr>
          <w:rFonts w:ascii="Times New Roman" w:hAnsi="Times New Roman" w:hint="eastAsia"/>
          <w:sz w:val="24"/>
        </w:rPr>
        <w:t>The c</w:t>
      </w:r>
      <w:r>
        <w:rPr>
          <w:rFonts w:ascii="Times New Roman" w:hAnsi="Times New Roman"/>
          <w:sz w:val="24"/>
        </w:rPr>
        <w:t>ells were lysed on ice using RIPA lys</w:t>
      </w:r>
      <w:r>
        <w:rPr>
          <w:rFonts w:ascii="Times New Roman" w:hAnsi="Times New Roman" w:hint="eastAsia"/>
          <w:sz w:val="24"/>
        </w:rPr>
        <w:t>is buffer</w:t>
      </w:r>
      <w:r>
        <w:rPr>
          <w:rFonts w:ascii="Times New Roman" w:hAnsi="Times New Roman"/>
          <w:sz w:val="24"/>
        </w:rPr>
        <w:t xml:space="preserve"> (Beyotime)</w:t>
      </w:r>
      <w:r>
        <w:rPr>
          <w:rFonts w:ascii="Times New Roman" w:hAnsi="Times New Roman" w:hint="eastAsia"/>
          <w:sz w:val="24"/>
        </w:rPr>
        <w:t>, which contains</w:t>
      </w:r>
      <w:r>
        <w:rPr>
          <w:rFonts w:ascii="Times New Roman" w:hAnsi="Times New Roman"/>
          <w:sz w:val="24"/>
        </w:rPr>
        <w:t xml:space="preserve"> protease inhibitors</w:t>
      </w:r>
      <w:r>
        <w:rPr>
          <w:rFonts w:ascii="Times New Roman" w:hAnsi="Times New Roman" w:hint="eastAsia"/>
          <w:sz w:val="24"/>
        </w:rPr>
        <w:t xml:space="preserve">. </w:t>
      </w:r>
      <w:r>
        <w:rPr>
          <w:rFonts w:ascii="Times New Roman" w:hAnsi="Times New Roman"/>
          <w:sz w:val="24"/>
        </w:rPr>
        <w:t>The protein concentrations were determined using a BCA protein concentration assay kit (P0011, Beyotime).</w:t>
      </w:r>
      <w:r>
        <w:rPr>
          <w:rFonts w:ascii="Times New Roman" w:hAnsi="Times New Roman" w:hint="eastAsia"/>
          <w:sz w:val="24"/>
        </w:rPr>
        <w:t xml:space="preserve"> Equal amounts of protein (20 </w:t>
      </w:r>
      <w:r>
        <w:rPr>
          <w:rFonts w:ascii="Times New Roman" w:hAnsi="Times New Roman"/>
          <w:sz w:val="24"/>
        </w:rPr>
        <w:t>μ</w:t>
      </w:r>
      <w:r>
        <w:rPr>
          <w:rFonts w:ascii="Times New Roman" w:hAnsi="Times New Roman" w:hint="eastAsia"/>
          <w:sz w:val="24"/>
        </w:rPr>
        <w:t xml:space="preserve">g) were </w:t>
      </w:r>
      <w:r>
        <w:rPr>
          <w:rFonts w:ascii="Times New Roman" w:hAnsi="Times New Roman"/>
          <w:sz w:val="24"/>
        </w:rPr>
        <w:t>subjected to electrophoresis on a</w:t>
      </w:r>
      <w:r>
        <w:rPr>
          <w:rFonts w:ascii="Times New Roman" w:hAnsi="Times New Roman" w:hint="eastAsia"/>
          <w:sz w:val="24"/>
        </w:rPr>
        <w:t xml:space="preserve"> 10% SDS-PAGE and transferred to a polyvinylidene difluoride membrane. The membrane was sealed with 5% BSA for 1 h at RM and incubated with primary antibodies at 4</w:t>
      </w:r>
      <w:r>
        <w:rPr>
          <w:rFonts w:ascii="Times New Roman" w:hAnsi="Times New Roman"/>
          <w:sz w:val="24"/>
        </w:rPr>
        <w:t>°</w:t>
      </w:r>
      <w:r>
        <w:rPr>
          <w:rFonts w:ascii="Times New Roman" w:hAnsi="Times New Roman" w:hint="eastAsia"/>
          <w:sz w:val="24"/>
        </w:rPr>
        <w:t xml:space="preserve">C overnight, followed by re-probing with HRP-conjugated secondary antibody (1:1000, A0208, </w:t>
      </w:r>
      <w:r>
        <w:rPr>
          <w:rFonts w:ascii="Times New Roman" w:hAnsi="Times New Roman"/>
          <w:sz w:val="24"/>
        </w:rPr>
        <w:t>Beyotime</w:t>
      </w:r>
      <w:r>
        <w:rPr>
          <w:rFonts w:ascii="Times New Roman" w:hAnsi="Times New Roman" w:hint="eastAsia"/>
          <w:sz w:val="24"/>
        </w:rPr>
        <w:t xml:space="preserve">) at RM for 1 h. </w:t>
      </w:r>
      <w:r>
        <w:rPr>
          <w:rFonts w:ascii="Times New Roman" w:hAnsi="Times New Roman"/>
          <w:sz w:val="24"/>
        </w:rPr>
        <w:t>Immunoreactivity</w:t>
      </w:r>
      <w:r>
        <w:rPr>
          <w:rFonts w:ascii="Times New Roman" w:hAnsi="Times New Roman" w:hint="eastAsia"/>
          <w:sz w:val="24"/>
        </w:rPr>
        <w:t xml:space="preserve"> </w:t>
      </w:r>
      <w:r>
        <w:rPr>
          <w:rFonts w:ascii="Times New Roman" w:hAnsi="Times New Roman"/>
          <w:sz w:val="24"/>
        </w:rPr>
        <w:t>was visualized using</w:t>
      </w:r>
      <w:r>
        <w:rPr>
          <w:rFonts w:ascii="Times New Roman" w:hAnsi="Times New Roman" w:hint="eastAsia"/>
          <w:sz w:val="24"/>
        </w:rPr>
        <w:t xml:space="preserve"> ECL. The </w:t>
      </w:r>
      <w:r>
        <w:rPr>
          <w:rFonts w:ascii="Times New Roman" w:hAnsi="Times New Roman"/>
          <w:sz w:val="24"/>
        </w:rPr>
        <w:t>intensities</w:t>
      </w:r>
      <w:r>
        <w:rPr>
          <w:rFonts w:ascii="Times New Roman" w:hAnsi="Times New Roman" w:hint="eastAsia"/>
          <w:sz w:val="24"/>
        </w:rPr>
        <w:t xml:space="preserve"> of </w:t>
      </w:r>
      <w:r>
        <w:rPr>
          <w:rFonts w:ascii="Times New Roman" w:hAnsi="Times New Roman"/>
          <w:sz w:val="24"/>
        </w:rPr>
        <w:t xml:space="preserve">the </w:t>
      </w:r>
      <w:r>
        <w:rPr>
          <w:rFonts w:ascii="Times New Roman" w:hAnsi="Times New Roman" w:hint="eastAsia"/>
          <w:sz w:val="24"/>
        </w:rPr>
        <w:t xml:space="preserve">designated protein bands </w:t>
      </w:r>
      <w:r>
        <w:rPr>
          <w:rFonts w:ascii="Times New Roman" w:hAnsi="Times New Roman"/>
          <w:sz w:val="24"/>
        </w:rPr>
        <w:t>were</w:t>
      </w:r>
      <w:r>
        <w:rPr>
          <w:rFonts w:ascii="Times New Roman" w:hAnsi="Times New Roman" w:hint="eastAsia"/>
          <w:sz w:val="24"/>
        </w:rPr>
        <w:t xml:space="preserve"> quantified and normalized </w:t>
      </w:r>
      <w:r>
        <w:rPr>
          <w:rFonts w:ascii="Times New Roman" w:hAnsi="Times New Roman"/>
          <w:sz w:val="24"/>
        </w:rPr>
        <w:t>to</w:t>
      </w:r>
      <w:r>
        <w:rPr>
          <w:rFonts w:ascii="Times New Roman" w:hAnsi="Times New Roman" w:hint="eastAsia"/>
          <w:sz w:val="24"/>
        </w:rPr>
        <w:t xml:space="preserve"> </w:t>
      </w:r>
      <w:r>
        <w:rPr>
          <w:rFonts w:ascii="Times New Roman" w:hAnsi="Times New Roman"/>
          <w:sz w:val="24"/>
        </w:rPr>
        <w:t xml:space="preserve">that of </w:t>
      </w:r>
      <w:r>
        <w:rPr>
          <w:rFonts w:ascii="Times New Roman" w:hAnsi="Times New Roman" w:hint="eastAsia"/>
          <w:sz w:val="24"/>
        </w:rPr>
        <w:t>GAPDH.</w:t>
      </w:r>
    </w:p>
    <w:p w14:paraId="3F5A8A99" w14:textId="77777777" w:rsidR="001B13E9" w:rsidRDefault="001B13E9" w:rsidP="001B13E9">
      <w:pPr>
        <w:adjustRightInd w:val="0"/>
        <w:snapToGrid w:val="0"/>
        <w:spacing w:line="480" w:lineRule="auto"/>
        <w:rPr>
          <w:rFonts w:ascii="Times New Roman" w:hAnsi="Times New Roman"/>
          <w:b/>
          <w:bCs/>
          <w:sz w:val="24"/>
        </w:rPr>
      </w:pPr>
      <w:r>
        <w:rPr>
          <w:rFonts w:ascii="Times New Roman" w:hAnsi="Times New Roman"/>
          <w:b/>
          <w:bCs/>
          <w:sz w:val="24"/>
        </w:rPr>
        <w:t>Histopathological analysis</w:t>
      </w:r>
    </w:p>
    <w:p w14:paraId="0F83E813" w14:textId="77777777" w:rsidR="001B13E9" w:rsidRDefault="001B13E9" w:rsidP="001B13E9">
      <w:pPr>
        <w:adjustRightInd w:val="0"/>
        <w:snapToGrid w:val="0"/>
        <w:spacing w:line="480" w:lineRule="auto"/>
        <w:ind w:firstLine="420"/>
        <w:rPr>
          <w:rFonts w:ascii="Times New Roman" w:hAnsi="Times New Roman"/>
          <w:sz w:val="24"/>
        </w:rPr>
      </w:pPr>
      <w:r>
        <w:rPr>
          <w:rFonts w:ascii="Times New Roman" w:hAnsi="Times New Roman"/>
          <w:sz w:val="24"/>
        </w:rPr>
        <w:t>Paraffin-embedded prostate tissues were sectioned (5 μm)</w:t>
      </w:r>
      <w:r>
        <w:rPr>
          <w:rFonts w:ascii="Times New Roman" w:hAnsi="Times New Roman" w:hint="eastAsia"/>
          <w:sz w:val="24"/>
        </w:rPr>
        <w:t>.</w:t>
      </w:r>
      <w:r>
        <w:rPr>
          <w:rFonts w:ascii="Times New Roman" w:hAnsi="Times New Roman"/>
          <w:sz w:val="24"/>
        </w:rPr>
        <w:t xml:space="preserve"> </w:t>
      </w:r>
      <w:r>
        <w:rPr>
          <w:rFonts w:ascii="Times New Roman" w:hAnsi="Times New Roman" w:hint="eastAsia"/>
          <w:sz w:val="24"/>
        </w:rPr>
        <w:t>Following</w:t>
      </w:r>
      <w:r>
        <w:rPr>
          <w:rFonts w:ascii="Times New Roman" w:hAnsi="Times New Roman"/>
          <w:sz w:val="24"/>
        </w:rPr>
        <w:t xml:space="preserve"> dewaxing and rehydration, heat-mediated antigen </w:t>
      </w:r>
      <w:r>
        <w:rPr>
          <w:rFonts w:ascii="Times New Roman" w:hAnsi="Times New Roman" w:hint="eastAsia"/>
          <w:sz w:val="24"/>
        </w:rPr>
        <w:t>retrieval</w:t>
      </w:r>
      <w:r>
        <w:rPr>
          <w:rFonts w:ascii="Times New Roman" w:hAnsi="Times New Roman"/>
          <w:sz w:val="24"/>
        </w:rPr>
        <w:t xml:space="preserve"> was </w:t>
      </w:r>
      <w:r>
        <w:rPr>
          <w:rFonts w:ascii="Times New Roman" w:hAnsi="Times New Roman" w:hint="eastAsia"/>
          <w:sz w:val="24"/>
        </w:rPr>
        <w:t>conducted</w:t>
      </w:r>
      <w:r>
        <w:rPr>
          <w:rFonts w:ascii="Times New Roman" w:hAnsi="Times New Roman"/>
          <w:sz w:val="24"/>
        </w:rPr>
        <w:t xml:space="preserve"> using microwaves</w:t>
      </w:r>
      <w:r>
        <w:rPr>
          <w:rFonts w:ascii="Times New Roman" w:hAnsi="Times New Roman" w:hint="eastAsia"/>
          <w:sz w:val="24"/>
        </w:rPr>
        <w:t>,</w:t>
      </w:r>
      <w:r>
        <w:rPr>
          <w:rFonts w:ascii="Times New Roman" w:hAnsi="Times New Roman"/>
          <w:sz w:val="24"/>
        </w:rPr>
        <w:t xml:space="preserve"> and the endogenous peroxidase activity was inactivated with 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2</w:t>
      </w:r>
      <w:r>
        <w:rPr>
          <w:rFonts w:ascii="Times New Roman" w:hAnsi="Times New Roman"/>
          <w:sz w:val="24"/>
        </w:rPr>
        <w:t>.</w:t>
      </w:r>
      <w:r>
        <w:rPr>
          <w:rFonts w:ascii="Times New Roman" w:hAnsi="Times New Roman" w:hint="eastAsia"/>
          <w:sz w:val="24"/>
        </w:rPr>
        <w:t xml:space="preserve"> The sections were blocked using 5% normal goat serum for 60 min at room temperature (RM), followed by incubation with primary </w:t>
      </w:r>
      <w:r>
        <w:rPr>
          <w:rFonts w:ascii="Times New Roman" w:hAnsi="Times New Roman"/>
          <w:sz w:val="24"/>
        </w:rPr>
        <w:t>antibodies</w:t>
      </w:r>
      <w:r>
        <w:rPr>
          <w:rFonts w:ascii="Times New Roman" w:hAnsi="Times New Roman" w:hint="eastAsia"/>
          <w:sz w:val="24"/>
        </w:rPr>
        <w:t xml:space="preserve"> </w:t>
      </w:r>
      <w:r>
        <w:rPr>
          <w:rFonts w:ascii="Times New Roman" w:hAnsi="Times New Roman"/>
          <w:sz w:val="24"/>
        </w:rPr>
        <w:t>against</w:t>
      </w:r>
      <w:r>
        <w:rPr>
          <w:rFonts w:ascii="Times New Roman" w:hAnsi="Times New Roman" w:hint="eastAsia"/>
          <w:sz w:val="24"/>
        </w:rPr>
        <w:t xml:space="preserve"> CD4 (1:500, NBP1-19371, Novus Biological Inc., Littleton, CO, USA) at 4</w:t>
      </w:r>
      <w:r>
        <w:rPr>
          <w:rFonts w:ascii="Times New Roman" w:hAnsi="Times New Roman"/>
          <w:sz w:val="24"/>
        </w:rPr>
        <w:t>°</w:t>
      </w:r>
      <w:r>
        <w:rPr>
          <w:rFonts w:ascii="Times New Roman" w:hAnsi="Times New Roman" w:hint="eastAsia"/>
          <w:sz w:val="24"/>
        </w:rPr>
        <w:t xml:space="preserve">C. The sections were incubated with goat anti-rabbit IgG (H+L) (1:1000, A0208, </w:t>
      </w:r>
      <w:r>
        <w:rPr>
          <w:rFonts w:ascii="Times New Roman" w:hAnsi="Times New Roman"/>
          <w:sz w:val="24"/>
        </w:rPr>
        <w:t>Beyotime</w:t>
      </w:r>
      <w:r>
        <w:rPr>
          <w:rFonts w:ascii="Times New Roman" w:hAnsi="Times New Roman" w:hint="eastAsia"/>
          <w:sz w:val="24"/>
        </w:rPr>
        <w:t>) for 1 h</w:t>
      </w:r>
      <w:r>
        <w:rPr>
          <w:rFonts w:ascii="Times New Roman" w:hAnsi="Times New Roman"/>
          <w:sz w:val="24"/>
        </w:rPr>
        <w:t xml:space="preserve"> </w:t>
      </w:r>
      <w:r>
        <w:rPr>
          <w:rFonts w:ascii="Times New Roman" w:hAnsi="Times New Roman" w:hint="eastAsia"/>
          <w:sz w:val="24"/>
        </w:rPr>
        <w:t xml:space="preserve">at RM. DAB chromogenic solution was applied for the color development reaction, and the nuclei of the cells were </w:t>
      </w:r>
      <w:r>
        <w:rPr>
          <w:rFonts w:ascii="Times New Roman" w:hAnsi="Times New Roman"/>
          <w:sz w:val="24"/>
        </w:rPr>
        <w:t>counterstained</w:t>
      </w:r>
      <w:r>
        <w:rPr>
          <w:rFonts w:ascii="Times New Roman" w:hAnsi="Times New Roman" w:hint="eastAsia"/>
          <w:sz w:val="24"/>
        </w:rPr>
        <w:t xml:space="preserve"> </w:t>
      </w:r>
      <w:r>
        <w:rPr>
          <w:rFonts w:ascii="Times New Roman" w:hAnsi="Times New Roman"/>
          <w:sz w:val="24"/>
        </w:rPr>
        <w:t>with</w:t>
      </w:r>
      <w:r>
        <w:rPr>
          <w:rFonts w:ascii="Times New Roman" w:hAnsi="Times New Roman" w:hint="eastAsia"/>
          <w:sz w:val="24"/>
        </w:rPr>
        <w:t xml:space="preserve"> </w:t>
      </w:r>
      <w:r>
        <w:rPr>
          <w:rFonts w:ascii="Times New Roman" w:hAnsi="Times New Roman" w:hint="eastAsia"/>
          <w:sz w:val="24"/>
        </w:rPr>
        <w:lastRenderedPageBreak/>
        <w:t>hematoxylin (</w:t>
      </w:r>
      <w:r>
        <w:rPr>
          <w:rFonts w:ascii="Times New Roman" w:hAnsi="Times New Roman"/>
          <w:sz w:val="24"/>
        </w:rPr>
        <w:t>Beyotime</w:t>
      </w:r>
      <w:r>
        <w:rPr>
          <w:rFonts w:ascii="Times New Roman" w:hAnsi="Times New Roman" w:hint="eastAsia"/>
          <w:sz w:val="24"/>
        </w:rPr>
        <w:t>) and observed under a light microscope (Carl Zeiss, Oberkochen, Germany).</w:t>
      </w:r>
    </w:p>
    <w:p w14:paraId="526AE83C" w14:textId="77777777" w:rsidR="001B13E9" w:rsidRDefault="001B13E9" w:rsidP="001B13E9">
      <w:pPr>
        <w:adjustRightInd w:val="0"/>
        <w:snapToGrid w:val="0"/>
        <w:spacing w:line="480" w:lineRule="auto"/>
        <w:ind w:firstLine="420"/>
        <w:rPr>
          <w:rFonts w:ascii="Times New Roman" w:hAnsi="Times New Roman"/>
          <w:sz w:val="24"/>
        </w:rPr>
      </w:pPr>
      <w:r>
        <w:rPr>
          <w:rFonts w:ascii="Times New Roman" w:hAnsi="Times New Roman"/>
          <w:sz w:val="24"/>
        </w:rPr>
        <w:t xml:space="preserve">Pathological changes of the prostate in rats were detected using a </w:t>
      </w:r>
      <w:r>
        <w:rPr>
          <w:rFonts w:ascii="Times New Roman" w:hAnsi="Times New Roman" w:hint="eastAsia"/>
          <w:sz w:val="24"/>
        </w:rPr>
        <w:t>h</w:t>
      </w:r>
      <w:r>
        <w:rPr>
          <w:rFonts w:ascii="Times New Roman" w:hAnsi="Times New Roman"/>
          <w:sz w:val="24"/>
        </w:rPr>
        <w:t>ematoxylin</w:t>
      </w:r>
      <w:r>
        <w:rPr>
          <w:rFonts w:ascii="Times New Roman" w:hAnsi="Times New Roman" w:hint="eastAsia"/>
          <w:sz w:val="24"/>
        </w:rPr>
        <w:t>-e</w:t>
      </w:r>
      <w:r>
        <w:rPr>
          <w:rFonts w:ascii="Times New Roman" w:hAnsi="Times New Roman"/>
          <w:sz w:val="24"/>
        </w:rPr>
        <w:t xml:space="preserve">osin (HE) </w:t>
      </w:r>
      <w:r>
        <w:rPr>
          <w:rFonts w:ascii="Times New Roman" w:hAnsi="Times New Roman" w:hint="eastAsia"/>
          <w:sz w:val="24"/>
        </w:rPr>
        <w:t>s</w:t>
      </w:r>
      <w:r>
        <w:rPr>
          <w:rFonts w:ascii="Times New Roman" w:hAnsi="Times New Roman"/>
          <w:sz w:val="24"/>
        </w:rPr>
        <w:t xml:space="preserve">taining </w:t>
      </w:r>
      <w:r>
        <w:rPr>
          <w:rFonts w:ascii="Times New Roman" w:hAnsi="Times New Roman" w:hint="eastAsia"/>
          <w:sz w:val="24"/>
        </w:rPr>
        <w:t>k</w:t>
      </w:r>
      <w:r>
        <w:rPr>
          <w:rFonts w:ascii="Times New Roman" w:hAnsi="Times New Roman"/>
          <w:sz w:val="24"/>
        </w:rPr>
        <w:t>it (C0105S, Beyotime).</w:t>
      </w:r>
      <w:r>
        <w:rPr>
          <w:rFonts w:ascii="Times New Roman" w:hAnsi="Times New Roman" w:hint="eastAsia"/>
          <w:sz w:val="24"/>
        </w:rPr>
        <w:t xml:space="preserve"> After dewaxing and hydration, </w:t>
      </w:r>
      <w:r>
        <w:rPr>
          <w:rFonts w:ascii="Times New Roman" w:hAnsi="Times New Roman"/>
          <w:sz w:val="24"/>
        </w:rPr>
        <w:t xml:space="preserve">the </w:t>
      </w:r>
      <w:r>
        <w:rPr>
          <w:rFonts w:ascii="Times New Roman" w:hAnsi="Times New Roman" w:hint="eastAsia"/>
          <w:sz w:val="24"/>
        </w:rPr>
        <w:t xml:space="preserve">paraffin-embedded sections were stained with hematoxylin staining solution for 7 min and eosin staining solution for 1 min. </w:t>
      </w:r>
      <w:r>
        <w:rPr>
          <w:rFonts w:ascii="Times New Roman" w:hAnsi="Times New Roman"/>
          <w:sz w:val="24"/>
        </w:rPr>
        <w:t>Pathological</w:t>
      </w:r>
      <w:r>
        <w:rPr>
          <w:rFonts w:ascii="Times New Roman" w:hAnsi="Times New Roman" w:hint="eastAsia"/>
          <w:sz w:val="24"/>
        </w:rPr>
        <w:t xml:space="preserve"> changes in the prostate gland were observed under </w:t>
      </w:r>
      <w:r>
        <w:rPr>
          <w:rFonts w:ascii="Times New Roman" w:hAnsi="Times New Roman"/>
          <w:sz w:val="24"/>
        </w:rPr>
        <w:t>a</w:t>
      </w:r>
      <w:r>
        <w:rPr>
          <w:rFonts w:ascii="Times New Roman" w:hAnsi="Times New Roman" w:hint="eastAsia"/>
          <w:sz w:val="24"/>
        </w:rPr>
        <w:t xml:space="preserve"> light microscope.</w:t>
      </w:r>
    </w:p>
    <w:p w14:paraId="5B6E3CBF" w14:textId="67080855" w:rsidR="00237E03" w:rsidRPr="001E4B27" w:rsidRDefault="001E4B27" w:rsidP="00237E03">
      <w:pPr>
        <w:adjustRightInd w:val="0"/>
        <w:snapToGrid w:val="0"/>
        <w:spacing w:line="480" w:lineRule="auto"/>
        <w:rPr>
          <w:rFonts w:ascii="Times New Roman" w:hAnsi="Times New Roman" w:hint="eastAsia"/>
          <w:b/>
          <w:bCs/>
          <w:sz w:val="24"/>
        </w:rPr>
      </w:pPr>
      <w:r w:rsidRPr="001E4B27">
        <w:rPr>
          <w:rFonts w:ascii="Times New Roman" w:hAnsi="Times New Roman" w:hint="eastAsia"/>
          <w:b/>
          <w:bCs/>
          <w:sz w:val="24"/>
        </w:rPr>
        <w:t>Cytokine quantification</w:t>
      </w:r>
    </w:p>
    <w:p w14:paraId="1BF125C9" w14:textId="69A75B5F" w:rsidR="001B13E9" w:rsidRDefault="00237E03" w:rsidP="000C71C4">
      <w:pPr>
        <w:adjustRightInd w:val="0"/>
        <w:snapToGrid w:val="0"/>
        <w:spacing w:line="480" w:lineRule="auto"/>
        <w:ind w:firstLine="420"/>
        <w:rPr>
          <w:rFonts w:ascii="Times New Roman" w:hAnsi="Times New Roman" w:cs="Times New Roman"/>
          <w:sz w:val="24"/>
        </w:rPr>
      </w:pPr>
      <w:r w:rsidRPr="001925D7">
        <w:rPr>
          <w:rFonts w:ascii="Times New Roman" w:hAnsi="Times New Roman" w:cs="Times New Roman"/>
          <w:sz w:val="24"/>
        </w:rPr>
        <w:t xml:space="preserve">Rat prostate tissues were washed with phosphate-buffered saline (PBS). After weighing, the tissues were homogenized on ice by adding PBS supplemented with 1 mM PMSF to grind the tissues. The homogenate was centrifuged at 5000 × </w:t>
      </w:r>
      <w:r w:rsidRPr="001925D7">
        <w:rPr>
          <w:rFonts w:ascii="Times New Roman" w:hAnsi="Times New Roman" w:cs="Times New Roman"/>
          <w:i/>
          <w:iCs/>
          <w:sz w:val="24"/>
        </w:rPr>
        <w:t>g</w:t>
      </w:r>
      <w:r w:rsidRPr="001925D7">
        <w:rPr>
          <w:rFonts w:ascii="Times New Roman" w:hAnsi="Times New Roman" w:cs="Times New Roman"/>
          <w:sz w:val="24"/>
        </w:rPr>
        <w:t xml:space="preserve"> for 5 min, and the supernatant was harvested. </w:t>
      </w:r>
      <w:r w:rsidR="001925D7" w:rsidRPr="001925D7">
        <w:rPr>
          <w:rFonts w:ascii="Times New Roman" w:hAnsi="Times New Roman" w:cs="Times New Roman"/>
          <w:sz w:val="24"/>
        </w:rPr>
        <w:t xml:space="preserve">For the </w:t>
      </w:r>
      <w:r w:rsidR="001925D7" w:rsidRPr="001925D7">
        <w:rPr>
          <w:rFonts w:ascii="Times New Roman" w:hAnsi="Times New Roman" w:cs="Times New Roman"/>
          <w:i/>
          <w:iCs/>
          <w:sz w:val="24"/>
        </w:rPr>
        <w:t>in vitro</w:t>
      </w:r>
      <w:r w:rsidR="001925D7" w:rsidRPr="001925D7">
        <w:rPr>
          <w:rFonts w:ascii="Times New Roman" w:hAnsi="Times New Roman" w:cs="Times New Roman"/>
          <w:sz w:val="24"/>
        </w:rPr>
        <w:t xml:space="preserve"> experiments, CD4</w:t>
      </w:r>
      <w:r w:rsidR="001925D7" w:rsidRPr="001925D7">
        <w:rPr>
          <w:rFonts w:ascii="Times New Roman" w:hAnsi="Times New Roman" w:cs="Times New Roman"/>
          <w:sz w:val="24"/>
          <w:vertAlign w:val="superscript"/>
        </w:rPr>
        <w:t>+</w:t>
      </w:r>
      <w:r w:rsidR="001925D7" w:rsidRPr="001925D7">
        <w:rPr>
          <w:rFonts w:ascii="Times New Roman" w:hAnsi="Times New Roman" w:cs="Times New Roman"/>
          <w:sz w:val="24"/>
        </w:rPr>
        <w:t xml:space="preserve"> T cells were lysed on ice using RIPA lysis buffer containing protease inhibitors (Beyotime, Shanghai, China) and centrifuged at 3000 × </w:t>
      </w:r>
      <w:r w:rsidR="001925D7" w:rsidRPr="001925D7">
        <w:rPr>
          <w:rFonts w:ascii="Times New Roman" w:hAnsi="Times New Roman" w:cs="Times New Roman"/>
          <w:i/>
          <w:iCs/>
          <w:sz w:val="24"/>
        </w:rPr>
        <w:t>g</w:t>
      </w:r>
      <w:r w:rsidR="001925D7" w:rsidRPr="001925D7">
        <w:rPr>
          <w:rFonts w:ascii="Times New Roman" w:hAnsi="Times New Roman" w:cs="Times New Roman"/>
          <w:sz w:val="24"/>
        </w:rPr>
        <w:t xml:space="preserve"> at 4 °C for 10 min to collect the supernatant. </w:t>
      </w:r>
    </w:p>
    <w:p w14:paraId="180A541D" w14:textId="77777777" w:rsidR="00835EF5" w:rsidRDefault="00835EF5" w:rsidP="00835EF5">
      <w:pPr>
        <w:adjustRightInd w:val="0"/>
        <w:snapToGrid w:val="0"/>
        <w:spacing w:line="480" w:lineRule="auto"/>
        <w:rPr>
          <w:rFonts w:ascii="Times New Roman" w:hAnsi="Times New Roman"/>
          <w:b/>
          <w:bCs/>
          <w:sz w:val="24"/>
        </w:rPr>
      </w:pPr>
      <w:r>
        <w:rPr>
          <w:rFonts w:ascii="Times New Roman" w:hAnsi="Times New Roman"/>
          <w:b/>
          <w:bCs/>
          <w:sz w:val="24"/>
        </w:rPr>
        <w:t>Chromatin immunoprecipitation (ChIP)-qPCR assay</w:t>
      </w:r>
    </w:p>
    <w:p w14:paraId="4BF373FB" w14:textId="6AD4159A" w:rsidR="00835EF5" w:rsidRDefault="00835EF5" w:rsidP="000C71C4">
      <w:pPr>
        <w:adjustRightInd w:val="0"/>
        <w:snapToGrid w:val="0"/>
        <w:spacing w:line="480" w:lineRule="auto"/>
        <w:ind w:firstLine="420"/>
        <w:rPr>
          <w:rFonts w:ascii="Times New Roman" w:hAnsi="Times New Roman"/>
          <w:sz w:val="24"/>
        </w:rPr>
      </w:pPr>
      <w:r>
        <w:rPr>
          <w:rFonts w:ascii="Times New Roman" w:hAnsi="Times New Roman" w:hint="eastAsia"/>
          <w:sz w:val="24"/>
        </w:rPr>
        <w:t>Briefly, CD4</w:t>
      </w:r>
      <w:r>
        <w:rPr>
          <w:rFonts w:ascii="Times New Roman" w:hAnsi="Times New Roman" w:hint="eastAsia"/>
          <w:sz w:val="24"/>
          <w:vertAlign w:val="superscript"/>
        </w:rPr>
        <w:t>+</w:t>
      </w:r>
      <w:r>
        <w:rPr>
          <w:rFonts w:ascii="Times New Roman" w:hAnsi="Times New Roman" w:hint="eastAsia"/>
          <w:sz w:val="24"/>
        </w:rPr>
        <w:t xml:space="preserve"> T cells were incubated with 1% paraformaldehyde for 10 min at RM to crosslink proteins to DNA, and the reaction was terminated </w:t>
      </w:r>
      <w:r>
        <w:rPr>
          <w:rFonts w:ascii="Times New Roman" w:hAnsi="Times New Roman"/>
          <w:sz w:val="24"/>
        </w:rPr>
        <w:t>using</w:t>
      </w:r>
      <w:r>
        <w:rPr>
          <w:rFonts w:ascii="Times New Roman" w:hAnsi="Times New Roman" w:hint="eastAsia"/>
          <w:sz w:val="24"/>
        </w:rPr>
        <w:t xml:space="preserve"> glycine. DNA was detached with micrococcal nuclease </w:t>
      </w:r>
      <w:r>
        <w:rPr>
          <w:rFonts w:ascii="Times New Roman" w:hAnsi="Times New Roman"/>
          <w:sz w:val="24"/>
        </w:rPr>
        <w:t xml:space="preserve">for 20 min at 37°C </w:t>
      </w:r>
      <w:r>
        <w:rPr>
          <w:rFonts w:ascii="Times New Roman" w:hAnsi="Times New Roman" w:hint="eastAsia"/>
          <w:sz w:val="24"/>
        </w:rPr>
        <w:t xml:space="preserve">to 150-900 bp. Chromatin samples were </w:t>
      </w:r>
      <w:r>
        <w:rPr>
          <w:rFonts w:ascii="Times New Roman" w:hAnsi="Times New Roman"/>
          <w:sz w:val="24"/>
        </w:rPr>
        <w:t>probed</w:t>
      </w:r>
      <w:r>
        <w:rPr>
          <w:rFonts w:ascii="Times New Roman" w:hAnsi="Times New Roman" w:hint="eastAsia"/>
          <w:sz w:val="24"/>
        </w:rPr>
        <w:t xml:space="preserve"> with primary antibodies </w:t>
      </w:r>
      <w:r>
        <w:rPr>
          <w:rFonts w:ascii="Times New Roman" w:hAnsi="Times New Roman"/>
          <w:sz w:val="24"/>
        </w:rPr>
        <w:t>against</w:t>
      </w:r>
      <w:r>
        <w:rPr>
          <w:rFonts w:ascii="Times New Roman" w:hAnsi="Times New Roman" w:hint="eastAsia"/>
          <w:sz w:val="24"/>
        </w:rPr>
        <w:t xml:space="preserve"> FOS (1:50, #31254, </w:t>
      </w:r>
      <w:r>
        <w:rPr>
          <w:rFonts w:ascii="Times New Roman" w:hAnsi="Times New Roman"/>
          <w:sz w:val="24"/>
        </w:rPr>
        <w:t>Cell Signaling Technologies</w:t>
      </w:r>
      <w:r>
        <w:rPr>
          <w:rFonts w:ascii="Times New Roman" w:hAnsi="Times New Roman" w:hint="eastAsia"/>
          <w:sz w:val="24"/>
        </w:rPr>
        <w:t xml:space="preserve">) and JUN (1:50, #9165, </w:t>
      </w:r>
      <w:r>
        <w:rPr>
          <w:rFonts w:ascii="Times New Roman" w:hAnsi="Times New Roman"/>
          <w:sz w:val="24"/>
        </w:rPr>
        <w:t>Cell Signaling Technologies</w:t>
      </w:r>
      <w:r>
        <w:rPr>
          <w:rFonts w:ascii="Times New Roman" w:hAnsi="Times New Roman" w:hint="eastAsia"/>
          <w:sz w:val="24"/>
        </w:rPr>
        <w:t>) overnight at 4</w:t>
      </w:r>
      <w:r>
        <w:rPr>
          <w:rFonts w:ascii="Times New Roman" w:hAnsi="Times New Roman"/>
          <w:sz w:val="24"/>
        </w:rPr>
        <w:t>°</w:t>
      </w:r>
      <w:r>
        <w:rPr>
          <w:rFonts w:ascii="Times New Roman" w:hAnsi="Times New Roman" w:hint="eastAsia"/>
          <w:sz w:val="24"/>
        </w:rPr>
        <w:t>C</w:t>
      </w:r>
      <w:r>
        <w:rPr>
          <w:rFonts w:ascii="Times New Roman" w:hAnsi="Times New Roman"/>
          <w:sz w:val="24"/>
        </w:rPr>
        <w:t>. Normal</w:t>
      </w:r>
      <w:r>
        <w:rPr>
          <w:rFonts w:ascii="Times New Roman" w:hAnsi="Times New Roman" w:hint="eastAsia"/>
          <w:sz w:val="24"/>
        </w:rPr>
        <w:t xml:space="preserve"> rabbit IgG </w:t>
      </w:r>
      <w:r>
        <w:rPr>
          <w:rFonts w:ascii="Times New Roman" w:hAnsi="Times New Roman"/>
          <w:sz w:val="24"/>
        </w:rPr>
        <w:t xml:space="preserve">was used </w:t>
      </w:r>
      <w:r>
        <w:rPr>
          <w:rFonts w:ascii="Times New Roman" w:hAnsi="Times New Roman" w:hint="eastAsia"/>
          <w:sz w:val="24"/>
        </w:rPr>
        <w:t>as a negative control. Chromatin-protein complexes were precipitated by the addition of Protein G magnetic beads and incubation at 4</w:t>
      </w:r>
      <w:r>
        <w:rPr>
          <w:rFonts w:ascii="Times New Roman" w:hAnsi="Times New Roman"/>
          <w:sz w:val="24"/>
        </w:rPr>
        <w:t>°C</w:t>
      </w:r>
      <w:r>
        <w:rPr>
          <w:rFonts w:ascii="Times New Roman" w:hAnsi="Times New Roman" w:hint="eastAsia"/>
          <w:sz w:val="24"/>
        </w:rPr>
        <w:t xml:space="preserve"> for 2 h. Chromatin was eluted using ChIP elution buffer, and crosslinking was reversed using NaCl. The chromatin was then recovered and purified, and the enrichment of the KCNN4 promoter fragment was detected by qPCR. </w:t>
      </w:r>
    </w:p>
    <w:p w14:paraId="0E373CF8" w14:textId="77777777" w:rsidR="00E66B07" w:rsidRDefault="00E66B07" w:rsidP="00E66B07">
      <w:pPr>
        <w:adjustRightInd w:val="0"/>
        <w:snapToGrid w:val="0"/>
        <w:spacing w:line="480" w:lineRule="auto"/>
        <w:rPr>
          <w:rFonts w:ascii="Times New Roman" w:hAnsi="Times New Roman"/>
          <w:b/>
          <w:bCs/>
          <w:sz w:val="24"/>
        </w:rPr>
      </w:pPr>
      <w:r>
        <w:rPr>
          <w:rFonts w:ascii="Times New Roman" w:hAnsi="Times New Roman" w:hint="eastAsia"/>
          <w:b/>
          <w:bCs/>
          <w:sz w:val="24"/>
        </w:rPr>
        <w:t>F</w:t>
      </w:r>
      <w:r>
        <w:rPr>
          <w:rFonts w:ascii="Times New Roman" w:hAnsi="Times New Roman"/>
          <w:b/>
          <w:bCs/>
          <w:sz w:val="24"/>
        </w:rPr>
        <w:t>low cytometry</w:t>
      </w:r>
    </w:p>
    <w:p w14:paraId="782A9C87" w14:textId="1B861DBB" w:rsidR="00E66B07" w:rsidRPr="00E20C7D" w:rsidRDefault="00E20C7D" w:rsidP="00E66B07">
      <w:pPr>
        <w:adjustRightInd w:val="0"/>
        <w:snapToGrid w:val="0"/>
        <w:spacing w:line="480" w:lineRule="auto"/>
        <w:ind w:firstLine="420"/>
        <w:rPr>
          <w:rFonts w:ascii="Times New Roman" w:hAnsi="Times New Roman" w:cs="Times New Roman"/>
          <w:sz w:val="24"/>
        </w:rPr>
      </w:pPr>
      <w:r w:rsidRPr="00E20C7D">
        <w:rPr>
          <w:rFonts w:ascii="Times New Roman" w:hAnsi="Times New Roman" w:cs="Times New Roman"/>
          <w:sz w:val="24"/>
        </w:rPr>
        <w:t xml:space="preserve">Single-cell suspensions of isolated CD4+ T cells for intracellular staining </w:t>
      </w:r>
      <w:r w:rsidR="00E66B07" w:rsidRPr="00E20C7D">
        <w:rPr>
          <w:rFonts w:ascii="Times New Roman" w:hAnsi="Times New Roman" w:cs="Times New Roman"/>
          <w:sz w:val="24"/>
        </w:rPr>
        <w:t xml:space="preserve">were prepared in a Cell Staining Buffer (420201, BioLegend, San Diego, CA, USA). After fixation and permeabilization of the cells using </w:t>
      </w:r>
      <w:proofErr w:type="spellStart"/>
      <w:r w:rsidR="00E66B07" w:rsidRPr="00E20C7D">
        <w:rPr>
          <w:rFonts w:ascii="Times New Roman" w:hAnsi="Times New Roman" w:cs="Times New Roman"/>
          <w:sz w:val="24"/>
        </w:rPr>
        <w:t>Cytofix</w:t>
      </w:r>
      <w:proofErr w:type="spellEnd"/>
      <w:r w:rsidR="00E66B07" w:rsidRPr="00E20C7D">
        <w:rPr>
          <w:rFonts w:ascii="Times New Roman" w:hAnsi="Times New Roman" w:cs="Times New Roman"/>
          <w:sz w:val="24"/>
        </w:rPr>
        <w:t>/</w:t>
      </w:r>
      <w:proofErr w:type="spellStart"/>
      <w:r w:rsidR="00E66B07" w:rsidRPr="00E20C7D">
        <w:rPr>
          <w:rFonts w:ascii="Times New Roman" w:hAnsi="Times New Roman" w:cs="Times New Roman"/>
          <w:sz w:val="24"/>
        </w:rPr>
        <w:t>Cytoperm</w:t>
      </w:r>
      <w:proofErr w:type="spellEnd"/>
      <w:r w:rsidR="00E66B07" w:rsidRPr="00E20C7D">
        <w:rPr>
          <w:rFonts w:ascii="Times New Roman" w:hAnsi="Times New Roman" w:cs="Times New Roman"/>
          <w:sz w:val="24"/>
        </w:rPr>
        <w:t xml:space="preserve"> Fixation and Permeabilization Solution (BD Biosciences, San Jose, </w:t>
      </w:r>
      <w:r w:rsidR="00E66B07" w:rsidRPr="00E20C7D">
        <w:rPr>
          <w:rFonts w:ascii="Times New Roman" w:hAnsi="Times New Roman" w:cs="Times New Roman"/>
          <w:sz w:val="24"/>
        </w:rPr>
        <w:lastRenderedPageBreak/>
        <w:t>CA, USA), the cells were probed with primary antibodies against PE anti-human IFN-γ (383403, BioLegend), APC anti-human IL-17A (512333, BioLegend), PE anti-rat IFN-γ (507806, BioLegend), or APC anti-rat IL-17A (17-7177-81, Invitrogen) for 1 h at 4°C in darkness and assessed by flow cytometry.</w:t>
      </w:r>
    </w:p>
    <w:p w14:paraId="609D50F2" w14:textId="77777777" w:rsidR="00E66B07" w:rsidRPr="00E66B07" w:rsidRDefault="00E66B07" w:rsidP="000C71C4">
      <w:pPr>
        <w:adjustRightInd w:val="0"/>
        <w:snapToGrid w:val="0"/>
        <w:spacing w:line="480" w:lineRule="auto"/>
        <w:ind w:firstLine="420"/>
        <w:rPr>
          <w:rFonts w:ascii="Times New Roman" w:hAnsi="Times New Roman" w:cs="Times New Roman"/>
          <w:sz w:val="24"/>
          <w:szCs w:val="24"/>
        </w:rPr>
      </w:pPr>
    </w:p>
    <w:sectPr w:rsidR="00E66B07" w:rsidRPr="00E66B07" w:rsidSect="004D350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CADA2" w14:textId="77777777" w:rsidR="00BA7B40" w:rsidRDefault="00BA7B40" w:rsidP="004D3504">
      <w:pPr>
        <w:rPr>
          <w:rFonts w:hint="eastAsia"/>
        </w:rPr>
      </w:pPr>
      <w:r>
        <w:separator/>
      </w:r>
    </w:p>
  </w:endnote>
  <w:endnote w:type="continuationSeparator" w:id="0">
    <w:p w14:paraId="6593CC20" w14:textId="77777777" w:rsidR="00BA7B40" w:rsidRDefault="00BA7B40" w:rsidP="004D35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5A344" w14:textId="77777777" w:rsidR="00BA7B40" w:rsidRDefault="00BA7B40" w:rsidP="004D3504">
      <w:pPr>
        <w:rPr>
          <w:rFonts w:hint="eastAsia"/>
        </w:rPr>
      </w:pPr>
      <w:r>
        <w:separator/>
      </w:r>
    </w:p>
  </w:footnote>
  <w:footnote w:type="continuationSeparator" w:id="0">
    <w:p w14:paraId="22CC6024" w14:textId="77777777" w:rsidR="00BA7B40" w:rsidRDefault="00BA7B40" w:rsidP="004D350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6B"/>
    <w:rsid w:val="000C71C4"/>
    <w:rsid w:val="001925D7"/>
    <w:rsid w:val="001B13E9"/>
    <w:rsid w:val="001E4B27"/>
    <w:rsid w:val="001F0EF9"/>
    <w:rsid w:val="00237E03"/>
    <w:rsid w:val="004D3504"/>
    <w:rsid w:val="00704A4B"/>
    <w:rsid w:val="00745ADA"/>
    <w:rsid w:val="00835EF5"/>
    <w:rsid w:val="00BA7B40"/>
    <w:rsid w:val="00E20C7D"/>
    <w:rsid w:val="00E66B07"/>
    <w:rsid w:val="00EE4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85426B"/>
  <w15:chartTrackingRefBased/>
  <w15:docId w15:val="{A8784F4D-DD4D-4DEA-B098-D2730CB0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3504"/>
    <w:pPr>
      <w:tabs>
        <w:tab w:val="center" w:pos="4153"/>
        <w:tab w:val="right" w:pos="8306"/>
      </w:tabs>
      <w:snapToGrid w:val="0"/>
      <w:jc w:val="center"/>
    </w:pPr>
    <w:rPr>
      <w:sz w:val="18"/>
      <w:szCs w:val="18"/>
    </w:rPr>
  </w:style>
  <w:style w:type="character" w:customStyle="1" w:styleId="a4">
    <w:name w:val="页眉 字符"/>
    <w:basedOn w:val="a0"/>
    <w:link w:val="a3"/>
    <w:uiPriority w:val="99"/>
    <w:rsid w:val="004D3504"/>
    <w:rPr>
      <w:sz w:val="18"/>
      <w:szCs w:val="18"/>
    </w:rPr>
  </w:style>
  <w:style w:type="paragraph" w:styleId="a5">
    <w:name w:val="footer"/>
    <w:basedOn w:val="a"/>
    <w:link w:val="a6"/>
    <w:uiPriority w:val="99"/>
    <w:unhideWhenUsed/>
    <w:rsid w:val="004D3504"/>
    <w:pPr>
      <w:tabs>
        <w:tab w:val="center" w:pos="4153"/>
        <w:tab w:val="right" w:pos="8306"/>
      </w:tabs>
      <w:snapToGrid w:val="0"/>
      <w:jc w:val="left"/>
    </w:pPr>
    <w:rPr>
      <w:sz w:val="18"/>
      <w:szCs w:val="18"/>
    </w:rPr>
  </w:style>
  <w:style w:type="character" w:customStyle="1" w:styleId="a6">
    <w:name w:val="页脚 字符"/>
    <w:basedOn w:val="a0"/>
    <w:link w:val="a5"/>
    <w:uiPriority w:val="99"/>
    <w:rsid w:val="004D35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286589">
      <w:bodyDiv w:val="1"/>
      <w:marLeft w:val="0"/>
      <w:marRight w:val="0"/>
      <w:marTop w:val="0"/>
      <w:marBottom w:val="0"/>
      <w:divBdr>
        <w:top w:val="none" w:sz="0" w:space="0" w:color="auto"/>
        <w:left w:val="none" w:sz="0" w:space="0" w:color="auto"/>
        <w:bottom w:val="none" w:sz="0" w:space="0" w:color="auto"/>
        <w:right w:val="none" w:sz="0" w:space="0" w:color="auto"/>
      </w:divBdr>
    </w:div>
    <w:div w:id="1420786652">
      <w:bodyDiv w:val="1"/>
      <w:marLeft w:val="0"/>
      <w:marRight w:val="0"/>
      <w:marTop w:val="0"/>
      <w:marBottom w:val="0"/>
      <w:divBdr>
        <w:top w:val="none" w:sz="0" w:space="0" w:color="auto"/>
        <w:left w:val="none" w:sz="0" w:space="0" w:color="auto"/>
        <w:bottom w:val="none" w:sz="0" w:space="0" w:color="auto"/>
        <w:right w:val="none" w:sz="0" w:space="0" w:color="auto"/>
      </w:divBdr>
    </w:div>
    <w:div w:id="1688864804">
      <w:bodyDiv w:val="1"/>
      <w:marLeft w:val="0"/>
      <w:marRight w:val="0"/>
      <w:marTop w:val="0"/>
      <w:marBottom w:val="0"/>
      <w:divBdr>
        <w:top w:val="none" w:sz="0" w:space="0" w:color="auto"/>
        <w:left w:val="none" w:sz="0" w:space="0" w:color="auto"/>
        <w:bottom w:val="none" w:sz="0" w:space="0" w:color="auto"/>
        <w:right w:val="none" w:sz="0" w:space="0" w:color="auto"/>
      </w:divBdr>
    </w:div>
    <w:div w:id="191169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647</Words>
  <Characters>3837</Characters>
  <Application>Microsoft Office Word</Application>
  <DocSecurity>0</DocSecurity>
  <Lines>55</Lines>
  <Paragraphs>14</Paragraphs>
  <ScaleCrop>false</ScaleCrop>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Administration</dc:creator>
  <cp:keywords/>
  <dc:description/>
  <cp:lastModifiedBy>. Administration</cp:lastModifiedBy>
  <cp:revision>11</cp:revision>
  <dcterms:created xsi:type="dcterms:W3CDTF">2024-12-02T07:23:00Z</dcterms:created>
  <dcterms:modified xsi:type="dcterms:W3CDTF">2024-12-02T08:00:00Z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82bb8c6ff486abd1f7050f8c62741b9a9d10ebd41d2a1acf8b95473614070bd9</vt:lpwstr>
  </property>
</Properties>
</file>