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503FD" w14:textId="1CD0D6CE" w:rsidR="00AA47EE" w:rsidRDefault="005A1002" w:rsidP="005A1002">
      <w:pPr>
        <w:spacing w:line="360" w:lineRule="auto"/>
        <w:rPr>
          <w:rFonts w:ascii="Arial" w:hAnsi="Arial" w:cs="Arial"/>
          <w:b/>
          <w:bCs/>
          <w:sz w:val="24"/>
          <w:szCs w:val="24"/>
        </w:rPr>
      </w:pPr>
      <w:r w:rsidRPr="005A1002">
        <w:rPr>
          <w:rFonts w:ascii="Arial" w:hAnsi="Arial" w:cs="Arial"/>
          <w:b/>
          <w:bCs/>
          <w:sz w:val="24"/>
          <w:szCs w:val="24"/>
        </w:rPr>
        <w:t>Supplementary Materials</w:t>
      </w:r>
    </w:p>
    <w:p w14:paraId="12CD4B4B" w14:textId="77777777" w:rsidR="00AF3D08" w:rsidRPr="005A1002" w:rsidRDefault="00AF3D08" w:rsidP="005A1002">
      <w:pPr>
        <w:spacing w:line="360" w:lineRule="auto"/>
        <w:rPr>
          <w:rFonts w:ascii="Arial" w:hAnsi="Arial" w:cs="Arial"/>
          <w:b/>
          <w:bCs/>
          <w:sz w:val="24"/>
          <w:szCs w:val="24"/>
        </w:rPr>
      </w:pPr>
    </w:p>
    <w:p w14:paraId="55355428" w14:textId="77777777" w:rsidR="005A1002" w:rsidRPr="00307305" w:rsidRDefault="005A1002" w:rsidP="005A1002">
      <w:pPr>
        <w:spacing w:line="360" w:lineRule="auto"/>
        <w:rPr>
          <w:rFonts w:ascii="Arial" w:hAnsi="Arial" w:cs="Arial"/>
          <w:b/>
          <w:bCs/>
          <w:color w:val="000000" w:themeColor="text1"/>
          <w:sz w:val="24"/>
        </w:rPr>
      </w:pPr>
      <w:r w:rsidRPr="00307305">
        <w:rPr>
          <w:rFonts w:ascii="Arial" w:hAnsi="Arial" w:cs="Arial"/>
          <w:b/>
          <w:bCs/>
          <w:color w:val="000000" w:themeColor="text1"/>
          <w:sz w:val="24"/>
        </w:rPr>
        <w:t>Fecal sample collection and DNA amplification</w:t>
      </w:r>
    </w:p>
    <w:p w14:paraId="79EA6788" w14:textId="781DEDA5" w:rsidR="005A1002" w:rsidRPr="00307305" w:rsidRDefault="005A1002" w:rsidP="005A1002">
      <w:pPr>
        <w:spacing w:line="360" w:lineRule="auto"/>
        <w:rPr>
          <w:rFonts w:ascii="Arial" w:hAnsi="Arial" w:cs="Arial"/>
          <w:color w:val="000000" w:themeColor="text1"/>
          <w:sz w:val="24"/>
        </w:rPr>
      </w:pPr>
      <w:r w:rsidRPr="00307305">
        <w:rPr>
          <w:rFonts w:ascii="Arial" w:hAnsi="Arial" w:cs="Arial"/>
          <w:color w:val="000000" w:themeColor="text1"/>
          <w:sz w:val="24"/>
        </w:rPr>
        <w:t>Fecal samples from the patients were collected and immediately frozen at −80°C. Bacterial DNA was extracted from these fecal samples using the E.Z.N.A. Soil DNA Kit (Omega Bio-</w:t>
      </w:r>
      <w:proofErr w:type="spellStart"/>
      <w:r w:rsidRPr="00307305">
        <w:rPr>
          <w:rFonts w:ascii="Arial" w:hAnsi="Arial" w:cs="Arial"/>
          <w:color w:val="000000" w:themeColor="text1"/>
          <w:sz w:val="24"/>
        </w:rPr>
        <w:t>tek</w:t>
      </w:r>
      <w:proofErr w:type="spellEnd"/>
      <w:r w:rsidRPr="00307305">
        <w:rPr>
          <w:rFonts w:ascii="Arial" w:hAnsi="Arial" w:cs="Arial"/>
          <w:color w:val="000000" w:themeColor="text1"/>
          <w:sz w:val="24"/>
        </w:rPr>
        <w:t xml:space="preserve">, Norcross, GA, USA). The V3–V4 hypervariable regions of the bacterial 16S rRNA gene were amplified using primers 338F (5′-ACTCCTACGGGAGGCAGCAG-3′) and 806R (5′-GGACTACHVGGGTWTCTAAT-3′) </w:t>
      </w:r>
      <w:r w:rsidRPr="00307305">
        <w:rPr>
          <w:rFonts w:ascii="Arial" w:hAnsi="Arial" w:cs="Arial"/>
          <w:color w:val="000000" w:themeColor="text1"/>
          <w:sz w:val="24"/>
        </w:rPr>
        <w:fldChar w:fldCharType="begin">
          <w:fldData xml:space="preserve">PEVuZE5vdGU+PENpdGU+PEF1dGhvcj5EYWk8L0F1dGhvcj48WWVhcj4yMDIyPC9ZZWFyPjxSZWNO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</w:fldData>
        </w:fldChar>
      </w:r>
      <w:r>
        <w:rPr>
          <w:rFonts w:ascii="Arial" w:hAnsi="Arial" w:cs="Arial"/>
          <w:color w:val="000000" w:themeColor="text1"/>
          <w:sz w:val="24"/>
        </w:rPr>
        <w:instrText xml:space="preserve"> ADDIN EN.CITE </w:instrText>
      </w:r>
      <w:r>
        <w:rPr>
          <w:rFonts w:ascii="Arial" w:hAnsi="Arial" w:cs="Arial"/>
          <w:color w:val="000000" w:themeColor="text1"/>
          <w:sz w:val="24"/>
        </w:rPr>
        <w:fldChar w:fldCharType="begin">
          <w:fldData xml:space="preserve">PEVuZE5vdGU+PENpdGU+PEF1dGhvcj5EYWk8L0F1dGhvcj48WWVhcj4yMDIyPC9ZZWFyPjxSZWNO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</w:fldData>
        </w:fldChar>
      </w:r>
      <w:r>
        <w:rPr>
          <w:rFonts w:ascii="Arial" w:hAnsi="Arial" w:cs="Arial"/>
          <w:color w:val="000000" w:themeColor="text1"/>
          <w:sz w:val="24"/>
        </w:rPr>
        <w:instrText xml:space="preserve"> ADDIN EN.CITE.DATA </w:instrText>
      </w:r>
      <w:r>
        <w:rPr>
          <w:rFonts w:ascii="Arial" w:hAnsi="Arial" w:cs="Arial"/>
          <w:color w:val="000000" w:themeColor="text1"/>
          <w:sz w:val="24"/>
        </w:rPr>
      </w:r>
      <w:r>
        <w:rPr>
          <w:rFonts w:ascii="Arial" w:hAnsi="Arial" w:cs="Arial"/>
          <w:color w:val="000000" w:themeColor="text1"/>
          <w:sz w:val="24"/>
        </w:rPr>
        <w:fldChar w:fldCharType="end"/>
      </w:r>
      <w:r w:rsidRPr="00307305">
        <w:rPr>
          <w:rFonts w:ascii="Arial" w:hAnsi="Arial" w:cs="Arial"/>
          <w:color w:val="000000" w:themeColor="text1"/>
          <w:sz w:val="24"/>
        </w:rPr>
      </w:r>
      <w:r w:rsidRPr="00307305">
        <w:rPr>
          <w:rFonts w:ascii="Arial" w:hAnsi="Arial" w:cs="Arial"/>
          <w:color w:val="000000" w:themeColor="text1"/>
          <w:sz w:val="24"/>
        </w:rPr>
        <w:fldChar w:fldCharType="separate"/>
      </w:r>
      <w:r>
        <w:rPr>
          <w:rFonts w:ascii="Arial" w:hAnsi="Arial" w:cs="Arial"/>
          <w:noProof/>
          <w:color w:val="000000" w:themeColor="text1"/>
          <w:sz w:val="24"/>
        </w:rPr>
        <w:t>(1)</w:t>
      </w:r>
      <w:r w:rsidRPr="00307305">
        <w:rPr>
          <w:rFonts w:ascii="Arial" w:hAnsi="Arial" w:cs="Arial"/>
          <w:color w:val="000000" w:themeColor="text1"/>
          <w:sz w:val="24"/>
        </w:rPr>
        <w:fldChar w:fldCharType="end"/>
      </w:r>
      <w:r w:rsidRPr="00307305">
        <w:rPr>
          <w:rFonts w:ascii="Arial" w:hAnsi="Arial" w:cs="Arial"/>
          <w:color w:val="000000" w:themeColor="text1"/>
          <w:sz w:val="24"/>
        </w:rPr>
        <w:t xml:space="preserve">. </w:t>
      </w:r>
    </w:p>
    <w:p w14:paraId="3092C6EA" w14:textId="77777777" w:rsidR="005A1002" w:rsidRPr="00307305" w:rsidRDefault="005A1002" w:rsidP="005A1002">
      <w:pPr>
        <w:spacing w:line="360" w:lineRule="auto"/>
        <w:rPr>
          <w:rFonts w:ascii="Arial" w:hAnsi="Arial" w:cs="Arial"/>
          <w:color w:val="000000" w:themeColor="text1"/>
          <w:sz w:val="24"/>
        </w:rPr>
      </w:pPr>
    </w:p>
    <w:p w14:paraId="09E5D840" w14:textId="77777777" w:rsidR="005A1002" w:rsidRPr="00307305" w:rsidRDefault="005A1002" w:rsidP="005A1002">
      <w:pPr>
        <w:spacing w:line="360" w:lineRule="auto"/>
        <w:rPr>
          <w:rFonts w:ascii="Arial" w:hAnsi="Arial" w:cs="Arial"/>
          <w:b/>
          <w:bCs/>
          <w:color w:val="000000" w:themeColor="text1"/>
          <w:sz w:val="24"/>
        </w:rPr>
      </w:pPr>
      <w:r w:rsidRPr="00307305">
        <w:rPr>
          <w:rFonts w:ascii="Arial" w:hAnsi="Arial" w:cs="Arial"/>
          <w:b/>
          <w:bCs/>
          <w:color w:val="000000" w:themeColor="text1"/>
          <w:sz w:val="24"/>
        </w:rPr>
        <w:t>16S rRNA sequencing and microbiome analysis</w:t>
      </w:r>
    </w:p>
    <w:p w14:paraId="51A5CF8A" w14:textId="77777777" w:rsidR="005A1002" w:rsidRPr="00307305" w:rsidRDefault="005A1002" w:rsidP="005A1002">
      <w:pPr>
        <w:spacing w:line="360" w:lineRule="auto"/>
        <w:rPr>
          <w:rFonts w:ascii="Arial" w:hAnsi="Arial" w:cs="Arial"/>
          <w:color w:val="000000" w:themeColor="text1"/>
          <w:sz w:val="24"/>
        </w:rPr>
      </w:pPr>
      <w:r w:rsidRPr="00307305">
        <w:rPr>
          <w:rFonts w:ascii="Arial" w:hAnsi="Arial" w:cs="Arial"/>
          <w:color w:val="000000" w:themeColor="text1"/>
          <w:sz w:val="24"/>
        </w:rPr>
        <w:t xml:space="preserve">Purified amplicons were pooled in equimolar ratios and paired-end sequenced (2 × 300 bp) on an Illumina </w:t>
      </w:r>
      <w:proofErr w:type="spellStart"/>
      <w:r w:rsidRPr="00307305">
        <w:rPr>
          <w:rFonts w:ascii="Arial" w:hAnsi="Arial" w:cs="Arial"/>
          <w:color w:val="000000" w:themeColor="text1"/>
          <w:sz w:val="24"/>
        </w:rPr>
        <w:t>MiSeq</w:t>
      </w:r>
      <w:proofErr w:type="spellEnd"/>
      <w:r w:rsidRPr="00307305">
        <w:rPr>
          <w:rFonts w:ascii="Arial" w:hAnsi="Arial" w:cs="Arial"/>
          <w:color w:val="000000" w:themeColor="text1"/>
          <w:sz w:val="24"/>
        </w:rPr>
        <w:t xml:space="preserve"> platform (Illumina, San Diego, USA). Raw </w:t>
      </w:r>
      <w:proofErr w:type="spellStart"/>
      <w:r w:rsidRPr="00307305">
        <w:rPr>
          <w:rFonts w:ascii="Arial" w:hAnsi="Arial" w:cs="Arial"/>
          <w:color w:val="000000" w:themeColor="text1"/>
          <w:sz w:val="24"/>
        </w:rPr>
        <w:t>fastq</w:t>
      </w:r>
      <w:proofErr w:type="spellEnd"/>
      <w:r w:rsidRPr="00307305">
        <w:rPr>
          <w:rFonts w:ascii="Arial" w:hAnsi="Arial" w:cs="Arial"/>
          <w:color w:val="000000" w:themeColor="text1"/>
          <w:sz w:val="24"/>
        </w:rPr>
        <w:t xml:space="preserve"> files were demultiplexed and quality-filtered using </w:t>
      </w:r>
      <w:proofErr w:type="spellStart"/>
      <w:r w:rsidRPr="00307305">
        <w:rPr>
          <w:rFonts w:ascii="Arial" w:hAnsi="Arial" w:cs="Arial"/>
          <w:color w:val="000000" w:themeColor="text1"/>
          <w:sz w:val="24"/>
        </w:rPr>
        <w:t>Trimmomatic</w:t>
      </w:r>
      <w:proofErr w:type="spellEnd"/>
      <w:r w:rsidRPr="00307305">
        <w:rPr>
          <w:rFonts w:ascii="Arial" w:hAnsi="Arial" w:cs="Arial"/>
          <w:color w:val="000000" w:themeColor="text1"/>
          <w:sz w:val="24"/>
        </w:rPr>
        <w:t>, then merged by FLASH with the following criteria: reads were truncated at any site receiving an average quality score of &lt;20 over a 50-bp sliding window; primers were matched allowing for two nucleotide mismatches, and reads containing ambiguous bases were removed; sequences with overlaps exceeding 10 bp were merged according to their overlapping sequences. Operational taxonomic units (OTUs) were clustered with a 97% similarity cutoff using UPARSE, and chimeric sequences were identified and removed using UCHIME. The taxonomy of each 16S rRNA gene sequence was assigned using the RDP Classifier algorithm against the Silva 16S rRNA database with a confidence threshold of 70%.</w:t>
      </w:r>
    </w:p>
    <w:p w14:paraId="6117B520" w14:textId="77777777" w:rsidR="005A1002" w:rsidRPr="00307305" w:rsidRDefault="005A1002" w:rsidP="005A1002">
      <w:pPr>
        <w:spacing w:line="360" w:lineRule="auto"/>
        <w:rPr>
          <w:rFonts w:ascii="Arial" w:hAnsi="Arial" w:cs="Arial"/>
          <w:color w:val="000000" w:themeColor="text1"/>
          <w:sz w:val="24"/>
        </w:rPr>
      </w:pPr>
    </w:p>
    <w:p w14:paraId="658C7E37" w14:textId="77777777" w:rsidR="005A1002" w:rsidRPr="00307305" w:rsidRDefault="005A1002" w:rsidP="005A1002">
      <w:pPr>
        <w:spacing w:line="360" w:lineRule="auto"/>
        <w:rPr>
          <w:rFonts w:ascii="Arial" w:hAnsi="Arial" w:cs="Arial"/>
          <w:b/>
          <w:bCs/>
          <w:color w:val="000000" w:themeColor="text1"/>
          <w:sz w:val="24"/>
        </w:rPr>
      </w:pPr>
      <w:r w:rsidRPr="00307305">
        <w:rPr>
          <w:rFonts w:ascii="Arial" w:hAnsi="Arial" w:cs="Arial"/>
          <w:b/>
          <w:bCs/>
          <w:color w:val="000000" w:themeColor="text1"/>
          <w:sz w:val="24"/>
        </w:rPr>
        <w:t>Metabolomic analysis</w:t>
      </w:r>
    </w:p>
    <w:p w14:paraId="59D2EBE8" w14:textId="77777777" w:rsidR="005A1002" w:rsidRPr="00307305" w:rsidRDefault="005A1002" w:rsidP="005A1002">
      <w:pPr>
        <w:spacing w:line="360" w:lineRule="auto"/>
        <w:rPr>
          <w:rFonts w:ascii="Arial" w:hAnsi="Arial" w:cs="Arial"/>
          <w:color w:val="000000" w:themeColor="text1"/>
          <w:sz w:val="24"/>
        </w:rPr>
      </w:pPr>
      <w:r w:rsidRPr="00307305">
        <w:rPr>
          <w:rFonts w:ascii="Arial" w:hAnsi="Arial" w:cs="Arial"/>
          <w:color w:val="000000" w:themeColor="text1"/>
          <w:sz w:val="24"/>
        </w:rPr>
        <w:t xml:space="preserve">Metabolomics analysis was performed using an AB Triple TOF 6600 mass spectrometer and an Agilent 1290 Infinity LC UHPLC system. Samples were thawed at 4°C, mixed with methanol/acetonitrile/water (2:2:1, v/v), vortexed, and centrifuged at -20°C for 10 minutes and at 14,000 g for 20 minutes at 4°C. </w:t>
      </w:r>
      <w:r w:rsidRPr="00307305">
        <w:rPr>
          <w:rFonts w:ascii="Arial" w:hAnsi="Arial" w:cs="Arial"/>
          <w:color w:val="000000" w:themeColor="text1"/>
          <w:sz w:val="24"/>
        </w:rPr>
        <w:lastRenderedPageBreak/>
        <w:t xml:space="preserve">The supernatant was vacuum-dried, reconstituted in acetonitrile/water (1:1, v/v), vortexed, and centrifuged again. The supernatant was analyzed on an Agilent 1290 Infinity LC UHPLC HILIC column with a flow rate of 0.5 mL/min. The gradient elution was as follows: 0-0.5 min, 95% B; 0.5-7 min, 95%-65% B; 7-8 min, 65%-40% B; 8-9 min, 40% B; 9-9.1 min, 40%-95% B; 9.1-12 min, 95% B. QC samples ensured system stability. Data were converted to </w:t>
      </w:r>
      <w:proofErr w:type="spellStart"/>
      <w:r w:rsidRPr="00307305">
        <w:rPr>
          <w:rFonts w:ascii="Arial" w:hAnsi="Arial" w:cs="Arial"/>
          <w:color w:val="000000" w:themeColor="text1"/>
          <w:sz w:val="24"/>
        </w:rPr>
        <w:t>mzXML</w:t>
      </w:r>
      <w:proofErr w:type="spellEnd"/>
      <w:r w:rsidRPr="00307305">
        <w:rPr>
          <w:rFonts w:ascii="Arial" w:hAnsi="Arial" w:cs="Arial"/>
          <w:color w:val="000000" w:themeColor="text1"/>
          <w:sz w:val="24"/>
        </w:rPr>
        <w:t xml:space="preserve"> format, processed with XCMS for peak alignment and extraction and analysis included univariate statistical analysis, multivariate statistical analysis, differential metabolite screening, and differential metabolite correlation analysis.</w:t>
      </w:r>
    </w:p>
    <w:p w14:paraId="0BB0FAA7" w14:textId="77777777" w:rsidR="005A1002" w:rsidRPr="00307305" w:rsidRDefault="005A1002" w:rsidP="005A1002">
      <w:pPr>
        <w:spacing w:line="360" w:lineRule="auto"/>
        <w:rPr>
          <w:rFonts w:ascii="Arial" w:hAnsi="Arial" w:cs="Arial"/>
          <w:color w:val="000000" w:themeColor="text1"/>
          <w:sz w:val="24"/>
        </w:rPr>
      </w:pPr>
    </w:p>
    <w:p w14:paraId="1F8C8434" w14:textId="77777777" w:rsidR="005A1002" w:rsidRPr="00307305" w:rsidRDefault="005A1002" w:rsidP="005A1002">
      <w:pPr>
        <w:spacing w:line="360" w:lineRule="auto"/>
        <w:rPr>
          <w:rFonts w:ascii="Arial" w:hAnsi="Arial" w:cs="Arial"/>
          <w:b/>
          <w:bCs/>
          <w:color w:val="000000" w:themeColor="text1"/>
          <w:sz w:val="24"/>
        </w:rPr>
      </w:pPr>
      <w:r w:rsidRPr="00307305">
        <w:rPr>
          <w:rFonts w:ascii="Arial" w:hAnsi="Arial" w:cs="Arial"/>
          <w:b/>
          <w:bCs/>
          <w:color w:val="000000" w:themeColor="text1"/>
          <w:sz w:val="24"/>
        </w:rPr>
        <w:t>Identification of differentially expressed genes (DEGs) from the GEO Database </w:t>
      </w:r>
    </w:p>
    <w:p w14:paraId="6CB886D2" w14:textId="77777777" w:rsidR="005A1002" w:rsidRPr="00307305" w:rsidRDefault="005A1002" w:rsidP="005A1002">
      <w:pPr>
        <w:spacing w:line="360" w:lineRule="auto"/>
        <w:rPr>
          <w:rFonts w:ascii="Arial" w:hAnsi="Arial" w:cs="Arial"/>
          <w:color w:val="000000" w:themeColor="text1"/>
          <w:sz w:val="24"/>
        </w:rPr>
      </w:pPr>
      <w:r w:rsidRPr="00307305">
        <w:rPr>
          <w:rFonts w:ascii="Arial" w:hAnsi="Arial" w:cs="Arial"/>
          <w:color w:val="000000" w:themeColor="text1"/>
          <w:sz w:val="24"/>
        </w:rPr>
        <w:t>The dataset GSE166239, which includes gene expression data from patients with Hypertensive Nephrosclerosis (HN) and Type 2 Diabetic Nephropathy (T2DN), was downloaded from the GEO database (</w:t>
      </w:r>
      <w:hyperlink r:id="rId6" w:tgtFrame="_new" w:history="1">
        <w:r w:rsidRPr="00307305">
          <w:rPr>
            <w:rFonts w:ascii="Arial" w:hAnsi="Arial" w:cs="Arial"/>
            <w:color w:val="000000" w:themeColor="text1"/>
            <w:sz w:val="24"/>
          </w:rPr>
          <w:t>https://www.ncbi.nlm.nih.gov/geo/</w:t>
        </w:r>
      </w:hyperlink>
      <w:r w:rsidRPr="00307305">
        <w:rPr>
          <w:rFonts w:ascii="Arial" w:hAnsi="Arial" w:cs="Arial"/>
          <w:color w:val="000000" w:themeColor="text1"/>
          <w:sz w:val="24"/>
        </w:rPr>
        <w:t xml:space="preserve">). The </w:t>
      </w:r>
      <w:proofErr w:type="spellStart"/>
      <w:r w:rsidRPr="00307305">
        <w:rPr>
          <w:rFonts w:ascii="Arial" w:hAnsi="Arial" w:cs="Arial"/>
          <w:color w:val="000000" w:themeColor="text1"/>
          <w:sz w:val="24"/>
        </w:rPr>
        <w:t>limma</w:t>
      </w:r>
      <w:proofErr w:type="spellEnd"/>
      <w:r w:rsidRPr="00307305">
        <w:rPr>
          <w:rFonts w:ascii="Arial" w:hAnsi="Arial" w:cs="Arial"/>
          <w:color w:val="000000" w:themeColor="text1"/>
          <w:sz w:val="24"/>
        </w:rPr>
        <w:t xml:space="preserve"> package was employed to identify DEGs between the HN group and the T2DN group, with the significance threshold set at P value &lt; 0.05 and |log2 fold change (FC)| &gt; 1. The ggplot2 and </w:t>
      </w:r>
      <w:proofErr w:type="spellStart"/>
      <w:r w:rsidRPr="00307305">
        <w:rPr>
          <w:rFonts w:ascii="Arial" w:hAnsi="Arial" w:cs="Arial"/>
          <w:color w:val="000000" w:themeColor="text1"/>
          <w:sz w:val="24"/>
        </w:rPr>
        <w:t>ComplexHeatmap</w:t>
      </w:r>
      <w:proofErr w:type="spellEnd"/>
      <w:r w:rsidRPr="00307305">
        <w:rPr>
          <w:rFonts w:ascii="Arial" w:hAnsi="Arial" w:cs="Arial"/>
          <w:color w:val="000000" w:themeColor="text1"/>
          <w:sz w:val="24"/>
        </w:rPr>
        <w:t xml:space="preserve"> packages were used for visualization.</w:t>
      </w:r>
    </w:p>
    <w:p w14:paraId="7E190E83" w14:textId="77777777" w:rsidR="005A1002" w:rsidRPr="00307305" w:rsidRDefault="005A1002" w:rsidP="005A1002">
      <w:pPr>
        <w:spacing w:line="360" w:lineRule="auto"/>
        <w:rPr>
          <w:rFonts w:ascii="Arial" w:hAnsi="Arial" w:cs="Arial"/>
          <w:color w:val="000000" w:themeColor="text1"/>
          <w:sz w:val="24"/>
        </w:rPr>
      </w:pPr>
    </w:p>
    <w:p w14:paraId="224EAAE8" w14:textId="77777777" w:rsidR="005A1002" w:rsidRPr="00307305" w:rsidRDefault="005A1002" w:rsidP="005A1002">
      <w:pPr>
        <w:spacing w:line="360" w:lineRule="auto"/>
        <w:rPr>
          <w:rFonts w:ascii="Arial" w:hAnsi="Arial" w:cs="Arial"/>
          <w:b/>
          <w:bCs/>
          <w:color w:val="000000" w:themeColor="text1"/>
          <w:sz w:val="24"/>
        </w:rPr>
      </w:pPr>
      <w:r w:rsidRPr="00307305">
        <w:rPr>
          <w:rFonts w:ascii="Arial" w:hAnsi="Arial" w:cs="Arial"/>
          <w:b/>
          <w:bCs/>
          <w:color w:val="000000" w:themeColor="text1"/>
          <w:sz w:val="24"/>
        </w:rPr>
        <w:t>KEGG and GO enrichment analysis</w:t>
      </w:r>
    </w:p>
    <w:p w14:paraId="3EFF4EBD" w14:textId="77777777" w:rsidR="005A1002" w:rsidRPr="00307305" w:rsidRDefault="005A1002" w:rsidP="005A1002">
      <w:pPr>
        <w:spacing w:line="360" w:lineRule="auto"/>
        <w:rPr>
          <w:rFonts w:ascii="Arial" w:hAnsi="Arial" w:cs="Arial"/>
          <w:color w:val="000000" w:themeColor="text1"/>
          <w:sz w:val="24"/>
        </w:rPr>
      </w:pPr>
      <w:r w:rsidRPr="00307305">
        <w:rPr>
          <w:rFonts w:ascii="Arial" w:hAnsi="Arial" w:cs="Arial"/>
          <w:color w:val="000000" w:themeColor="text1"/>
          <w:sz w:val="24"/>
        </w:rPr>
        <w:t xml:space="preserve">Using the </w:t>
      </w:r>
      <w:proofErr w:type="spellStart"/>
      <w:r w:rsidRPr="00307305">
        <w:rPr>
          <w:rFonts w:ascii="Arial" w:hAnsi="Arial" w:cs="Arial"/>
          <w:color w:val="000000" w:themeColor="text1"/>
          <w:sz w:val="24"/>
        </w:rPr>
        <w:t>clusterProfiler</w:t>
      </w:r>
      <w:proofErr w:type="spellEnd"/>
      <w:r w:rsidRPr="00307305">
        <w:rPr>
          <w:rFonts w:ascii="Arial" w:hAnsi="Arial" w:cs="Arial"/>
          <w:color w:val="000000" w:themeColor="text1"/>
          <w:sz w:val="24"/>
        </w:rPr>
        <w:t xml:space="preserve"> package in R software, we conducted Gene Ontology (GO) term and Kyoto Encyclopedia of Genes and Genomes (KEGG) pathway analyses on DEGs. GO functions included biological process (BP), cellular component (CC), and molecular function (MF). The results were presented as bar charts.</w:t>
      </w:r>
    </w:p>
    <w:p w14:paraId="637C74EF" w14:textId="77777777" w:rsidR="005A1002" w:rsidRPr="00307305" w:rsidRDefault="005A1002" w:rsidP="005A1002">
      <w:pPr>
        <w:spacing w:line="360" w:lineRule="auto"/>
        <w:rPr>
          <w:rFonts w:ascii="Arial" w:hAnsi="Arial" w:cs="Arial"/>
          <w:color w:val="000000" w:themeColor="text1"/>
          <w:sz w:val="24"/>
        </w:rPr>
      </w:pPr>
    </w:p>
    <w:p w14:paraId="389EF195" w14:textId="77777777" w:rsidR="005A1002" w:rsidRPr="00307305" w:rsidRDefault="005A1002" w:rsidP="005A1002">
      <w:pPr>
        <w:spacing w:line="360" w:lineRule="auto"/>
        <w:rPr>
          <w:rFonts w:ascii="Arial" w:hAnsi="Arial" w:cs="Arial"/>
          <w:b/>
          <w:bCs/>
          <w:color w:val="000000" w:themeColor="text1"/>
          <w:sz w:val="24"/>
        </w:rPr>
      </w:pPr>
      <w:r w:rsidRPr="00307305">
        <w:rPr>
          <w:rFonts w:ascii="Arial" w:hAnsi="Arial" w:cs="Arial"/>
          <w:b/>
          <w:bCs/>
          <w:color w:val="000000" w:themeColor="text1"/>
          <w:sz w:val="24"/>
        </w:rPr>
        <w:t>Molecular docking</w:t>
      </w:r>
    </w:p>
    <w:p w14:paraId="44A6A52A" w14:textId="77777777" w:rsidR="005A1002" w:rsidRPr="00307305" w:rsidRDefault="005A1002" w:rsidP="005A1002">
      <w:pPr>
        <w:spacing w:line="360" w:lineRule="auto"/>
        <w:rPr>
          <w:rFonts w:ascii="Arial" w:hAnsi="Arial" w:cs="Arial"/>
          <w:color w:val="000000" w:themeColor="text1"/>
          <w:sz w:val="24"/>
        </w:rPr>
      </w:pPr>
      <w:r w:rsidRPr="00307305">
        <w:rPr>
          <w:rFonts w:ascii="Arial" w:hAnsi="Arial" w:cs="Arial"/>
          <w:color w:val="000000" w:themeColor="text1"/>
          <w:sz w:val="24"/>
        </w:rPr>
        <w:t xml:space="preserve">The structure of TMAO was obtained from the PubChem database (https://pubchem.ncbi.nlm.nih.gov/) and saved in mol2 format, imported into </w:t>
      </w:r>
      <w:proofErr w:type="spellStart"/>
      <w:r w:rsidRPr="00307305">
        <w:rPr>
          <w:rFonts w:ascii="Arial" w:hAnsi="Arial" w:cs="Arial"/>
          <w:color w:val="000000" w:themeColor="text1"/>
          <w:sz w:val="24"/>
        </w:rPr>
        <w:lastRenderedPageBreak/>
        <w:t>openbabel</w:t>
      </w:r>
      <w:proofErr w:type="spellEnd"/>
      <w:r w:rsidRPr="00307305">
        <w:rPr>
          <w:rFonts w:ascii="Arial" w:hAnsi="Arial" w:cs="Arial"/>
          <w:color w:val="000000" w:themeColor="text1"/>
          <w:sz w:val="24"/>
        </w:rPr>
        <w:t xml:space="preserve"> 2.4.1 software for file conversion, and exported in </w:t>
      </w:r>
      <w:proofErr w:type="spellStart"/>
      <w:r w:rsidRPr="00307305">
        <w:rPr>
          <w:rFonts w:ascii="Arial" w:hAnsi="Arial" w:cs="Arial"/>
          <w:color w:val="000000" w:themeColor="text1"/>
          <w:sz w:val="24"/>
        </w:rPr>
        <w:t>pdb</w:t>
      </w:r>
      <w:proofErr w:type="spellEnd"/>
      <w:r w:rsidRPr="00307305">
        <w:rPr>
          <w:rFonts w:ascii="Arial" w:hAnsi="Arial" w:cs="Arial"/>
          <w:color w:val="000000" w:themeColor="text1"/>
          <w:sz w:val="24"/>
        </w:rPr>
        <w:t xml:space="preserve"> format. The structure of PRSS3 was obtained from the Protein Data Bank (https://www.rcsb.org/) as </w:t>
      </w:r>
      <w:proofErr w:type="spellStart"/>
      <w:r w:rsidRPr="00307305">
        <w:rPr>
          <w:rFonts w:ascii="Arial" w:hAnsi="Arial" w:cs="Arial"/>
          <w:color w:val="000000" w:themeColor="text1"/>
          <w:sz w:val="24"/>
        </w:rPr>
        <w:t>pdb</w:t>
      </w:r>
      <w:proofErr w:type="spellEnd"/>
      <w:r w:rsidRPr="00307305">
        <w:rPr>
          <w:rFonts w:ascii="Arial" w:hAnsi="Arial" w:cs="Arial"/>
          <w:color w:val="000000" w:themeColor="text1"/>
          <w:sz w:val="24"/>
        </w:rPr>
        <w:t xml:space="preserve"> format files using the online CB-Dock2 database (http://clab.labshare.co.uk/cb-dock/php/index.php) for validation and </w:t>
      </w:r>
      <w:proofErr w:type="spellStart"/>
      <w:r w:rsidRPr="00307305">
        <w:rPr>
          <w:rFonts w:ascii="Arial" w:hAnsi="Arial" w:cs="Arial"/>
          <w:color w:val="000000" w:themeColor="text1"/>
          <w:sz w:val="24"/>
        </w:rPr>
        <w:t>visualisation</w:t>
      </w:r>
      <w:proofErr w:type="spellEnd"/>
      <w:r w:rsidRPr="00307305">
        <w:rPr>
          <w:rFonts w:ascii="Arial" w:hAnsi="Arial" w:cs="Arial"/>
          <w:color w:val="000000" w:themeColor="text1"/>
          <w:sz w:val="24"/>
        </w:rPr>
        <w:t xml:space="preserve"> analysis. The Vina score for the docking of TMAO with PRSS3 was calculated using the docking software </w:t>
      </w:r>
      <w:proofErr w:type="spellStart"/>
      <w:r w:rsidRPr="00307305">
        <w:rPr>
          <w:rFonts w:ascii="Arial" w:hAnsi="Arial" w:cs="Arial"/>
          <w:color w:val="000000" w:themeColor="text1"/>
          <w:sz w:val="24"/>
        </w:rPr>
        <w:t>Autodock</w:t>
      </w:r>
      <w:proofErr w:type="spellEnd"/>
      <w:r w:rsidRPr="00307305">
        <w:rPr>
          <w:rFonts w:ascii="Arial" w:hAnsi="Arial" w:cs="Arial"/>
          <w:color w:val="000000" w:themeColor="text1"/>
          <w:sz w:val="24"/>
        </w:rPr>
        <w:t xml:space="preserve"> Vina.</w:t>
      </w:r>
    </w:p>
    <w:p w14:paraId="7A785E5D" w14:textId="6E5D3CB6" w:rsidR="005A1002" w:rsidRDefault="005A1002" w:rsidP="005A1002">
      <w:pPr>
        <w:spacing w:line="360" w:lineRule="auto"/>
        <w:rPr>
          <w:rFonts w:ascii="Arial" w:hAnsi="Arial" w:cs="Arial"/>
          <w:sz w:val="24"/>
          <w:szCs w:val="24"/>
        </w:rPr>
      </w:pPr>
    </w:p>
    <w:p w14:paraId="7CC0299E" w14:textId="77777777" w:rsidR="005A1002" w:rsidRPr="00307305" w:rsidRDefault="005A1002" w:rsidP="005A1002">
      <w:pPr>
        <w:spacing w:line="360" w:lineRule="auto"/>
        <w:rPr>
          <w:rFonts w:ascii="Arial" w:hAnsi="Arial" w:cs="Arial"/>
          <w:b/>
          <w:bCs/>
          <w:color w:val="000000" w:themeColor="text1"/>
          <w:sz w:val="24"/>
        </w:rPr>
      </w:pPr>
      <w:r w:rsidRPr="00307305">
        <w:rPr>
          <w:rFonts w:ascii="Arial" w:hAnsi="Arial" w:cs="Arial"/>
          <w:b/>
          <w:bCs/>
          <w:color w:val="000000" w:themeColor="text1"/>
          <w:sz w:val="24"/>
        </w:rPr>
        <w:t>Cell viability assays</w:t>
      </w:r>
    </w:p>
    <w:p w14:paraId="0E0441DC" w14:textId="50A61723" w:rsidR="005A1002" w:rsidRPr="005A1002" w:rsidRDefault="005A1002" w:rsidP="005A1002">
      <w:pPr>
        <w:spacing w:line="360" w:lineRule="auto"/>
        <w:rPr>
          <w:rFonts w:ascii="Arial" w:hAnsi="Arial" w:cs="Arial"/>
          <w:color w:val="000000" w:themeColor="text1"/>
          <w:sz w:val="24"/>
        </w:rPr>
      </w:pPr>
      <w:r w:rsidRPr="00307305">
        <w:rPr>
          <w:rFonts w:ascii="Arial" w:hAnsi="Arial" w:cs="Arial"/>
          <w:color w:val="000000" w:themeColor="text1"/>
          <w:sz w:val="24"/>
        </w:rPr>
        <w:t>HK-2 cells were cultured under appropriate conditions. CFDA staining was performed by incubating the cells with pre-warmed (37°C) PBS containing 5 µM CFDA for 15 minutes. Following incubation, the cells were washed with PBS and the medium was replaced with fresh, pre-warmed medium. Fluorescence was measured using a fluorescence microscope with excitation at 485 nm and emission detection at 535 nm within 30 minutes of CFDA exposure. Viable cells retained CFDA and exhibited green fluorescence, whereas dead cells showed no fluorescence.</w:t>
      </w:r>
    </w:p>
    <w:p w14:paraId="67C7F2F2" w14:textId="77777777" w:rsidR="005A1002" w:rsidRDefault="005A1002" w:rsidP="005A1002">
      <w:pPr>
        <w:spacing w:line="360" w:lineRule="auto"/>
        <w:rPr>
          <w:rFonts w:ascii="Arial" w:hAnsi="Arial" w:cs="Arial"/>
          <w:b/>
          <w:bCs/>
          <w:color w:val="000000" w:themeColor="text1"/>
          <w:sz w:val="24"/>
        </w:rPr>
      </w:pPr>
    </w:p>
    <w:p w14:paraId="32261667" w14:textId="545F518A" w:rsidR="005A1002" w:rsidRPr="00307305" w:rsidRDefault="005A1002" w:rsidP="005A1002">
      <w:pPr>
        <w:spacing w:line="360" w:lineRule="auto"/>
        <w:rPr>
          <w:rFonts w:ascii="Arial" w:hAnsi="Arial" w:cs="Arial"/>
          <w:b/>
          <w:bCs/>
          <w:color w:val="000000" w:themeColor="text1"/>
          <w:sz w:val="24"/>
        </w:rPr>
      </w:pPr>
      <w:r w:rsidRPr="00307305">
        <w:rPr>
          <w:rFonts w:ascii="Arial" w:hAnsi="Arial" w:cs="Arial"/>
          <w:b/>
          <w:bCs/>
          <w:color w:val="000000" w:themeColor="text1"/>
          <w:sz w:val="24"/>
        </w:rPr>
        <w:t>Overexpression</w:t>
      </w:r>
    </w:p>
    <w:p w14:paraId="7A364994" w14:textId="77777777" w:rsidR="005A1002" w:rsidRPr="00307305" w:rsidRDefault="005A1002" w:rsidP="005A1002">
      <w:pPr>
        <w:spacing w:line="360" w:lineRule="auto"/>
        <w:rPr>
          <w:rFonts w:ascii="Arial" w:hAnsi="Arial" w:cs="Arial"/>
          <w:color w:val="000000" w:themeColor="text1"/>
          <w:sz w:val="24"/>
        </w:rPr>
      </w:pPr>
      <w:r w:rsidRPr="00655A4F">
        <w:rPr>
          <w:rFonts w:ascii="Arial" w:hAnsi="Arial" w:cs="Arial"/>
          <w:i/>
          <w:iCs/>
          <w:color w:val="000000" w:themeColor="text1"/>
          <w:sz w:val="24"/>
        </w:rPr>
        <w:t>In vitro</w:t>
      </w:r>
      <w:r w:rsidRPr="00307305">
        <w:rPr>
          <w:rFonts w:ascii="Arial" w:hAnsi="Arial" w:cs="Arial"/>
          <w:color w:val="000000" w:themeColor="text1"/>
          <w:sz w:val="24"/>
        </w:rPr>
        <w:t xml:space="preserve"> overexpression was achieved in HK-2 cells by infecting them with lentiviral control (LV-</w:t>
      </w:r>
      <w:proofErr w:type="spellStart"/>
      <w:r w:rsidRPr="00307305">
        <w:rPr>
          <w:rFonts w:ascii="Arial" w:hAnsi="Arial" w:cs="Arial"/>
          <w:color w:val="000000" w:themeColor="text1"/>
          <w:sz w:val="24"/>
        </w:rPr>
        <w:t>shCtrl</w:t>
      </w:r>
      <w:proofErr w:type="spellEnd"/>
      <w:r w:rsidRPr="00307305">
        <w:rPr>
          <w:rFonts w:ascii="Arial" w:hAnsi="Arial" w:cs="Arial"/>
          <w:color w:val="000000" w:themeColor="text1"/>
          <w:sz w:val="24"/>
        </w:rPr>
        <w:t xml:space="preserve">) and LV-PRSS3. The lentiviral vectors were procured from </w:t>
      </w:r>
      <w:proofErr w:type="spellStart"/>
      <w:r w:rsidRPr="00307305">
        <w:rPr>
          <w:rFonts w:ascii="Arial" w:hAnsi="Arial" w:cs="Arial"/>
          <w:color w:val="000000" w:themeColor="text1"/>
          <w:sz w:val="24"/>
        </w:rPr>
        <w:t>GenePharma</w:t>
      </w:r>
      <w:proofErr w:type="spellEnd"/>
      <w:r w:rsidRPr="00307305">
        <w:rPr>
          <w:rFonts w:ascii="Arial" w:hAnsi="Arial" w:cs="Arial"/>
          <w:color w:val="000000" w:themeColor="text1"/>
          <w:sz w:val="24"/>
        </w:rPr>
        <w:t xml:space="preserve"> and transfected into HK-2 cells for 12 hours according to the manufacturer's instructions. Cells transfected with the indicated lentiviral vectors were cultured in complete medium supplemented with puromycin (3 </w:t>
      </w:r>
      <w:proofErr w:type="spellStart"/>
      <w:r w:rsidRPr="00307305">
        <w:rPr>
          <w:rFonts w:ascii="Arial" w:hAnsi="Arial" w:cs="Arial"/>
          <w:color w:val="000000" w:themeColor="text1"/>
          <w:sz w:val="24"/>
        </w:rPr>
        <w:t>μg</w:t>
      </w:r>
      <w:proofErr w:type="spellEnd"/>
      <w:r w:rsidRPr="00307305">
        <w:rPr>
          <w:rFonts w:ascii="Arial" w:hAnsi="Arial" w:cs="Arial"/>
          <w:color w:val="000000" w:themeColor="text1"/>
          <w:sz w:val="24"/>
        </w:rPr>
        <w:t xml:space="preserve">/mL). </w:t>
      </w:r>
      <w:r w:rsidRPr="00655A4F">
        <w:rPr>
          <w:rFonts w:ascii="Arial" w:hAnsi="Arial" w:cs="Arial"/>
          <w:i/>
          <w:iCs/>
          <w:color w:val="000000" w:themeColor="text1"/>
          <w:sz w:val="24"/>
        </w:rPr>
        <w:t>In vivo</w:t>
      </w:r>
      <w:r w:rsidRPr="00307305">
        <w:rPr>
          <w:rFonts w:ascii="Arial" w:hAnsi="Arial" w:cs="Arial"/>
          <w:color w:val="000000" w:themeColor="text1"/>
          <w:sz w:val="24"/>
        </w:rPr>
        <w:t xml:space="preserve"> overexpression was administered via tail vein injection of adeno-associated virus control (AAV-Ctrl) and AAV-PRSS3 into 10-week-old DKD model mice. Adeno-associated viruses were purchased from </w:t>
      </w:r>
      <w:proofErr w:type="spellStart"/>
      <w:r w:rsidRPr="00307305">
        <w:rPr>
          <w:rFonts w:ascii="Arial" w:hAnsi="Arial" w:cs="Arial"/>
          <w:color w:val="000000" w:themeColor="text1"/>
          <w:sz w:val="24"/>
        </w:rPr>
        <w:t>GenePharma</w:t>
      </w:r>
      <w:proofErr w:type="spellEnd"/>
      <w:r w:rsidRPr="00307305">
        <w:rPr>
          <w:rFonts w:ascii="Arial" w:hAnsi="Arial" w:cs="Arial"/>
          <w:color w:val="000000" w:themeColor="text1"/>
          <w:sz w:val="24"/>
        </w:rPr>
        <w:t xml:space="preserve">. Animals were sacrificed 2 weeks after injection, and urine, blood, and kidneys were harvested for further analyses. Transfection efficiency was confirmed by Western blot. Upon completion of the experiment, all mice were euthanized under isoflurane anesthesia. Blood samples and kidneys were </w:t>
      </w:r>
      <w:r w:rsidRPr="00307305">
        <w:rPr>
          <w:rFonts w:ascii="Arial" w:hAnsi="Arial" w:cs="Arial"/>
          <w:color w:val="000000" w:themeColor="text1"/>
          <w:sz w:val="24"/>
        </w:rPr>
        <w:lastRenderedPageBreak/>
        <w:t>collected; one kidney was cryopreserved at −80°C, while the other was fixed in 4% paraformaldehyde.</w:t>
      </w:r>
    </w:p>
    <w:p w14:paraId="09EF0882" w14:textId="77777777" w:rsidR="005A1002" w:rsidRPr="005A1002" w:rsidRDefault="005A1002" w:rsidP="005A1002">
      <w:pPr>
        <w:spacing w:line="360" w:lineRule="auto"/>
        <w:rPr>
          <w:rFonts w:ascii="Arial" w:hAnsi="Arial" w:cs="Arial"/>
          <w:sz w:val="24"/>
          <w:szCs w:val="24"/>
        </w:rPr>
      </w:pPr>
    </w:p>
    <w:p w14:paraId="4FD115DC" w14:textId="77777777" w:rsidR="005A1002" w:rsidRPr="00307305" w:rsidRDefault="005A1002" w:rsidP="005A1002">
      <w:pPr>
        <w:spacing w:line="360" w:lineRule="auto"/>
        <w:rPr>
          <w:rFonts w:ascii="Arial" w:hAnsi="Arial" w:cs="Arial"/>
          <w:b/>
          <w:bCs/>
          <w:color w:val="000000" w:themeColor="text1"/>
          <w:sz w:val="24"/>
        </w:rPr>
      </w:pPr>
      <w:r w:rsidRPr="00307305">
        <w:rPr>
          <w:rFonts w:ascii="Arial" w:hAnsi="Arial" w:cs="Arial"/>
          <w:b/>
          <w:bCs/>
          <w:color w:val="000000" w:themeColor="text1"/>
          <w:sz w:val="24"/>
        </w:rPr>
        <w:t>Enzyme-linked immunosorbent assay (ELISA)</w:t>
      </w:r>
    </w:p>
    <w:p w14:paraId="234072EA" w14:textId="77777777" w:rsidR="005A1002" w:rsidRPr="00307305" w:rsidRDefault="005A1002" w:rsidP="005A1002">
      <w:pPr>
        <w:spacing w:line="360" w:lineRule="auto"/>
        <w:rPr>
          <w:rFonts w:ascii="Arial" w:hAnsi="Arial" w:cs="Arial"/>
          <w:color w:val="000000" w:themeColor="text1"/>
          <w:sz w:val="24"/>
        </w:rPr>
      </w:pPr>
      <w:r w:rsidRPr="00307305">
        <w:rPr>
          <w:rFonts w:ascii="Arial" w:hAnsi="Arial" w:cs="Arial"/>
          <w:color w:val="000000" w:themeColor="text1"/>
          <w:sz w:val="24"/>
        </w:rPr>
        <w:t xml:space="preserve">Urine protein, urine creatinine, and urea nitrogen in urine and blood samples were examined using </w:t>
      </w:r>
      <w:r>
        <w:rPr>
          <w:rFonts w:ascii="Arial" w:hAnsi="Arial" w:cs="Arial" w:hint="eastAsia"/>
          <w:color w:val="000000" w:themeColor="text1"/>
          <w:sz w:val="24"/>
        </w:rPr>
        <w:t>a</w:t>
      </w:r>
      <w:r w:rsidRPr="00D319E5">
        <w:rPr>
          <w:rFonts w:ascii="Arial" w:hAnsi="Arial" w:cs="Arial"/>
          <w:color w:val="000000" w:themeColor="text1"/>
          <w:sz w:val="24"/>
        </w:rPr>
        <w:t>utomatic biochemical analyzer</w:t>
      </w:r>
      <w:r w:rsidRPr="00307305">
        <w:rPr>
          <w:rFonts w:ascii="Arial" w:hAnsi="Arial" w:cs="Arial"/>
          <w:color w:val="000000" w:themeColor="text1"/>
          <w:sz w:val="24"/>
        </w:rPr>
        <w:t xml:space="preserve"> according to the manufacturer's instructions. Inflammatory factor levels, including IL-1β, IL-6, IL-18, and TNF-α, are quantified in kidney tissue using an ELISA kit (</w:t>
      </w:r>
      <w:proofErr w:type="spellStart"/>
      <w:r w:rsidRPr="00307305">
        <w:rPr>
          <w:rFonts w:ascii="Arial" w:hAnsi="Arial" w:cs="Arial"/>
          <w:color w:val="000000" w:themeColor="text1"/>
          <w:sz w:val="24"/>
        </w:rPr>
        <w:t>Beyotime</w:t>
      </w:r>
      <w:proofErr w:type="spellEnd"/>
      <w:r w:rsidRPr="00307305">
        <w:rPr>
          <w:rFonts w:ascii="Arial" w:hAnsi="Arial" w:cs="Arial"/>
          <w:color w:val="000000" w:themeColor="text1"/>
          <w:sz w:val="24"/>
        </w:rPr>
        <w:t xml:space="preserve">, Shanghai) according to the manufacturer's procedure. </w:t>
      </w:r>
    </w:p>
    <w:p w14:paraId="7A853440" w14:textId="77777777" w:rsidR="005A1002" w:rsidRPr="00307305" w:rsidRDefault="005A1002" w:rsidP="005A1002">
      <w:pPr>
        <w:spacing w:line="360" w:lineRule="auto"/>
        <w:rPr>
          <w:rFonts w:ascii="Arial" w:hAnsi="Arial" w:cs="Arial"/>
          <w:color w:val="000000" w:themeColor="text1"/>
          <w:sz w:val="24"/>
        </w:rPr>
      </w:pPr>
    </w:p>
    <w:p w14:paraId="633272C2" w14:textId="77777777" w:rsidR="005A1002" w:rsidRPr="00307305" w:rsidRDefault="005A1002" w:rsidP="005A1002">
      <w:pPr>
        <w:spacing w:line="360" w:lineRule="auto"/>
        <w:rPr>
          <w:rFonts w:ascii="Arial" w:hAnsi="Arial" w:cs="Arial"/>
          <w:b/>
          <w:bCs/>
          <w:color w:val="000000" w:themeColor="text1"/>
          <w:sz w:val="24"/>
        </w:rPr>
      </w:pPr>
      <w:r w:rsidRPr="00307305">
        <w:rPr>
          <w:rFonts w:ascii="Arial" w:hAnsi="Arial" w:cs="Arial"/>
          <w:b/>
          <w:bCs/>
          <w:color w:val="000000" w:themeColor="text1"/>
          <w:sz w:val="24"/>
        </w:rPr>
        <w:t>Western blot</w:t>
      </w:r>
    </w:p>
    <w:p w14:paraId="216971E4" w14:textId="77777777" w:rsidR="005A1002" w:rsidRPr="00307305" w:rsidRDefault="005A1002" w:rsidP="005A1002">
      <w:pPr>
        <w:spacing w:line="360" w:lineRule="auto"/>
        <w:rPr>
          <w:rFonts w:ascii="Arial" w:hAnsi="Arial" w:cs="Arial"/>
          <w:color w:val="000000" w:themeColor="text1"/>
          <w:sz w:val="24"/>
        </w:rPr>
      </w:pPr>
      <w:r w:rsidRPr="00307305">
        <w:rPr>
          <w:rFonts w:ascii="Arial" w:hAnsi="Arial" w:cs="Arial"/>
          <w:color w:val="000000" w:themeColor="text1"/>
          <w:sz w:val="24"/>
        </w:rPr>
        <w:t xml:space="preserve">Renal tissue or HK-2 cells were lysed using a lysis buffer, protease inhibitor mixture, and phosphatase inhibitor mixture. The total protein content was quantified using the BCA protein assay kit (Thermo Fisher Scientific). The protein samples were subjected to polyacrylamide gel electrophoresis (SDS-PAGE) and subsequently transferred to cellulose nitrate membranes. To block non-specific binding, the membrane was treated with 5% skim milk at room temperature for 2 hours, then incubated overnight with specific primary antibodies: PRSS3 protein antibodies (PA5-103175; Thermo Fisher) and GAPDH antibody (60004-1-IG; </w:t>
      </w:r>
      <w:proofErr w:type="spellStart"/>
      <w:r w:rsidRPr="00307305">
        <w:rPr>
          <w:rFonts w:ascii="Arial" w:hAnsi="Arial" w:cs="Arial"/>
          <w:color w:val="000000" w:themeColor="text1"/>
          <w:sz w:val="24"/>
        </w:rPr>
        <w:t>Proteintech</w:t>
      </w:r>
      <w:proofErr w:type="spellEnd"/>
      <w:r w:rsidRPr="00307305">
        <w:rPr>
          <w:rFonts w:ascii="Arial" w:hAnsi="Arial" w:cs="Arial"/>
          <w:color w:val="000000" w:themeColor="text1"/>
          <w:sz w:val="24"/>
        </w:rPr>
        <w:t>). After washing with TBS-T three times, the membrane was incubated with the corresponding secondary antibody (1:10000) at 4°C for 2 hours. Fluorescence signals were detected using a chemiluminescence imaging system (</w:t>
      </w:r>
      <w:proofErr w:type="spellStart"/>
      <w:r w:rsidRPr="00307305">
        <w:rPr>
          <w:rFonts w:ascii="Arial" w:hAnsi="Arial" w:cs="Arial"/>
          <w:color w:val="000000" w:themeColor="text1"/>
          <w:sz w:val="24"/>
        </w:rPr>
        <w:t>ChemiDoc</w:t>
      </w:r>
      <w:proofErr w:type="spellEnd"/>
      <w:r w:rsidRPr="00307305">
        <w:rPr>
          <w:rFonts w:ascii="Arial" w:hAnsi="Arial" w:cs="Arial"/>
          <w:color w:val="000000" w:themeColor="text1"/>
          <w:sz w:val="24"/>
        </w:rPr>
        <w:t xml:space="preserve"> XRS+, Bio-Rad, USA) to detect chemiluminescence (ECL).</w:t>
      </w:r>
    </w:p>
    <w:p w14:paraId="3D6540B4" w14:textId="77777777" w:rsidR="005A1002" w:rsidRPr="00C06116" w:rsidRDefault="005A1002" w:rsidP="005A1002">
      <w:pPr>
        <w:spacing w:line="360" w:lineRule="auto"/>
        <w:rPr>
          <w:rFonts w:ascii="Arial" w:hAnsi="Arial" w:cs="Arial" w:hint="eastAsia"/>
          <w:sz w:val="24"/>
          <w:szCs w:val="24"/>
        </w:rPr>
      </w:pPr>
    </w:p>
    <w:p w14:paraId="0BA76FEB" w14:textId="16F28540" w:rsidR="005A1002" w:rsidRDefault="005A1002" w:rsidP="005A1002">
      <w:pPr>
        <w:spacing w:line="360" w:lineRule="auto"/>
        <w:rPr>
          <w:rFonts w:ascii="Arial" w:hAnsi="Arial" w:cs="Arial"/>
          <w:sz w:val="24"/>
          <w:szCs w:val="24"/>
        </w:rPr>
      </w:pPr>
      <w:r>
        <w:rPr>
          <w:rFonts w:ascii="Arial" w:hAnsi="Arial" w:cs="Arial" w:hint="eastAsia"/>
          <w:sz w:val="24"/>
          <w:szCs w:val="24"/>
        </w:rPr>
        <w:t>R</w:t>
      </w:r>
      <w:r>
        <w:rPr>
          <w:rFonts w:ascii="Arial" w:hAnsi="Arial" w:cs="Arial"/>
          <w:sz w:val="24"/>
          <w:szCs w:val="24"/>
        </w:rPr>
        <w:t>eferences:</w:t>
      </w:r>
    </w:p>
    <w:p w14:paraId="276F0FDB" w14:textId="77777777" w:rsidR="005A1002" w:rsidRPr="005A1002" w:rsidRDefault="005A1002" w:rsidP="005A1002">
      <w:pPr>
        <w:pStyle w:val="EndNoteBibliography"/>
        <w:rPr>
          <w:rFonts w:hint="eastAsia"/>
        </w:rPr>
      </w:pPr>
      <w:r>
        <w:rPr>
          <w:rFonts w:ascii="Arial" w:hAnsi="Arial" w:cs="Arial"/>
          <w:sz w:val="24"/>
          <w:szCs w:val="24"/>
        </w:rPr>
        <w:fldChar w:fldCharType="begin"/>
      </w:r>
      <w:r>
        <w:rPr>
          <w:rFonts w:ascii="Arial" w:hAnsi="Arial" w:cs="Arial"/>
          <w:sz w:val="24"/>
          <w:szCs w:val="24"/>
        </w:rPr>
        <w:instrText xml:space="preserve"> ADDIN EN.REFLIST </w:instrText>
      </w:r>
      <w:r>
        <w:rPr>
          <w:rFonts w:ascii="Arial" w:hAnsi="Arial" w:cs="Arial"/>
          <w:sz w:val="24"/>
          <w:szCs w:val="24"/>
        </w:rPr>
        <w:fldChar w:fldCharType="separate"/>
      </w:r>
      <w:r w:rsidRPr="005A1002">
        <w:t>1.</w:t>
      </w:r>
      <w:r w:rsidRPr="005A1002">
        <w:tab/>
        <w:t>Dai T, Wen D, Bates CT, Wu L, Guo X, Liu S, et al. Nutrient supply controls the linkage between species abundance and ecological interactions in marine bacterial communities. Nat Commun. 2022;13(1):175.</w:t>
      </w:r>
    </w:p>
    <w:p w14:paraId="450608D1" w14:textId="77F5B008" w:rsidR="005A1002" w:rsidRPr="005A1002" w:rsidRDefault="005A1002" w:rsidP="005A1002">
      <w:pPr>
        <w:spacing w:line="360" w:lineRule="auto"/>
        <w:rPr>
          <w:rFonts w:ascii="Arial" w:hAnsi="Arial" w:cs="Arial"/>
          <w:sz w:val="24"/>
          <w:szCs w:val="24"/>
        </w:rPr>
      </w:pPr>
      <w:r>
        <w:rPr>
          <w:rFonts w:ascii="Arial" w:hAnsi="Arial" w:cs="Arial"/>
          <w:sz w:val="24"/>
          <w:szCs w:val="24"/>
        </w:rPr>
        <w:fldChar w:fldCharType="end"/>
      </w:r>
    </w:p>
    <w:sectPr w:rsidR="005A1002" w:rsidRPr="005A10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62DD6" w14:textId="77777777" w:rsidR="00C06116" w:rsidRDefault="00C06116" w:rsidP="00C06116">
      <w:pPr>
        <w:rPr>
          <w:rFonts w:hint="eastAsia"/>
        </w:rPr>
      </w:pPr>
      <w:r>
        <w:separator/>
      </w:r>
    </w:p>
  </w:endnote>
  <w:endnote w:type="continuationSeparator" w:id="0">
    <w:p w14:paraId="1D668E17" w14:textId="77777777" w:rsidR="00C06116" w:rsidRDefault="00C06116" w:rsidP="00C0611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16CF" w14:textId="77777777" w:rsidR="00C06116" w:rsidRDefault="00C06116" w:rsidP="00C06116">
      <w:pPr>
        <w:rPr>
          <w:rFonts w:hint="eastAsia"/>
        </w:rPr>
      </w:pPr>
      <w:r>
        <w:separator/>
      </w:r>
    </w:p>
  </w:footnote>
  <w:footnote w:type="continuationSeparator" w:id="0">
    <w:p w14:paraId="1E0D20D1" w14:textId="77777777" w:rsidR="00C06116" w:rsidRDefault="00C06116" w:rsidP="00C0611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A1002"/>
    <w:rsid w:val="0047481D"/>
    <w:rsid w:val="005A1002"/>
    <w:rsid w:val="00AA47EE"/>
    <w:rsid w:val="00AF3D08"/>
    <w:rsid w:val="00C06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78602"/>
  <w15:chartTrackingRefBased/>
  <w15:docId w15:val="{B44AB827-515C-47FE-86C5-9600579C8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5A1002"/>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5A1002"/>
    <w:rPr>
      <w:rFonts w:ascii="等线" w:eastAsia="等线" w:hAnsi="等线"/>
      <w:noProof/>
      <w:sz w:val="20"/>
    </w:rPr>
  </w:style>
  <w:style w:type="paragraph" w:customStyle="1" w:styleId="EndNoteBibliography">
    <w:name w:val="EndNote Bibliography"/>
    <w:basedOn w:val="a"/>
    <w:link w:val="EndNoteBibliography0"/>
    <w:rsid w:val="005A1002"/>
    <w:rPr>
      <w:rFonts w:ascii="等线" w:eastAsia="等线" w:hAnsi="等线"/>
      <w:noProof/>
      <w:sz w:val="20"/>
    </w:rPr>
  </w:style>
  <w:style w:type="character" w:customStyle="1" w:styleId="EndNoteBibliography0">
    <w:name w:val="EndNote Bibliography 字符"/>
    <w:basedOn w:val="a0"/>
    <w:link w:val="EndNoteBibliography"/>
    <w:rsid w:val="005A1002"/>
    <w:rPr>
      <w:rFonts w:ascii="等线" w:eastAsia="等线" w:hAnsi="等线"/>
      <w:noProof/>
      <w:sz w:val="20"/>
    </w:rPr>
  </w:style>
  <w:style w:type="paragraph" w:styleId="a3">
    <w:name w:val="header"/>
    <w:basedOn w:val="a"/>
    <w:link w:val="a4"/>
    <w:uiPriority w:val="99"/>
    <w:unhideWhenUsed/>
    <w:rsid w:val="00C06116"/>
    <w:pPr>
      <w:tabs>
        <w:tab w:val="center" w:pos="4153"/>
        <w:tab w:val="right" w:pos="8306"/>
      </w:tabs>
      <w:snapToGrid w:val="0"/>
      <w:jc w:val="center"/>
    </w:pPr>
    <w:rPr>
      <w:sz w:val="18"/>
      <w:szCs w:val="18"/>
    </w:rPr>
  </w:style>
  <w:style w:type="character" w:customStyle="1" w:styleId="a4">
    <w:name w:val="页眉 字符"/>
    <w:basedOn w:val="a0"/>
    <w:link w:val="a3"/>
    <w:uiPriority w:val="99"/>
    <w:rsid w:val="00C06116"/>
    <w:rPr>
      <w:sz w:val="18"/>
      <w:szCs w:val="18"/>
    </w:rPr>
  </w:style>
  <w:style w:type="paragraph" w:styleId="a5">
    <w:name w:val="footer"/>
    <w:basedOn w:val="a"/>
    <w:link w:val="a6"/>
    <w:uiPriority w:val="99"/>
    <w:unhideWhenUsed/>
    <w:rsid w:val="00C06116"/>
    <w:pPr>
      <w:tabs>
        <w:tab w:val="center" w:pos="4153"/>
        <w:tab w:val="right" w:pos="8306"/>
      </w:tabs>
      <w:snapToGrid w:val="0"/>
      <w:jc w:val="left"/>
    </w:pPr>
    <w:rPr>
      <w:sz w:val="18"/>
      <w:szCs w:val="18"/>
    </w:rPr>
  </w:style>
  <w:style w:type="character" w:customStyle="1" w:styleId="a6">
    <w:name w:val="页脚 字符"/>
    <w:basedOn w:val="a0"/>
    <w:link w:val="a5"/>
    <w:uiPriority w:val="99"/>
    <w:rsid w:val="00C0611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geo/"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1060</Words>
  <Characters>6042</Characters>
  <Application>Microsoft Office Word</Application>
  <DocSecurity>0</DocSecurity>
  <Lines>50</Lines>
  <Paragraphs>14</Paragraphs>
  <ScaleCrop>false</ScaleCrop>
  <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 Y</dc:creator>
  <cp:keywords/>
  <dc:description/>
  <cp:lastModifiedBy>RASS</cp:lastModifiedBy>
  <cp:revision>3</cp:revision>
  <dcterms:created xsi:type="dcterms:W3CDTF">2025-03-14T02:41:00Z</dcterms:created>
  <dcterms:modified xsi:type="dcterms:W3CDTF">2025-03-17T03:03:00Z</dcterms:modified>
</cp:coreProperties>
</file>