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3405E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SUPPLEMENTARY FIGURES</w:t>
      </w:r>
    </w:p>
    <w:p w14:paraId="34EC1B7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eastAsia="en-US"/>
        </w:rPr>
        <w:drawing>
          <wp:inline distT="0" distB="0" distL="0" distR="0">
            <wp:extent cx="5274310" cy="6336665"/>
            <wp:effectExtent l="0" t="0" r="2540" b="6985"/>
            <wp:docPr id="82748403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484030" name="图片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3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0A28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</w:rPr>
        <w:t>S1</w:t>
      </w:r>
      <w:r>
        <w:rPr>
          <w:rFonts w:ascii="Times New Roman" w:hAnsi="Times New Roman"/>
          <w:sz w:val="24"/>
        </w:rPr>
        <w:t xml:space="preserve">. PTK2 expression is </w:t>
      </w:r>
      <w:r>
        <w:rPr>
          <w:rFonts w:ascii="Times New Roman" w:hAnsi="Times New Roman" w:cs="Times New Roman"/>
          <w:bCs/>
          <w:sz w:val="24"/>
          <w:szCs w:val="24"/>
        </w:rPr>
        <w:t>reduced</w:t>
      </w:r>
      <w:r>
        <w:rPr>
          <w:rFonts w:ascii="Times New Roman" w:hAnsi="Times New Roman"/>
          <w:sz w:val="24"/>
        </w:rPr>
        <w:t xml:space="preserve"> in ovariectomized </w:t>
      </w:r>
      <w:r>
        <w:rPr>
          <w:rFonts w:ascii="Times New Roman" w:hAnsi="Times New Roman" w:cs="Times New Roman"/>
          <w:bCs/>
          <w:sz w:val="24"/>
          <w:szCs w:val="24"/>
        </w:rPr>
        <w:t xml:space="preserve">(OVX) </w:t>
      </w:r>
      <w:r>
        <w:rPr>
          <w:rFonts w:ascii="Times New Roman" w:hAnsi="Times New Roman"/>
          <w:sz w:val="24"/>
        </w:rPr>
        <w:t xml:space="preserve">mice, and </w:t>
      </w:r>
      <w:r>
        <w:rPr>
          <w:rFonts w:ascii="Times New Roman" w:hAnsi="Times New Roman" w:cs="Times New Roman"/>
          <w:bCs/>
          <w:sz w:val="24"/>
          <w:szCs w:val="24"/>
        </w:rPr>
        <w:t xml:space="preserve">PTK2 </w:t>
      </w:r>
      <w:r>
        <w:rPr>
          <w:rFonts w:ascii="Times New Roman" w:hAnsi="Times New Roman"/>
          <w:sz w:val="24"/>
        </w:rPr>
        <w:t xml:space="preserve">overexpression </w:t>
      </w:r>
      <w:r>
        <w:rPr>
          <w:rFonts w:ascii="Times New Roman" w:hAnsi="Times New Roman" w:cs="Times New Roman"/>
          <w:bCs/>
          <w:sz w:val="24"/>
          <w:szCs w:val="24"/>
        </w:rPr>
        <w:t>alleviates erastin-induced</w:t>
      </w:r>
      <w:r>
        <w:rPr>
          <w:rFonts w:ascii="Times New Roman" w:hAnsi="Times New Roman"/>
          <w:sz w:val="24"/>
        </w:rPr>
        <w:t xml:space="preserve"> ferroptosis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0429B5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/>
          <w:sz w:val="24"/>
        </w:rPr>
        <w:t xml:space="preserve">d) PPI </w:t>
      </w:r>
      <w:r>
        <w:rPr>
          <w:rFonts w:ascii="Times New Roman" w:hAnsi="Times New Roman" w:cs="Times New Roman"/>
          <w:bCs/>
          <w:sz w:val="24"/>
          <w:szCs w:val="24"/>
        </w:rPr>
        <w:t>networks involving PTK2 constructed using STRING.</w:t>
      </w:r>
      <w:r>
        <w:rPr>
          <w:rFonts w:ascii="Times New Roman" w:hAnsi="Times New Roman"/>
          <w:sz w:val="24"/>
        </w:rPr>
        <w:t xml:space="preserve"> (e) </w:t>
      </w:r>
      <w:r>
        <w:rPr>
          <w:rFonts w:ascii="Times New Roman" w:hAnsi="Times New Roman" w:cs="Times New Roman"/>
          <w:bCs/>
          <w:sz w:val="24"/>
          <w:szCs w:val="24"/>
        </w:rPr>
        <w:t>PTK2 gene</w:t>
      </w:r>
      <w:r>
        <w:rPr>
          <w:rFonts w:ascii="Times New Roman" w:hAnsi="Times New Roman"/>
          <w:sz w:val="24"/>
        </w:rPr>
        <w:t xml:space="preserve"> expression </w:t>
      </w:r>
      <w:r>
        <w:rPr>
          <w:rFonts w:ascii="Times New Roman" w:hAnsi="Times New Roman" w:cs="Times New Roman"/>
          <w:bCs/>
          <w:sz w:val="24"/>
          <w:szCs w:val="24"/>
        </w:rPr>
        <w:t>from</w:t>
      </w:r>
      <w:r>
        <w:rPr>
          <w:rFonts w:ascii="Times New Roman" w:hAnsi="Times New Roman"/>
          <w:sz w:val="24"/>
        </w:rPr>
        <w:t xml:space="preserve"> RNA-seq </w:t>
      </w:r>
      <w:r>
        <w:rPr>
          <w:rFonts w:ascii="Times New Roman" w:hAnsi="Times New Roman" w:cs="Times New Roman"/>
          <w:bCs/>
          <w:sz w:val="24"/>
          <w:szCs w:val="24"/>
        </w:rPr>
        <w:t xml:space="preserve">data </w:t>
      </w:r>
      <w:r>
        <w:rPr>
          <w:rFonts w:ascii="Times New Roman" w:hAnsi="Times New Roman"/>
          <w:sz w:val="24"/>
        </w:rPr>
        <w:t>(n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w:r>
        <w:rPr>
          <w:rFonts w:ascii="Times New Roman" w:hAnsi="Times New Roman"/>
          <w:sz w:val="24"/>
        </w:rPr>
        <w:t xml:space="preserve">3). (f) PTK2 mRNA expression in OVX </w:t>
      </w:r>
      <w:r>
        <w:rPr>
          <w:rFonts w:ascii="Times New Roman" w:hAnsi="Times New Roman" w:cs="Times New Roman"/>
          <w:bCs/>
          <w:sz w:val="24"/>
          <w:szCs w:val="24"/>
        </w:rPr>
        <w:t>mouse bone tissue analyzed via</w:t>
      </w:r>
      <w:r>
        <w:rPr>
          <w:rFonts w:ascii="Times New Roman" w:hAnsi="Times New Roman"/>
          <w:sz w:val="24"/>
        </w:rPr>
        <w:t xml:space="preserve"> qRT-PCR (n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w:r>
        <w:rPr>
          <w:rFonts w:ascii="Times New Roman" w:hAnsi="Times New Roman"/>
          <w:sz w:val="24"/>
        </w:rPr>
        <w:t xml:space="preserve">6). (g) </w:t>
      </w:r>
      <w:r>
        <w:rPr>
          <w:rFonts w:ascii="Times New Roman" w:hAnsi="Times New Roman" w:cs="Times New Roman"/>
          <w:bCs/>
          <w:sz w:val="24"/>
          <w:szCs w:val="24"/>
        </w:rPr>
        <w:t>STRING-based scoring of PTK2-associated interactions</w:t>
      </w:r>
      <w:r>
        <w:rPr>
          <w:rFonts w:ascii="Times New Roman" w:hAnsi="Times New Roman"/>
          <w:sz w:val="24"/>
        </w:rPr>
        <w:t>. (h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</w:rPr>
        <w:t xml:space="preserve">i) </w:t>
      </w:r>
      <w:r>
        <w:rPr>
          <w:rFonts w:ascii="Times New Roman" w:hAnsi="Times New Roman" w:cs="Times New Roman"/>
          <w:bCs/>
          <w:sz w:val="24"/>
          <w:szCs w:val="24"/>
        </w:rPr>
        <w:t>Overexpression</w:t>
      </w:r>
      <w:r>
        <w:rPr>
          <w:rFonts w:ascii="Times New Roman" w:hAnsi="Times New Roman"/>
          <w:sz w:val="24"/>
        </w:rPr>
        <w:t xml:space="preserve"> efficiency </w:t>
      </w:r>
      <w:r>
        <w:rPr>
          <w:rFonts w:ascii="Times New Roman" w:hAnsi="Times New Roman" w:cs="Times New Roman"/>
          <w:bCs/>
          <w:sz w:val="24"/>
          <w:szCs w:val="24"/>
        </w:rPr>
        <w:t xml:space="preserve">of PTK2 confirmed by immunoblotting </w:t>
      </w:r>
      <w:r>
        <w:rPr>
          <w:rFonts w:ascii="Times New Roman" w:hAnsi="Times New Roman"/>
          <w:sz w:val="24"/>
        </w:rPr>
        <w:t xml:space="preserve">and </w:t>
      </w:r>
      <w:r>
        <w:rPr>
          <w:rFonts w:ascii="Times New Roman" w:hAnsi="Times New Roman" w:cs="Times New Roman"/>
          <w:bCs/>
          <w:sz w:val="24"/>
          <w:szCs w:val="24"/>
        </w:rPr>
        <w:t xml:space="preserve">densitometric </w:t>
      </w:r>
      <w:r>
        <w:rPr>
          <w:rFonts w:ascii="Times New Roman" w:hAnsi="Times New Roman"/>
          <w:sz w:val="24"/>
        </w:rPr>
        <w:t>quantification (n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w:r>
        <w:rPr>
          <w:rFonts w:ascii="Times New Roman" w:hAnsi="Times New Roman"/>
          <w:sz w:val="24"/>
        </w:rPr>
        <w:t xml:space="preserve">6). (j) </w:t>
      </w:r>
      <w:r>
        <w:rPr>
          <w:rFonts w:ascii="Times New Roman" w:hAnsi="Times New Roman" w:cs="Times New Roman"/>
          <w:bCs/>
          <w:sz w:val="24"/>
          <w:szCs w:val="24"/>
        </w:rPr>
        <w:t>Intracellular</w:t>
      </w:r>
      <w:r>
        <w:rPr>
          <w:rFonts w:ascii="Times New Roman" w:hAnsi="Times New Roman"/>
          <w:sz w:val="24"/>
        </w:rPr>
        <w:t xml:space="preserve"> ROS </w:t>
      </w:r>
      <w:r>
        <w:rPr>
          <w:rFonts w:ascii="Times New Roman" w:hAnsi="Times New Roman" w:cs="Times New Roman"/>
          <w:bCs/>
          <w:sz w:val="24"/>
          <w:szCs w:val="24"/>
        </w:rPr>
        <w:t xml:space="preserve">visualized by fluorescence </w:t>
      </w:r>
      <w:r>
        <w:rPr>
          <w:rFonts w:ascii="Times New Roman" w:hAnsi="Times New Roman"/>
          <w:sz w:val="24"/>
        </w:rPr>
        <w:t>staining (green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>
        <w:rPr>
          <w:rFonts w:ascii="Times New Roman" w:hAnsi="Times New Roman"/>
          <w:sz w:val="24"/>
        </w:rPr>
        <w:t xml:space="preserve"> scale bar = 200 μm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>
        <w:rPr>
          <w:rFonts w:ascii="Times New Roman" w:hAnsi="Times New Roman"/>
          <w:sz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w:r>
        <w:rPr>
          <w:rFonts w:ascii="Times New Roman" w:hAnsi="Times New Roman"/>
          <w:sz w:val="24"/>
        </w:rPr>
        <w:t xml:space="preserve">3). (k) </w:t>
      </w:r>
      <w:r>
        <w:rPr>
          <w:rFonts w:ascii="Times New Roman" w:hAnsi="Times New Roman" w:cs="Times New Roman"/>
          <w:bCs/>
          <w:sz w:val="24"/>
          <w:szCs w:val="24"/>
        </w:rPr>
        <w:t>BMSC</w:t>
      </w:r>
      <w:r>
        <w:rPr>
          <w:rFonts w:hint="eastAsia"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viability </w:t>
      </w:r>
      <w:r>
        <w:rPr>
          <w:rFonts w:ascii="Times New Roman" w:hAnsi="Times New Roman" w:cs="Times New Roman"/>
          <w:bCs/>
          <w:sz w:val="24"/>
          <w:szCs w:val="24"/>
        </w:rPr>
        <w:t>following treatment with 25 μM erastin, assessed by CCK-8 assay</w:t>
      </w:r>
      <w:r>
        <w:rPr>
          <w:rFonts w:ascii="Times New Roman" w:hAnsi="Times New Roman"/>
          <w:sz w:val="24"/>
        </w:rPr>
        <w:t xml:space="preserve"> (n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w:r>
        <w:rPr>
          <w:rFonts w:ascii="Times New Roman" w:hAnsi="Times New Roman"/>
          <w:sz w:val="24"/>
        </w:rPr>
        <w:t xml:space="preserve">6). </w:t>
      </w:r>
      <w:r>
        <w:rPr>
          <w:rFonts w:ascii="Times New Roman" w:hAnsi="Times New Roman" w:cs="Times New Roman"/>
          <w:bCs/>
          <w:sz w:val="24"/>
          <w:szCs w:val="24"/>
        </w:rPr>
        <w:t>*</w:t>
      </w:r>
      <w:r>
        <w:rPr>
          <w:rFonts w:ascii="Times New Roman" w:hAnsi="Times New Roman"/>
          <w:sz w:val="24"/>
        </w:rPr>
        <w:t>P &lt;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0.05, **P &lt;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0.01, ***P &lt;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0.001</w:t>
      </w:r>
      <w:r>
        <w:rPr>
          <w:rFonts w:ascii="Times New Roman" w:hAnsi="Times New Roman" w:cs="Times New Roman"/>
          <w:bCs/>
          <w:sz w:val="24"/>
          <w:szCs w:val="24"/>
        </w:rPr>
        <w:t xml:space="preserve"> vs.</w:t>
      </w:r>
      <w:r>
        <w:rPr>
          <w:rFonts w:ascii="Times New Roman" w:hAnsi="Times New Roman"/>
          <w:sz w:val="24"/>
        </w:rPr>
        <w:t xml:space="preserve"> NC/SHAM group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>##</w:t>
      </w:r>
      <w:r>
        <w:rPr>
          <w:rFonts w:ascii="Times New Roman" w:hAnsi="Times New Roman"/>
          <w:sz w:val="24"/>
        </w:rPr>
        <w:t>P &lt;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0.01,</w:t>
      </w:r>
      <w:r>
        <w:rPr>
          <w:rFonts w:ascii="Times New Roman" w:hAnsi="Times New Roman"/>
          <w:sz w:val="24"/>
          <w:vertAlign w:val="superscript"/>
        </w:rPr>
        <w:t xml:space="preserve"> ###</w:t>
      </w:r>
      <w:r>
        <w:rPr>
          <w:rFonts w:ascii="Times New Roman" w:hAnsi="Times New Roman"/>
          <w:sz w:val="24"/>
        </w:rPr>
        <w:t>P &lt;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0.001</w:t>
      </w:r>
      <w:r>
        <w:rPr>
          <w:rFonts w:ascii="Times New Roman" w:hAnsi="Times New Roman" w:cs="Times New Roman"/>
          <w:bCs/>
          <w:sz w:val="24"/>
          <w:szCs w:val="24"/>
        </w:rPr>
        <w:t xml:space="preserve"> vs.</w:t>
      </w:r>
      <w:r>
        <w:rPr>
          <w:rFonts w:ascii="Times New Roman" w:hAnsi="Times New Roman"/>
          <w:sz w:val="24"/>
        </w:rPr>
        <w:t xml:space="preserve"> erastin group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4BFCE84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eastAsia="en-US"/>
        </w:rPr>
        <w:drawing>
          <wp:inline distT="0" distB="0" distL="0" distR="0">
            <wp:extent cx="5274310" cy="5377180"/>
            <wp:effectExtent l="0" t="0" r="2540" b="0"/>
            <wp:docPr id="96417070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170706" name="图片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7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78F7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</w:rPr>
        <w:t>S2</w:t>
      </w:r>
      <w:r>
        <w:rPr>
          <w:rFonts w:ascii="Times New Roman" w:hAnsi="Times New Roman"/>
          <w:sz w:val="24"/>
        </w:rPr>
        <w:t>. PTK2 inhibits ferroptosis via the P53/FN1 axis.</w:t>
      </w:r>
    </w:p>
    <w:p w14:paraId="4EFD834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(a) </w:t>
      </w:r>
      <w:r>
        <w:rPr>
          <w:rFonts w:ascii="Times New Roman" w:hAnsi="Times New Roman" w:cs="Times New Roman"/>
          <w:bCs/>
          <w:sz w:val="24"/>
          <w:szCs w:val="24"/>
        </w:rPr>
        <w:t xml:space="preserve">Verification of </w:t>
      </w:r>
      <w:r>
        <w:rPr>
          <w:rFonts w:ascii="Times New Roman" w:hAnsi="Times New Roman"/>
          <w:sz w:val="24"/>
        </w:rPr>
        <w:t>P53 overexpression efficiency (n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w:r>
        <w:rPr>
          <w:rFonts w:ascii="Times New Roman" w:hAnsi="Times New Roman"/>
          <w:sz w:val="24"/>
        </w:rPr>
        <w:t xml:space="preserve">6). (b) Venn diagram </w:t>
      </w:r>
      <w:r>
        <w:rPr>
          <w:rFonts w:ascii="Times New Roman" w:hAnsi="Times New Roman" w:cs="Times New Roman"/>
          <w:bCs/>
          <w:sz w:val="24"/>
          <w:szCs w:val="24"/>
        </w:rPr>
        <w:t xml:space="preserve">analysis integrating </w:t>
      </w:r>
      <w:r>
        <w:rPr>
          <w:rFonts w:ascii="Times New Roman" w:hAnsi="Times New Roman"/>
          <w:sz w:val="24"/>
        </w:rPr>
        <w:t>ferroptosis</w:t>
      </w:r>
      <w:r>
        <w:rPr>
          <w:rFonts w:ascii="Times New Roman" w:hAnsi="Times New Roman" w:cs="Times New Roman"/>
          <w:bCs/>
          <w:sz w:val="24"/>
          <w:szCs w:val="24"/>
        </w:rPr>
        <w:t>-related</w:t>
      </w:r>
      <w:r>
        <w:rPr>
          <w:rFonts w:ascii="Times New Roman" w:hAnsi="Times New Roman"/>
          <w:sz w:val="24"/>
        </w:rPr>
        <w:t xml:space="preserve"> dataset (GSE202265</w:t>
      </w:r>
      <w:r>
        <w:rPr>
          <w:rFonts w:ascii="Times New Roman" w:hAnsi="Times New Roman" w:cs="Times New Roman"/>
          <w:bCs/>
          <w:sz w:val="24"/>
          <w:szCs w:val="24"/>
        </w:rPr>
        <w:t xml:space="preserve">), </w:t>
      </w:r>
      <w:r>
        <w:rPr>
          <w:rFonts w:ascii="Times New Roman" w:hAnsi="Times New Roman"/>
          <w:sz w:val="24"/>
        </w:rPr>
        <w:t>P53-related dataset (GSE171572</w:t>
      </w:r>
      <w:r>
        <w:rPr>
          <w:rFonts w:ascii="Times New Roman" w:hAnsi="Times New Roman" w:cs="Times New Roman"/>
          <w:bCs/>
          <w:sz w:val="24"/>
          <w:szCs w:val="24"/>
        </w:rPr>
        <w:t>),</w:t>
      </w:r>
      <w:r>
        <w:rPr>
          <w:rFonts w:ascii="Times New Roman" w:hAnsi="Times New Roman"/>
          <w:sz w:val="24"/>
        </w:rPr>
        <w:t xml:space="preserve"> and osteoporosis-related dataset (GSE204847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  <w:r>
        <w:rPr>
          <w:rFonts w:ascii="Times New Roman" w:hAnsi="Times New Roman"/>
          <w:sz w:val="24"/>
        </w:rPr>
        <w:t xml:space="preserve"> (c) FN1 mRNA </w:t>
      </w:r>
      <w:r>
        <w:rPr>
          <w:rFonts w:ascii="Times New Roman" w:hAnsi="Times New Roman" w:cs="Times New Roman"/>
          <w:bCs/>
          <w:sz w:val="24"/>
          <w:szCs w:val="24"/>
        </w:rPr>
        <w:t xml:space="preserve">expression </w:t>
      </w:r>
      <w:r>
        <w:rPr>
          <w:rFonts w:ascii="Times New Roman" w:hAnsi="Times New Roman"/>
          <w:sz w:val="24"/>
        </w:rPr>
        <w:t xml:space="preserve">in clinical </w:t>
      </w:r>
      <w:r>
        <w:rPr>
          <w:rFonts w:ascii="Times New Roman" w:hAnsi="Times New Roman" w:cs="Times New Roman"/>
          <w:bCs/>
          <w:sz w:val="24"/>
          <w:szCs w:val="24"/>
        </w:rPr>
        <w:t xml:space="preserve">bone tissue </w:t>
      </w:r>
      <w:r>
        <w:rPr>
          <w:rFonts w:ascii="Times New Roman" w:hAnsi="Times New Roman"/>
          <w:sz w:val="24"/>
        </w:rPr>
        <w:t xml:space="preserve">samples </w:t>
      </w:r>
      <w:r>
        <w:rPr>
          <w:rFonts w:ascii="Times New Roman" w:hAnsi="Times New Roman" w:cs="Times New Roman"/>
          <w:bCs/>
          <w:sz w:val="24"/>
          <w:szCs w:val="24"/>
        </w:rPr>
        <w:t xml:space="preserve">assessed </w:t>
      </w:r>
      <w:r>
        <w:rPr>
          <w:rFonts w:ascii="Times New Roman" w:hAnsi="Times New Roman"/>
          <w:sz w:val="24"/>
        </w:rPr>
        <w:t>by qRT-PCR (n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w:r>
        <w:rPr>
          <w:rFonts w:ascii="Times New Roman" w:hAnsi="Times New Roman"/>
          <w:sz w:val="24"/>
        </w:rPr>
        <w:t>10). (d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</w:rPr>
        <w:t xml:space="preserve">e) Volcano </w:t>
      </w:r>
      <w:r>
        <w:rPr>
          <w:rFonts w:ascii="Times New Roman" w:hAnsi="Times New Roman" w:cs="Times New Roman"/>
          <w:bCs/>
          <w:sz w:val="24"/>
          <w:szCs w:val="24"/>
        </w:rPr>
        <w:t>plots</w:t>
      </w:r>
      <w:r>
        <w:rPr>
          <w:rFonts w:ascii="Times New Roman" w:hAnsi="Times New Roman"/>
          <w:sz w:val="24"/>
        </w:rPr>
        <w:t xml:space="preserve"> and </w:t>
      </w:r>
      <w:r>
        <w:rPr>
          <w:rFonts w:ascii="Times New Roman" w:hAnsi="Times New Roman" w:cs="Times New Roman"/>
          <w:bCs/>
          <w:sz w:val="24"/>
          <w:szCs w:val="24"/>
        </w:rPr>
        <w:t>ranking maps of the three datasets noted above.</w:t>
      </w:r>
      <w:r>
        <w:rPr>
          <w:rFonts w:ascii="Times New Roman" w:hAnsi="Times New Roman"/>
          <w:sz w:val="24"/>
        </w:rPr>
        <w:t xml:space="preserve"> (f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</w:rPr>
        <w:t xml:space="preserve">g) Validation of knockdown efficiency </w:t>
      </w:r>
      <w:r>
        <w:rPr>
          <w:rFonts w:ascii="Times New Roman" w:hAnsi="Times New Roman" w:cs="Times New Roman"/>
          <w:bCs/>
          <w:sz w:val="24"/>
          <w:szCs w:val="24"/>
        </w:rPr>
        <w:t>for</w:t>
      </w:r>
      <w:r>
        <w:rPr>
          <w:rFonts w:ascii="Times New Roman" w:hAnsi="Times New Roman"/>
          <w:sz w:val="24"/>
        </w:rPr>
        <w:t xml:space="preserve"> FN1 and P53 </w:t>
      </w:r>
      <w:r>
        <w:rPr>
          <w:rFonts w:ascii="Times New Roman" w:hAnsi="Times New Roman" w:cs="Times New Roman"/>
          <w:bCs/>
          <w:sz w:val="24"/>
          <w:szCs w:val="24"/>
        </w:rPr>
        <w:t xml:space="preserve">using 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>immunoblotting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(n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w:r>
        <w:rPr>
          <w:rFonts w:ascii="Times New Roman" w:hAnsi="Times New Roman"/>
          <w:sz w:val="24"/>
        </w:rPr>
        <w:t xml:space="preserve">3). (h) MOF overexpression </w:t>
      </w:r>
      <w:r>
        <w:rPr>
          <w:rFonts w:ascii="Times New Roman" w:hAnsi="Times New Roman" w:cs="Times New Roman"/>
          <w:bCs/>
          <w:sz w:val="24"/>
          <w:szCs w:val="24"/>
        </w:rPr>
        <w:t>validation</w:t>
      </w:r>
      <w:r>
        <w:rPr>
          <w:rFonts w:ascii="Times New Roman" w:hAnsi="Times New Roman"/>
          <w:sz w:val="24"/>
        </w:rPr>
        <w:t xml:space="preserve"> (n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w:r>
        <w:rPr>
          <w:rFonts w:ascii="Times New Roman" w:hAnsi="Times New Roman"/>
          <w:sz w:val="24"/>
        </w:rPr>
        <w:t xml:space="preserve">6). (i) </w:t>
      </w:r>
      <w:r>
        <w:rPr>
          <w:rFonts w:ascii="Times New Roman" w:hAnsi="Times New Roman" w:cs="Times New Roman"/>
          <w:bCs/>
          <w:sz w:val="24"/>
          <w:szCs w:val="24"/>
        </w:rPr>
        <w:t>Predicted</w:t>
      </w:r>
      <w:r>
        <w:rPr>
          <w:rFonts w:ascii="Times New Roman" w:hAnsi="Times New Roman"/>
          <w:sz w:val="24"/>
        </w:rPr>
        <w:t xml:space="preserve"> P53 binding site </w:t>
      </w:r>
      <w:r>
        <w:rPr>
          <w:rFonts w:ascii="Times New Roman" w:hAnsi="Times New Roman" w:cs="Times New Roman"/>
          <w:bCs/>
          <w:sz w:val="24"/>
          <w:szCs w:val="24"/>
        </w:rPr>
        <w:t>on</w:t>
      </w:r>
      <w:r>
        <w:rPr>
          <w:rFonts w:ascii="Times New Roman" w:hAnsi="Times New Roman"/>
          <w:sz w:val="24"/>
        </w:rPr>
        <w:t xml:space="preserve"> the</w:t>
      </w:r>
      <w:r>
        <w:rPr>
          <w:rFonts w:ascii="Times New Roman" w:hAnsi="Times New Roman" w:cs="Times New Roman"/>
          <w:bCs/>
          <w:sz w:val="24"/>
          <w:szCs w:val="24"/>
        </w:rPr>
        <w:t xml:space="preserve"> FN1</w:t>
      </w:r>
      <w:r>
        <w:rPr>
          <w:rFonts w:ascii="Times New Roman" w:hAnsi="Times New Roman"/>
          <w:sz w:val="24"/>
        </w:rPr>
        <w:t xml:space="preserve"> promoter </w:t>
      </w:r>
      <w:r>
        <w:rPr>
          <w:rFonts w:ascii="Times New Roman" w:hAnsi="Times New Roman" w:cs="Times New Roman"/>
          <w:bCs/>
          <w:sz w:val="24"/>
          <w:szCs w:val="24"/>
        </w:rPr>
        <w:t>region using JASPAR. *</w:t>
      </w:r>
      <w:r>
        <w:rPr>
          <w:rFonts w:ascii="Times New Roman" w:hAnsi="Times New Roman"/>
          <w:sz w:val="24"/>
        </w:rPr>
        <w:t>P &lt;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0.05, **P &lt;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0.01, ***P &lt;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</w:rPr>
        <w:t>0.001</w:t>
      </w:r>
      <w:r>
        <w:rPr>
          <w:rFonts w:ascii="Times New Roman" w:hAnsi="Times New Roman" w:cs="Times New Roman"/>
          <w:bCs/>
          <w:sz w:val="24"/>
          <w:szCs w:val="24"/>
        </w:rPr>
        <w:t xml:space="preserve"> vs.</w:t>
      </w:r>
      <w:r>
        <w:rPr>
          <w:rFonts w:ascii="Times New Roman" w:hAnsi="Times New Roman"/>
          <w:sz w:val="24"/>
        </w:rPr>
        <w:t xml:space="preserve"> NC/Control</w:t>
      </w:r>
      <w:r>
        <w:rPr>
          <w:rFonts w:ascii="Times New Roman" w:hAnsi="Times New Roman" w:cs="Times New Roman"/>
          <w:bCs/>
          <w:sz w:val="24"/>
          <w:szCs w:val="24"/>
        </w:rPr>
        <w:t xml:space="preserve"> group.</w:t>
      </w:r>
    </w:p>
    <w:p w14:paraId="31C06D6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eastAsia="en-US"/>
        </w:rPr>
        <w:drawing>
          <wp:inline distT="0" distB="0" distL="0" distR="0">
            <wp:extent cx="5274310" cy="7989570"/>
            <wp:effectExtent l="0" t="0" r="2540" b="0"/>
            <wp:docPr id="173889435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894350" name="图片 1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8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E6FC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</w:rPr>
        <w:t>S3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</w:rPr>
        <w:t xml:space="preserve"> Screening of natural </w:t>
      </w:r>
      <w:r>
        <w:rPr>
          <w:rFonts w:ascii="Times New Roman" w:hAnsi="Times New Roman" w:cs="Times New Roman"/>
          <w:bCs/>
          <w:sz w:val="24"/>
          <w:szCs w:val="24"/>
        </w:rPr>
        <w:t>compounds</w:t>
      </w:r>
      <w:r>
        <w:rPr>
          <w:rFonts w:ascii="Times New Roman" w:hAnsi="Times New Roman"/>
          <w:sz w:val="24"/>
        </w:rPr>
        <w:t xml:space="preserve"> targeting PTK2 for </w:t>
      </w:r>
      <w:r>
        <w:rPr>
          <w:rFonts w:ascii="Times New Roman" w:hAnsi="Times New Roman" w:cs="Times New Roman"/>
          <w:bCs/>
          <w:sz w:val="24"/>
          <w:szCs w:val="24"/>
        </w:rPr>
        <w:t>osteoporosis</w:t>
      </w:r>
      <w:r>
        <w:rPr>
          <w:rFonts w:ascii="Times New Roman" w:hAnsi="Times New Roman"/>
          <w:sz w:val="24"/>
        </w:rPr>
        <w:t xml:space="preserve"> therapy.</w:t>
      </w:r>
    </w:p>
    <w:p w14:paraId="0E96642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(a) </w:t>
      </w:r>
      <w:r>
        <w:rPr>
          <w:rFonts w:ascii="Times New Roman" w:hAnsi="Times New Roman" w:cs="Times New Roman"/>
          <w:bCs/>
          <w:sz w:val="24"/>
          <w:szCs w:val="24"/>
        </w:rPr>
        <w:t>Schematic workflow</w:t>
      </w:r>
      <w:r>
        <w:rPr>
          <w:rFonts w:ascii="Times New Roman" w:hAnsi="Times New Roman"/>
          <w:sz w:val="24"/>
        </w:rPr>
        <w:t xml:space="preserve"> of the </w:t>
      </w:r>
      <w:r>
        <w:rPr>
          <w:rFonts w:ascii="Times New Roman" w:hAnsi="Times New Roman" w:cs="Times New Roman"/>
          <w:bCs/>
          <w:sz w:val="24"/>
          <w:szCs w:val="24"/>
        </w:rPr>
        <w:t>natural product screening</w:t>
      </w:r>
      <w:r>
        <w:rPr>
          <w:rFonts w:ascii="Times New Roman" w:hAnsi="Times New Roman"/>
          <w:sz w:val="24"/>
        </w:rPr>
        <w:t xml:space="preserve">. (b) 2D </w:t>
      </w:r>
      <w:r>
        <w:rPr>
          <w:rFonts w:ascii="Times New Roman" w:hAnsi="Times New Roman" w:cs="Times New Roman"/>
          <w:bCs/>
          <w:sz w:val="24"/>
          <w:szCs w:val="24"/>
        </w:rPr>
        <w:t>and 3D interaction models</w:t>
      </w:r>
      <w:r>
        <w:rPr>
          <w:rFonts w:ascii="Times New Roman" w:hAnsi="Times New Roman"/>
          <w:sz w:val="24"/>
        </w:rPr>
        <w:t xml:space="preserve"> of 10 natural products with PTK2. (c) </w:t>
      </w:r>
      <w:r>
        <w:rPr>
          <w:rFonts w:ascii="Times New Roman" w:hAnsi="Times New Roman" w:cs="Times New Roman"/>
          <w:bCs/>
          <w:sz w:val="24"/>
          <w:szCs w:val="24"/>
        </w:rPr>
        <w:t>Binding</w:t>
      </w:r>
      <w:r>
        <w:rPr>
          <w:rFonts w:ascii="Times New Roman" w:hAnsi="Times New Roman"/>
          <w:sz w:val="24"/>
        </w:rPr>
        <w:t xml:space="preserve"> energy </w:t>
      </w:r>
      <w:r>
        <w:rPr>
          <w:rFonts w:ascii="Times New Roman" w:hAnsi="Times New Roman" w:cs="Times New Roman"/>
          <w:bCs/>
          <w:sz w:val="24"/>
          <w:szCs w:val="24"/>
        </w:rPr>
        <w:t>scores</w:t>
      </w:r>
      <w:r>
        <w:rPr>
          <w:rFonts w:ascii="Times New Roman" w:hAnsi="Times New Roman"/>
          <w:sz w:val="24"/>
        </w:rPr>
        <w:t xml:space="preserve"> of </w:t>
      </w:r>
      <w:r>
        <w:rPr>
          <w:rFonts w:ascii="Times New Roman" w:hAnsi="Times New Roman" w:cs="Times New Roman"/>
          <w:bCs/>
          <w:sz w:val="24"/>
          <w:szCs w:val="24"/>
        </w:rPr>
        <w:t>each compound with</w:t>
      </w:r>
      <w:r>
        <w:rPr>
          <w:rFonts w:ascii="Times New Roman" w:hAnsi="Times New Roman"/>
          <w:sz w:val="24"/>
        </w:rPr>
        <w:t xml:space="preserve"> PTK2 </w:t>
      </w:r>
      <w:r>
        <w:rPr>
          <w:rFonts w:ascii="Times New Roman" w:hAnsi="Times New Roman" w:cs="Times New Roman"/>
          <w:bCs/>
          <w:sz w:val="24"/>
          <w:szCs w:val="24"/>
        </w:rPr>
        <w:t>predicted using</w:t>
      </w:r>
      <w:r>
        <w:rPr>
          <w:rFonts w:ascii="Times New Roman" w:hAnsi="Times New Roman"/>
          <w:sz w:val="24"/>
        </w:rPr>
        <w:t xml:space="preserve"> SailVina. (d) CCK-8 </w:t>
      </w:r>
      <w:r>
        <w:rPr>
          <w:rFonts w:ascii="Times New Roman" w:hAnsi="Times New Roman" w:cs="Times New Roman"/>
          <w:bCs/>
          <w:sz w:val="24"/>
          <w:szCs w:val="24"/>
        </w:rPr>
        <w:t>assay assessing</w:t>
      </w:r>
      <w:r>
        <w:rPr>
          <w:rFonts w:ascii="Times New Roman" w:hAnsi="Times New Roman"/>
          <w:sz w:val="24"/>
        </w:rPr>
        <w:t xml:space="preserve"> cytotoxicity of the 10 </w:t>
      </w:r>
      <w:r>
        <w:rPr>
          <w:rFonts w:ascii="Times New Roman" w:hAnsi="Times New Roman" w:cs="Times New Roman"/>
          <w:bCs/>
          <w:sz w:val="24"/>
          <w:szCs w:val="24"/>
        </w:rPr>
        <w:t>compounds</w:t>
      </w:r>
      <w:r>
        <w:rPr>
          <w:rFonts w:ascii="Times New Roman" w:hAnsi="Times New Roman"/>
          <w:sz w:val="24"/>
        </w:rPr>
        <w:t xml:space="preserve"> on BMSCs. (e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</w:rPr>
        <w:t>g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</w:rPr>
        <w:t xml:space="preserve">h) </w:t>
      </w:r>
      <w:r>
        <w:rPr>
          <w:rFonts w:ascii="Times New Roman" w:hAnsi="Times New Roman" w:cs="Times New Roman"/>
          <w:bCs/>
          <w:sz w:val="24"/>
          <w:szCs w:val="24"/>
        </w:rPr>
        <w:t>ALP and ARS staining analyses evaluating</w:t>
      </w:r>
      <w:r>
        <w:rPr>
          <w:rFonts w:ascii="Times New Roman" w:hAnsi="Times New Roman"/>
          <w:sz w:val="24"/>
        </w:rPr>
        <w:t xml:space="preserve"> osteogenic differentiation and mineralization </w:t>
      </w:r>
      <w:r>
        <w:rPr>
          <w:rFonts w:ascii="Times New Roman" w:hAnsi="Times New Roman" w:cs="Times New Roman"/>
          <w:bCs/>
          <w:sz w:val="24"/>
          <w:szCs w:val="24"/>
        </w:rPr>
        <w:t>potential of 8 compounds</w:t>
      </w:r>
      <w:r>
        <w:rPr>
          <w:rFonts w:ascii="Times New Roman" w:hAnsi="Times New Roman"/>
          <w:sz w:val="24"/>
        </w:rPr>
        <w:t xml:space="preserve"> (n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>
        <w:rPr>
          <w:rFonts w:ascii="Times New Roman" w:hAnsi="Times New Roman"/>
          <w:sz w:val="24"/>
        </w:rPr>
        <w:t xml:space="preserve"> scale bar = 200 μm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  <w:r>
        <w:rPr>
          <w:rFonts w:ascii="Times New Roman" w:hAnsi="Times New Roman"/>
          <w:sz w:val="24"/>
        </w:rPr>
        <w:t xml:space="preserve"> (f) BMSC lysates were </w:t>
      </w:r>
      <w:r>
        <w:rPr>
          <w:rFonts w:ascii="Times New Roman" w:hAnsi="Times New Roman" w:cs="Times New Roman"/>
          <w:bCs/>
          <w:sz w:val="24"/>
          <w:szCs w:val="24"/>
        </w:rPr>
        <w:t>heat-treated</w:t>
      </w:r>
      <w:r>
        <w:rPr>
          <w:rFonts w:ascii="Times New Roman" w:hAnsi="Times New Roman"/>
          <w:sz w:val="24"/>
        </w:rPr>
        <w:t xml:space="preserve"> (</w:t>
      </w:r>
      <w:r>
        <w:rPr>
          <w:rFonts w:hint="eastAsia" w:ascii="Times New Roman" w:hAnsi="Times New Roman"/>
          <w:sz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/>
          <w:sz w:val="24"/>
        </w:rPr>
        <w:t>60°C) following 2-hour incubation with Vaccarin or DMSO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>
        <w:rPr>
          <w:rFonts w:ascii="Times New Roman" w:hAnsi="Times New Roman"/>
          <w:sz w:val="24"/>
        </w:rPr>
        <w:t xml:space="preserve"> PTK2 levels were </w:t>
      </w:r>
      <w:r>
        <w:rPr>
          <w:rFonts w:ascii="Times New Roman" w:hAnsi="Times New Roman" w:cs="Times New Roman"/>
          <w:bCs/>
          <w:sz w:val="24"/>
          <w:szCs w:val="24"/>
        </w:rPr>
        <w:t>measured via immunoblotting</w:t>
      </w:r>
      <w:r>
        <w:rPr>
          <w:rFonts w:ascii="Times New Roman" w:hAnsi="Times New Roman"/>
          <w:sz w:val="24"/>
        </w:rPr>
        <w:t xml:space="preserve"> (n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w:r>
        <w:rPr>
          <w:rFonts w:ascii="Times New Roman" w:hAnsi="Times New Roman"/>
          <w:sz w:val="24"/>
        </w:rPr>
        <w:t xml:space="preserve">3). </w:t>
      </w:r>
      <w:r>
        <w:rPr>
          <w:rFonts w:ascii="Times New Roman" w:hAnsi="Times New Roman" w:cs="Times New Roman"/>
          <w:bCs/>
          <w:sz w:val="24"/>
          <w:szCs w:val="24"/>
        </w:rPr>
        <w:t>*</w:t>
      </w:r>
      <w:r>
        <w:rPr>
          <w:rFonts w:ascii="Times New Roman" w:hAnsi="Times New Roman"/>
          <w:sz w:val="24"/>
        </w:rPr>
        <w:t>P &lt;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0.05, **P &lt;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0.01, ***P &lt;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0.001</w:t>
      </w:r>
      <w:r>
        <w:rPr>
          <w:rFonts w:ascii="Times New Roman" w:hAnsi="Times New Roman" w:cs="Times New Roman"/>
          <w:bCs/>
          <w:sz w:val="24"/>
          <w:szCs w:val="24"/>
        </w:rPr>
        <w:t xml:space="preserve"> vs.</w:t>
      </w:r>
      <w:r>
        <w:rPr>
          <w:rFonts w:ascii="Times New Roman" w:hAnsi="Times New Roman"/>
          <w:sz w:val="24"/>
        </w:rPr>
        <w:t xml:space="preserve"> DMSO group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E6DDF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eastAsia="en-US"/>
        </w:rPr>
        <w:drawing>
          <wp:inline distT="0" distB="0" distL="0" distR="0">
            <wp:extent cx="5274310" cy="3956050"/>
            <wp:effectExtent l="0" t="0" r="2540" b="6350"/>
            <wp:docPr id="166752043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520435" name="图片 1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E218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</w:rPr>
        <w:t>S4</w:t>
      </w:r>
      <w:r>
        <w:rPr>
          <w:rFonts w:ascii="Times New Roman" w:hAnsi="Times New Roman"/>
          <w:sz w:val="24"/>
        </w:rPr>
        <w:t xml:space="preserve">. Vaccarin </w:t>
      </w:r>
      <w:r>
        <w:rPr>
          <w:rFonts w:ascii="Times New Roman" w:hAnsi="Times New Roman" w:cs="Times New Roman"/>
          <w:bCs/>
          <w:sz w:val="24"/>
          <w:szCs w:val="24"/>
        </w:rPr>
        <w:t>promotes PTK2 expression to exert</w:t>
      </w:r>
      <w:r>
        <w:rPr>
          <w:rFonts w:ascii="Times New Roman" w:hAnsi="Times New Roman"/>
          <w:sz w:val="24"/>
        </w:rPr>
        <w:t xml:space="preserve"> anti-</w:t>
      </w:r>
      <w:r>
        <w:rPr>
          <w:rFonts w:ascii="Times New Roman" w:hAnsi="Times New Roman" w:cs="Times New Roman"/>
          <w:bCs/>
          <w:sz w:val="24"/>
          <w:szCs w:val="24"/>
        </w:rPr>
        <w:t>osteoporotic</w:t>
      </w:r>
      <w:r>
        <w:rPr>
          <w:rFonts w:ascii="Times New Roman" w:hAnsi="Times New Roman"/>
          <w:sz w:val="24"/>
        </w:rPr>
        <w:t xml:space="preserve"> and anti-</w:t>
      </w:r>
      <w:r>
        <w:rPr>
          <w:rFonts w:ascii="Times New Roman" w:hAnsi="Times New Roman" w:cs="Times New Roman"/>
          <w:bCs/>
          <w:sz w:val="24"/>
          <w:szCs w:val="24"/>
        </w:rPr>
        <w:t>ferroptotic effects.</w:t>
      </w:r>
    </w:p>
    <w:p w14:paraId="14150717">
      <w:pPr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(a) Liver</w:t>
      </w:r>
      <w:r>
        <w:rPr>
          <w:rFonts w:ascii="Times New Roman" w:hAnsi="Times New Roman"/>
          <w:sz w:val="24"/>
        </w:rPr>
        <w:t xml:space="preserve">-to-body weight ratio </w:t>
      </w:r>
      <w:r>
        <w:rPr>
          <w:rFonts w:ascii="Times New Roman" w:hAnsi="Times New Roman" w:cs="Times New Roman"/>
          <w:bCs/>
          <w:sz w:val="24"/>
          <w:szCs w:val="24"/>
        </w:rPr>
        <w:t xml:space="preserve">in experimental mice </w:t>
      </w:r>
      <w:r>
        <w:rPr>
          <w:rFonts w:ascii="Times New Roman" w:hAnsi="Times New Roman"/>
          <w:sz w:val="24"/>
        </w:rPr>
        <w:t>(n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w:r>
        <w:rPr>
          <w:rFonts w:ascii="Times New Roman" w:hAnsi="Times New Roman"/>
          <w:sz w:val="24"/>
        </w:rPr>
        <w:t xml:space="preserve">6). (b) Body weight </w:t>
      </w:r>
      <w:r>
        <w:rPr>
          <w:rFonts w:ascii="Times New Roman" w:hAnsi="Times New Roman" w:cs="Times New Roman"/>
          <w:bCs/>
          <w:sz w:val="24"/>
          <w:szCs w:val="24"/>
        </w:rPr>
        <w:t>measurements</w:t>
      </w:r>
      <w:r>
        <w:rPr>
          <w:rFonts w:ascii="Times New Roman" w:hAnsi="Times New Roman"/>
          <w:sz w:val="24"/>
        </w:rPr>
        <w:t xml:space="preserve"> (n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w:r>
        <w:rPr>
          <w:rFonts w:ascii="Times New Roman" w:hAnsi="Times New Roman"/>
          <w:sz w:val="24"/>
        </w:rPr>
        <w:t>10). (c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</w:rPr>
        <w:t xml:space="preserve">k) Toluidine blue staining </w:t>
      </w:r>
      <w:r>
        <w:rPr>
          <w:rFonts w:ascii="Times New Roman" w:hAnsi="Times New Roman" w:cs="Times New Roman"/>
          <w:bCs/>
          <w:sz w:val="24"/>
          <w:szCs w:val="24"/>
        </w:rPr>
        <w:t>of bone tissue sections</w:t>
      </w:r>
      <w:r>
        <w:rPr>
          <w:rFonts w:ascii="Times New Roman" w:hAnsi="Times New Roman"/>
          <w:sz w:val="24"/>
        </w:rPr>
        <w:t xml:space="preserve"> (n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; scale</w:t>
      </w:r>
      <w:r>
        <w:rPr>
          <w:rFonts w:ascii="Times New Roman" w:hAnsi="Times New Roman"/>
          <w:sz w:val="24"/>
        </w:rPr>
        <w:t xml:space="preserve"> bar</w:t>
      </w:r>
      <w:r>
        <w:rPr>
          <w:rFonts w:ascii="Times New Roman" w:hAnsi="Times New Roman" w:cs="Times New Roman"/>
          <w:bCs/>
          <w:sz w:val="24"/>
          <w:szCs w:val="24"/>
        </w:rPr>
        <w:t xml:space="preserve"> = 200 μm</w:t>
      </w:r>
      <w:r>
        <w:rPr>
          <w:rFonts w:ascii="Times New Roman" w:hAnsi="Times New Roman"/>
          <w:sz w:val="24"/>
        </w:rPr>
        <w:t xml:space="preserve">). (d) </w:t>
      </w:r>
      <w:r>
        <w:rPr>
          <w:rFonts w:ascii="Times New Roman" w:hAnsi="Times New Roman" w:cs="Times New Roman"/>
          <w:bCs/>
          <w:sz w:val="24"/>
          <w:szCs w:val="24"/>
        </w:rPr>
        <w:t>Diagram</w:t>
      </w:r>
      <w:r>
        <w:rPr>
          <w:rFonts w:ascii="Times New Roman" w:hAnsi="Times New Roman"/>
          <w:sz w:val="24"/>
        </w:rPr>
        <w:t xml:space="preserve"> of </w:t>
      </w:r>
      <w:r>
        <w:rPr>
          <w:rFonts w:ascii="Times New Roman" w:hAnsi="Times New Roman" w:cs="Times New Roman"/>
          <w:bCs/>
          <w:sz w:val="24"/>
          <w:szCs w:val="24"/>
        </w:rPr>
        <w:t>calvarial</w:t>
      </w:r>
      <w:r>
        <w:rPr>
          <w:rFonts w:ascii="Times New Roman" w:hAnsi="Times New Roman"/>
          <w:sz w:val="24"/>
        </w:rPr>
        <w:t xml:space="preserve"> defect</w:t>
      </w:r>
      <w:r>
        <w:rPr>
          <w:rFonts w:ascii="Times New Roman" w:hAnsi="Times New Roman" w:cs="Times New Roman"/>
          <w:bCs/>
          <w:sz w:val="24"/>
          <w:szCs w:val="24"/>
        </w:rPr>
        <w:t xml:space="preserve"> model</w:t>
      </w:r>
      <w:r>
        <w:rPr>
          <w:rFonts w:ascii="Times New Roman" w:hAnsi="Times New Roman"/>
          <w:sz w:val="24"/>
        </w:rPr>
        <w:t>. (e) H&amp;E</w:t>
      </w:r>
      <w:r>
        <w:rPr>
          <w:rFonts w:ascii="Times New Roman" w:hAnsi="Times New Roman" w:cs="Times New Roman"/>
          <w:bCs/>
          <w:sz w:val="24"/>
          <w:szCs w:val="24"/>
        </w:rPr>
        <w:t xml:space="preserve"> staining of</w:t>
      </w:r>
      <w:r>
        <w:rPr>
          <w:rFonts w:ascii="Times New Roman" w:hAnsi="Times New Roman"/>
          <w:sz w:val="24"/>
        </w:rPr>
        <w:t xml:space="preserve"> skull defect </w:t>
      </w:r>
      <w:r>
        <w:rPr>
          <w:rFonts w:ascii="Times New Roman" w:hAnsi="Times New Roman" w:cs="Times New Roman"/>
          <w:bCs/>
          <w:sz w:val="24"/>
          <w:szCs w:val="24"/>
        </w:rPr>
        <w:t>areas</w:t>
      </w:r>
      <w:r>
        <w:rPr>
          <w:rFonts w:ascii="Times New Roman" w:hAnsi="Times New Roman"/>
          <w:sz w:val="24"/>
        </w:rPr>
        <w:t xml:space="preserve"> (n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; scale</w:t>
      </w:r>
      <w:r>
        <w:rPr>
          <w:rFonts w:ascii="Times New Roman" w:hAnsi="Times New Roman"/>
          <w:sz w:val="24"/>
        </w:rPr>
        <w:t xml:space="preserve"> bar</w:t>
      </w:r>
      <w:r>
        <w:rPr>
          <w:rFonts w:ascii="Times New Roman" w:hAnsi="Times New Roman" w:cs="Times New Roman"/>
          <w:bCs/>
          <w:sz w:val="24"/>
          <w:szCs w:val="24"/>
        </w:rPr>
        <w:t xml:space="preserve"> = 200 μm</w:t>
      </w:r>
      <w:r>
        <w:rPr>
          <w:rFonts w:ascii="Times New Roman" w:hAnsi="Times New Roman"/>
          <w:sz w:val="24"/>
        </w:rPr>
        <w:t xml:space="preserve">). (f) Masson's trichrome staining </w:t>
      </w:r>
      <w:r>
        <w:rPr>
          <w:rFonts w:ascii="Times New Roman" w:hAnsi="Times New Roman" w:cs="Times New Roman"/>
          <w:bCs/>
          <w:sz w:val="24"/>
          <w:szCs w:val="24"/>
        </w:rPr>
        <w:t>of calvarial bone morphology</w:t>
      </w:r>
      <w:r>
        <w:rPr>
          <w:rFonts w:ascii="Times New Roman" w:hAnsi="Times New Roman"/>
          <w:sz w:val="24"/>
        </w:rPr>
        <w:t xml:space="preserve"> (n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; scale</w:t>
      </w:r>
      <w:r>
        <w:rPr>
          <w:rFonts w:ascii="Times New Roman" w:hAnsi="Times New Roman"/>
          <w:sz w:val="24"/>
        </w:rPr>
        <w:t xml:space="preserve"> bar</w:t>
      </w:r>
      <w:r>
        <w:rPr>
          <w:rFonts w:ascii="Times New Roman" w:hAnsi="Times New Roman" w:cs="Times New Roman"/>
          <w:bCs/>
          <w:sz w:val="24"/>
          <w:szCs w:val="24"/>
        </w:rPr>
        <w:t xml:space="preserve"> = 200 μm</w:t>
      </w:r>
      <w:r>
        <w:rPr>
          <w:rFonts w:ascii="Times New Roman" w:hAnsi="Times New Roman"/>
          <w:sz w:val="24"/>
        </w:rPr>
        <w:t>). (g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/>
          <w:sz w:val="24"/>
        </w:rPr>
        <w:t xml:space="preserve">j) </w:t>
      </w:r>
      <w:r>
        <w:rPr>
          <w:rFonts w:ascii="Times New Roman" w:hAnsi="Times New Roman" w:cs="Times New Roman"/>
          <w:bCs/>
          <w:sz w:val="24"/>
          <w:szCs w:val="24"/>
        </w:rPr>
        <w:t>Quantitative assessment</w:t>
      </w:r>
      <w:r>
        <w:rPr>
          <w:rFonts w:ascii="Times New Roman" w:hAnsi="Times New Roman"/>
          <w:sz w:val="24"/>
        </w:rPr>
        <w:t xml:space="preserve"> of bone </w:t>
      </w:r>
      <w:r>
        <w:rPr>
          <w:rFonts w:ascii="Times New Roman" w:hAnsi="Times New Roman" w:cs="Times New Roman"/>
          <w:bCs/>
          <w:sz w:val="24"/>
          <w:szCs w:val="24"/>
        </w:rPr>
        <w:t xml:space="preserve">regeneration </w:t>
      </w:r>
      <w:r>
        <w:rPr>
          <w:rFonts w:ascii="Times New Roman" w:hAnsi="Times New Roman"/>
          <w:sz w:val="24"/>
        </w:rPr>
        <w:t>parameters (n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w:r>
        <w:rPr>
          <w:rFonts w:ascii="Times New Roman" w:hAnsi="Times New Roman"/>
          <w:sz w:val="24"/>
        </w:rPr>
        <w:t xml:space="preserve">6). </w:t>
      </w:r>
      <w:r>
        <w:rPr>
          <w:rFonts w:ascii="Times New Roman" w:hAnsi="Times New Roman" w:cs="Times New Roman"/>
          <w:bCs/>
          <w:sz w:val="24"/>
          <w:szCs w:val="24"/>
        </w:rPr>
        <w:t>*</w:t>
      </w:r>
      <w:r>
        <w:rPr>
          <w:rFonts w:ascii="Times New Roman" w:hAnsi="Times New Roman"/>
          <w:sz w:val="24"/>
        </w:rPr>
        <w:t>P &lt;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0.05, **P &lt;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0.01, ***P &lt;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0.001</w:t>
      </w:r>
      <w:r>
        <w:rPr>
          <w:rFonts w:ascii="Times New Roman" w:hAnsi="Times New Roman" w:cs="Times New Roman"/>
          <w:bCs/>
          <w:sz w:val="24"/>
          <w:szCs w:val="24"/>
        </w:rPr>
        <w:t xml:space="preserve"> vs.</w:t>
      </w:r>
      <w:r>
        <w:rPr>
          <w:rFonts w:ascii="Times New Roman" w:hAnsi="Times New Roman"/>
          <w:sz w:val="24"/>
        </w:rPr>
        <w:t xml:space="preserve"> SHAM group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>#</w:t>
      </w:r>
      <w:r>
        <w:rPr>
          <w:rFonts w:ascii="Times New Roman" w:hAnsi="Times New Roman"/>
          <w:sz w:val="24"/>
        </w:rPr>
        <w:t>P &lt;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0.05, </w:t>
      </w:r>
      <w:r>
        <w:rPr>
          <w:rFonts w:ascii="Times New Roman" w:hAnsi="Times New Roman"/>
          <w:sz w:val="24"/>
          <w:vertAlign w:val="superscript"/>
        </w:rPr>
        <w:t>##</w:t>
      </w:r>
      <w:r>
        <w:rPr>
          <w:rFonts w:ascii="Times New Roman" w:hAnsi="Times New Roman"/>
          <w:sz w:val="24"/>
        </w:rPr>
        <w:t>P &lt;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0.01,</w:t>
      </w:r>
      <w:r>
        <w:rPr>
          <w:rFonts w:ascii="Times New Roman" w:hAnsi="Times New Roman"/>
          <w:sz w:val="24"/>
          <w:vertAlign w:val="superscript"/>
        </w:rPr>
        <w:t xml:space="preserve"> ###</w:t>
      </w:r>
      <w:r>
        <w:rPr>
          <w:rFonts w:ascii="Times New Roman" w:hAnsi="Times New Roman"/>
          <w:sz w:val="24"/>
        </w:rPr>
        <w:t>P &lt;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0.001</w:t>
      </w:r>
      <w:r>
        <w:rPr>
          <w:rFonts w:ascii="Times New Roman" w:hAnsi="Times New Roman" w:cs="Times New Roman"/>
          <w:bCs/>
          <w:sz w:val="24"/>
          <w:szCs w:val="24"/>
        </w:rPr>
        <w:t xml:space="preserve"> vs.</w:t>
      </w:r>
      <w:r>
        <w:rPr>
          <w:rFonts w:ascii="Times New Roman" w:hAnsi="Times New Roman"/>
          <w:sz w:val="24"/>
        </w:rPr>
        <w:t xml:space="preserve"> OVX group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EAD3E24">
      <w:pPr>
        <w:rPr>
          <w:rFonts w:ascii="Times New Roman" w:hAnsi="Times New Roman" w:cs="Times New Roman"/>
          <w:sz w:val="24"/>
          <w:szCs w:val="24"/>
        </w:rPr>
      </w:pPr>
    </w:p>
    <w:p w14:paraId="10208657"/>
    <w:sectPr>
      <w:footerReference r:id="rId5" w:type="default"/>
      <w:pgSz w:w="11906" w:h="16838"/>
      <w:pgMar w:top="1440" w:right="1800" w:bottom="1440" w:left="1800" w:header="851" w:footer="992" w:gutter="0"/>
      <w:pgNumType w:chapStyle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Arial" w:hAnsi="Arial" w:cs="Arial"/>
      </w:rPr>
      <w:id w:val="-451863597"/>
    </w:sdtPr>
    <w:sdtEndPr>
      <w:rPr>
        <w:rFonts w:ascii="Arial" w:hAnsi="Arial" w:cs="Arial"/>
      </w:rPr>
    </w:sdtEndPr>
    <w:sdtContent>
      <w:p w14:paraId="5592743E">
        <w:pPr>
          <w:pStyle w:val="2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lang w:val="zh-CN"/>
          </w:rPr>
          <w:t>4</w:t>
        </w:r>
        <w:r>
          <w:rPr>
            <w:rFonts w:ascii="Arial" w:hAnsi="Arial" w:cs="Arial"/>
          </w:rPr>
          <w:fldChar w:fldCharType="end"/>
        </w:r>
      </w:p>
    </w:sdtContent>
  </w:sdt>
  <w:p w14:paraId="49D2FC0A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AB"/>
    <w:rsid w:val="003521C4"/>
    <w:rsid w:val="0075787D"/>
    <w:rsid w:val="007B06AB"/>
    <w:rsid w:val="007B1DF2"/>
    <w:rsid w:val="00B74449"/>
    <w:rsid w:val="00BB345A"/>
    <w:rsid w:val="00D53E50"/>
    <w:rsid w:val="2B67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Footer Char"/>
    <w:basedOn w:val="4"/>
    <w:link w:val="2"/>
    <w:qFormat/>
    <w:uiPriority w:val="99"/>
    <w:rPr>
      <w:rFonts w:eastAsiaTheme="minorEastAsia"/>
      <w:kern w:val="2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tiff"/><Relationship Id="rId8" Type="http://schemas.openxmlformats.org/officeDocument/2006/relationships/image" Target="media/image2.tiff"/><Relationship Id="rId7" Type="http://schemas.openxmlformats.org/officeDocument/2006/relationships/image" Target="media/image1.tiff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4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462</Words>
  <Characters>2384</Characters>
  <Lines>20</Lines>
  <Paragraphs>5</Paragraphs>
  <TotalTime>229</TotalTime>
  <ScaleCrop>false</ScaleCrop>
  <LinksUpToDate>false</LinksUpToDate>
  <CharactersWithSpaces>2837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2025-07-19T06:44:00Z</dcterms:created>
  <dc:creator>E737621</dc:creator>
  <cp:lastModifiedBy>向往</cp:lastModifiedBy>
  <dcterms:modified xsi:type="dcterms:W3CDTF">2025-07-21T07:19:46Z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eyJoZGlkIjoiZWM2ZGMxOWM3ZGMwNGE3OTA3MjIyOTQzZjAzNjc0YjYiLCJ1c2VySWQiOiI2NDE5MzM3OTQifQ==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DA6F6340374A4CDD83B4AA2F8A7D3B9A_13</vt:lpwstr>
  </property>
</Properties>
</file>