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198A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651885"/>
            <wp:effectExtent l="0" t="0" r="12065" b="5715"/>
            <wp:docPr id="1" name="图片 1" descr="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AF63F">
      <w:pPr>
        <w:widowControl/>
        <w:spacing w:line="480" w:lineRule="auto"/>
        <w:rPr>
          <w:rFonts w:ascii="Times New Roman" w:hAnsi="Times New Roman" w:eastAsia="宋体"/>
          <w:sz w:val="24"/>
          <w:szCs w:val="24"/>
        </w:rPr>
      </w:pPr>
      <w:bookmarkStart w:id="0" w:name="_Hlk217516501"/>
      <w:r>
        <w:rPr>
          <w:rFonts w:ascii="Times New Roman" w:hAnsi="Times New Roman" w:eastAsia="宋体"/>
          <w:b/>
          <w:bCs/>
          <w:sz w:val="24"/>
          <w:szCs w:val="24"/>
        </w:rPr>
        <w:t>Supplementary Fig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1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The c-Fos expression in the STN was suppressed after propofol anesthesia in male mice.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/>
          <w:sz w:val="24"/>
          <w:szCs w:val="24"/>
        </w:rPr>
        <w:t xml:space="preserve"> Experimental paradigm. Mice were placed in a novel environment for 180 minutes and then perfused and sacrificed to collect brain tissues as the control (</w:t>
      </w:r>
      <w:r>
        <w:rPr>
          <w:rFonts w:hint="eastAsia" w:ascii="Times New Roman" w:hAnsi="Times New Roman" w:eastAsia="宋体"/>
          <w:sz w:val="24"/>
          <w:szCs w:val="24"/>
        </w:rPr>
        <w:t>high-arousal awake</w:t>
      </w:r>
      <w:r>
        <w:rPr>
          <w:rFonts w:ascii="Times New Roman" w:hAnsi="Times New Roman" w:eastAsia="宋体"/>
          <w:sz w:val="24"/>
          <w:szCs w:val="24"/>
        </w:rPr>
        <w:t xml:space="preserve">) group. Mice were anesthetized with propofol at 2 mg/kg/min for 90 minutes, and perfused 90 minutes after drug discontinuation as the anesthetized group. Mice were anesthetized with propofol at 2 mg/kg/min for 90 minutes, and perfused 210 minutes after recovery of consciousness as the post-anesthesia recovery group. </w:t>
      </w:r>
      <w:bookmarkStart w:id="1" w:name="OLE_LINK61"/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/>
          <w:sz w:val="24"/>
          <w:szCs w:val="24"/>
        </w:rPr>
        <w:t xml:space="preserve"> Representative immunofluorescent images of c-Fos expression in the control and propofol anesthesia group in male mice, Scale bars, 100 μm.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C</w:t>
      </w:r>
      <w:r>
        <w:rPr>
          <w:rFonts w:ascii="Times New Roman" w:hAnsi="Times New Roman" w:eastAsia="宋体"/>
          <w:sz w:val="24"/>
          <w:szCs w:val="24"/>
        </w:rPr>
        <w:t xml:space="preserve"> </w:t>
      </w:r>
      <w:bookmarkStart w:id="2" w:name="OLE_LINK10"/>
      <w:r>
        <w:rPr>
          <w:rFonts w:ascii="Times New Roman" w:hAnsi="Times New Roman" w:eastAsia="宋体"/>
          <w:sz w:val="24"/>
          <w:szCs w:val="24"/>
        </w:rPr>
        <w:t xml:space="preserve">Quantification of c-Fos expression </w:t>
      </w:r>
      <w:bookmarkEnd w:id="2"/>
      <w:r>
        <w:rPr>
          <w:rFonts w:ascii="Times New Roman" w:hAnsi="Times New Roman" w:eastAsia="宋体"/>
          <w:sz w:val="24"/>
          <w:szCs w:val="24"/>
        </w:rPr>
        <w:t xml:space="preserve">in the 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awake, propofol anesthesia, and recovery group </w:t>
      </w:r>
      <w:r>
        <w:rPr>
          <w:rFonts w:ascii="Times New Roman" w:hAnsi="Times New Roman" w:eastAsia="宋体"/>
          <w:sz w:val="24"/>
          <w:szCs w:val="24"/>
        </w:rPr>
        <w:t xml:space="preserve">in male mice. n = 4 mice. Data are represented as the mean ± SEM, Statistical comparisons were conducted using </w:t>
      </w:r>
      <w:r>
        <w:rPr>
          <w:rFonts w:hint="eastAsia" w:ascii="Times New Roman" w:hAnsi="Times New Roman" w:eastAsia="宋体"/>
          <w:sz w:val="24"/>
          <w:szCs w:val="24"/>
        </w:rPr>
        <w:t>One-way ANOVA followed by Dunnett’s test</w:t>
      </w:r>
      <w:r>
        <w:rPr>
          <w:rFonts w:ascii="Times New Roman" w:hAnsi="Times New Roman" w:eastAsia="宋体"/>
          <w:sz w:val="24"/>
          <w:szCs w:val="24"/>
        </w:rPr>
        <w:t xml:space="preserve"> (C). </w:t>
      </w:r>
      <w:bookmarkEnd w:id="1"/>
      <w:r>
        <w:rPr>
          <w:rFonts w:ascii="Times New Roman" w:hAnsi="Times New Roman" w:eastAsia="宋体"/>
          <w:sz w:val="24"/>
          <w:szCs w:val="24"/>
        </w:rPr>
        <w:t>***</w:t>
      </w:r>
      <w:r>
        <w:rPr>
          <w:rFonts w:ascii="Times New Roman" w:hAnsi="Times New Roman" w:eastAsia="宋体"/>
          <w:i/>
          <w:sz w:val="24"/>
          <w:szCs w:val="24"/>
        </w:rPr>
        <w:t>P</w:t>
      </w:r>
      <w:r>
        <w:rPr>
          <w:rFonts w:ascii="Times New Roman" w:hAnsi="Times New Roman" w:eastAsia="宋体"/>
          <w:sz w:val="24"/>
          <w:szCs w:val="24"/>
        </w:rPr>
        <w:t xml:space="preserve"> &lt; 0.001.</w:t>
      </w:r>
      <w:bookmarkEnd w:id="0"/>
    </w:p>
    <w:p w14:paraId="66D28C9B">
      <w:pPr>
        <w:autoSpaceDE w:val="0"/>
        <w:spacing w:line="48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1135" cy="1443355"/>
            <wp:effectExtent l="0" t="0" r="12065" b="4445"/>
            <wp:docPr id="3" name="图片 3" descr="S2_画板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_画板 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2813">
      <w:pPr>
        <w:widowControl/>
        <w:spacing w:line="480" w:lineRule="auto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Fig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mmunofluorescence images showing CaMKIIα-driven mCherry (red) expression in the STN, with DAPI (blue) counterstaining. </w:t>
      </w:r>
      <w: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  <w:t>A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DAPI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  <w:t>B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mCherry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C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merged image, with the dashed line outlining the STN. Scale bars: 100 </w:t>
      </w:r>
      <w:r>
        <w:rPr>
          <w:rFonts w:ascii="Times New Roman" w:hAnsi="Times New Roman" w:eastAsia="宋体"/>
          <w:sz w:val="24"/>
          <w:szCs w:val="24"/>
        </w:rPr>
        <w:t>μm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, 50 </w:t>
      </w:r>
      <w:r>
        <w:rPr>
          <w:rFonts w:ascii="Times New Roman" w:hAnsi="Times New Roman" w:eastAsia="宋体"/>
          <w:sz w:val="24"/>
          <w:szCs w:val="24"/>
        </w:rPr>
        <w:t>μm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 (inset).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6E"/>
    <w:rsid w:val="0011141E"/>
    <w:rsid w:val="002F2966"/>
    <w:rsid w:val="00452BB7"/>
    <w:rsid w:val="00A5181D"/>
    <w:rsid w:val="00C43BBB"/>
    <w:rsid w:val="00C5250B"/>
    <w:rsid w:val="00DB1701"/>
    <w:rsid w:val="00EA6307"/>
    <w:rsid w:val="00F138A0"/>
    <w:rsid w:val="00FA376E"/>
    <w:rsid w:val="2C9A2D06"/>
    <w:rsid w:val="46855646"/>
    <w:rsid w:val="5AE75EA1"/>
    <w:rsid w:val="7B1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cs="Times New Roman"/>
      <w:sz w:val="18"/>
      <w:szCs w:val="18"/>
      <w14:ligatures w14:val="none"/>
    </w:rPr>
  </w:style>
  <w:style w:type="character" w:customStyle="1" w:styleId="7">
    <w:name w:val="页脚 字符"/>
    <w:basedOn w:val="5"/>
    <w:link w:val="2"/>
    <w:qFormat/>
    <w:uiPriority w:val="99"/>
    <w:rPr>
      <w:rFonts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848</Characters>
  <Lines>35</Lines>
  <Paragraphs>7</Paragraphs>
  <TotalTime>13</TotalTime>
  <ScaleCrop>false</ScaleCrop>
  <LinksUpToDate>false</LinksUpToDate>
  <CharactersWithSpaces>1002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2026-01-07T09:13:00Z</dcterms:created>
  <dc:creator>尚琴 白</dc:creator>
  <cp:lastModifiedBy>Bai</cp:lastModifiedBy>
  <dcterms:modified xsi:type="dcterms:W3CDTF">2026-04-10T15:36:35Z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eyJoZGlkIjoiZTJhZGEwYTczNDUxZDkzZmE2NjVlYzg2NzVmNWU1ZTciLCJ1c2VySWQiOiIxMTI4MjkyMTc0In0=</vt:lpwstr>
  </property>
  <property fmtid="{D5CDD505-2E9C-101B-9397-08002B2CF9AE}" pid="3" name="KSOProductBuildVer">
    <vt:lpwstr>2052-12.1.0.25225</vt:lpwstr>
  </property>
  <property fmtid="{D5CDD505-2E9C-101B-9397-08002B2CF9AE}" pid="4" name="ICV">
    <vt:lpwstr>B27FB3805A144017B387FFEA549C517D_12</vt:lpwstr>
  </property>
</Properties>
</file>