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09B69" w14:textId="77777777" w:rsidR="00CE5AD2" w:rsidRDefault="00CE5AD2" w:rsidP="00CE5AD2">
      <w:pPr>
        <w:rPr>
          <w:rFonts w:ascii="Calibri Light" w:eastAsia="SimSun" w:hAnsi="Calibri Light" w:cs="Calibri Light"/>
          <w:sz w:val="24"/>
          <w:szCs w:val="24"/>
        </w:rPr>
      </w:pPr>
      <w:r>
        <w:rPr>
          <w:rFonts w:ascii="Calibri Light" w:eastAsia="SimSun" w:hAnsi="Calibri Light" w:cs="Calibri Light" w:hint="eastAsia"/>
          <w:noProof/>
          <w:sz w:val="24"/>
          <w:szCs w:val="24"/>
        </w:rPr>
        <w:drawing>
          <wp:inline distT="0" distB="0" distL="114300" distR="114300" wp14:anchorId="416F5D02" wp14:editId="3170C9D6">
            <wp:extent cx="5943492" cy="3629465"/>
            <wp:effectExtent l="0" t="0" r="635" b="9525"/>
            <wp:docPr id="11" name="图片 11" descr="B1144 Figures -revised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1144 Figures -revised_10"/>
                    <pic:cNvPicPr>
                      <a:picLocks noChangeAspect="1"/>
                    </pic:cNvPicPr>
                  </pic:nvPicPr>
                  <pic:blipFill>
                    <a:blip r:embed="rId4"/>
                    <a:srcRect l="4356" t="22285" r="3092" b="23397"/>
                    <a:stretch>
                      <a:fillRect/>
                    </a:stretch>
                  </pic:blipFill>
                  <pic:spPr>
                    <a:xfrm>
                      <a:off x="0" y="0"/>
                      <a:ext cx="5957103" cy="363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3D2EB" w14:textId="3C71F229" w:rsidR="00CE5AD2" w:rsidRPr="00CE5AD2" w:rsidRDefault="00CE5AD2" w:rsidP="00CE5AD2">
      <w:pPr>
        <w:rPr>
          <w:rFonts w:ascii="Calibri Light" w:hAnsi="Calibri Light" w:cs="Calibri Light"/>
          <w:sz w:val="24"/>
          <w:szCs w:val="24"/>
        </w:rPr>
      </w:pPr>
      <w:r w:rsidRPr="00957B4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Figure S1. </w:t>
      </w:r>
      <w:r w:rsidRPr="00AA7D07">
        <w:rPr>
          <w:rFonts w:ascii="Times New Roman" w:hAnsi="Times New Roman" w:cs="Times New Roman"/>
          <w:b/>
          <w:bCs/>
          <w:color w:val="FF0000"/>
          <w:sz w:val="24"/>
          <w:szCs w:val="24"/>
        </w:rPr>
        <w:t>KIF2C knockdown attenuates USF1-induced malignant phenotypes and glycolytic activity</w:t>
      </w:r>
      <w:r w:rsidRPr="00957B4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 xml:space="preserve">(A) Colony formation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assay 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>to measure cell proliferation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 xml:space="preserve"> (B-C) Transwell migration and invasion </w:t>
      </w:r>
      <w:r>
        <w:rPr>
          <w:rFonts w:ascii="Times New Roman" w:hAnsi="Times New Roman" w:cs="Times New Roman"/>
          <w:color w:val="FF0000"/>
          <w:sz w:val="24"/>
          <w:szCs w:val="24"/>
        </w:rPr>
        <w:t>assays to measure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 xml:space="preserve"> cell migration and invasion capabilities. (D) </w:t>
      </w:r>
      <w:r>
        <w:rPr>
          <w:rFonts w:ascii="Times New Roman" w:hAnsi="Times New Roman" w:cs="Times New Roman"/>
          <w:color w:val="FF0000"/>
          <w:sz w:val="24"/>
          <w:szCs w:val="24"/>
        </w:rPr>
        <w:t>Measurement of g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>lycolysis functional parameters</w:t>
      </w:r>
      <w:r>
        <w:rPr>
          <w:rFonts w:ascii="Times New Roman" w:hAnsi="Times New Roman" w:cs="Times New Roman"/>
          <w:color w:val="FF0000"/>
          <w:sz w:val="24"/>
          <w:szCs w:val="24"/>
        </w:rPr>
        <w:t>, including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 xml:space="preserve"> glucose uptake; lactic acid production; </w:t>
      </w:r>
      <w:r w:rsidR="00BD3DEB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 xml:space="preserve">ntracellular ATP levels. (E) </w:t>
      </w:r>
      <w:r>
        <w:rPr>
          <w:rFonts w:ascii="Times New Roman" w:hAnsi="Times New Roman" w:cs="Times New Roman"/>
          <w:color w:val="FF0000"/>
          <w:sz w:val="24"/>
          <w:szCs w:val="24"/>
        </w:rPr>
        <w:t>RT-</w:t>
      </w:r>
      <w:r w:rsidRPr="00957B4E">
        <w:rPr>
          <w:rFonts w:ascii="Times New Roman" w:hAnsi="Times New Roman" w:cs="Times New Roman"/>
          <w:color w:val="FF0000"/>
          <w:sz w:val="24"/>
          <w:szCs w:val="24"/>
        </w:rPr>
        <w:t>qPCR analysis of glycolytic gene expression (LDHA, GLUT1, and HK2). Data are presented as mean ± SD from three independent biological replicates, each with triplicate technical repeats. Statistical significance was determined using one-way analysis of variance (ANOVA) followed by Tukey’s post hoc test. **P &lt; 0.01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6143215" w14:textId="77777777" w:rsidR="00B42FE1" w:rsidRDefault="00B42FE1"/>
    <w:sectPr w:rsidR="00B42F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66B"/>
    <w:rsid w:val="00140ECF"/>
    <w:rsid w:val="0098161F"/>
    <w:rsid w:val="00B42FE1"/>
    <w:rsid w:val="00BD3DEB"/>
    <w:rsid w:val="00CB7F39"/>
    <w:rsid w:val="00CE5AD2"/>
    <w:rsid w:val="00D1466B"/>
    <w:rsid w:val="00DB51B7"/>
    <w:rsid w:val="00F1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BD874"/>
  <w15:chartTrackingRefBased/>
  <w15:docId w15:val="{34F8F997-526F-43B1-8CE1-38F0CFA7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AD2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66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66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66B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66B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66B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66B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66B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66B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66B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6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6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66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4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66B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4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66B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46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66B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46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66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6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6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2026-07-29T04:16:00Z</dcterms:created>
  <dcterms:modified xsi:type="dcterms:W3CDTF">2026-08-25T03:49:00Z</dcterms:modified>
</cp:coreProperties>
</file>